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44" w:rsidRPr="00112127" w:rsidRDefault="008E7333" w:rsidP="008E7333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4CAD1EF5-8805-44FB-B400-96495705A97E" style="width:455.25pt;height:396.75pt">
            <v:imagedata r:id="rId8" o:title=""/>
          </v:shape>
        </w:pict>
      </w:r>
    </w:p>
    <w:p w:rsidR="00461844" w:rsidRPr="00112127" w:rsidRDefault="00461844" w:rsidP="00461844">
      <w:pPr>
        <w:rPr>
          <w:noProof/>
        </w:rPr>
        <w:sectPr w:rsidR="00461844" w:rsidRPr="00112127" w:rsidSect="008E7333">
          <w:footerReference w:type="even" r:id="rId9"/>
          <w:footerReference w:type="default" r:id="rId10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461844" w:rsidRPr="00112127" w:rsidRDefault="00461844" w:rsidP="00BB6B30">
      <w:pPr>
        <w:pStyle w:val="Exposdesmotifstitre"/>
        <w:rPr>
          <w:noProof/>
        </w:rPr>
      </w:pPr>
      <w:bookmarkStart w:id="0" w:name="_GoBack"/>
      <w:bookmarkEnd w:id="0"/>
      <w:r w:rsidRPr="00112127">
        <w:rPr>
          <w:noProof/>
        </w:rPr>
        <w:lastRenderedPageBreak/>
        <w:t>MEMORANDUM TA’ SPJEGAZZJONI</w:t>
      </w:r>
    </w:p>
    <w:p w:rsidR="00461844" w:rsidRPr="00112127" w:rsidRDefault="00AB351C" w:rsidP="00AB351C">
      <w:pPr>
        <w:pStyle w:val="ManualHeading1"/>
        <w:rPr>
          <w:rFonts w:eastAsia="Arial Unicode MS"/>
          <w:noProof/>
        </w:rPr>
      </w:pPr>
      <w:r w:rsidRPr="00AB351C">
        <w:rPr>
          <w:noProof/>
        </w:rPr>
        <w:t>1.</w:t>
      </w:r>
      <w:r w:rsidRPr="00AB351C">
        <w:rPr>
          <w:noProof/>
        </w:rPr>
        <w:tab/>
      </w:r>
      <w:r w:rsidR="00461844" w:rsidRPr="00112127">
        <w:rPr>
          <w:noProof/>
        </w:rPr>
        <w:t>Suġġett tal-proposta</w:t>
      </w:r>
    </w:p>
    <w:p w:rsidR="00BA6844" w:rsidRPr="00112127" w:rsidRDefault="00461844" w:rsidP="00BA6844">
      <w:pPr>
        <w:rPr>
          <w:rFonts w:eastAsia="Arial Unicode MS"/>
          <w:noProof/>
        </w:rPr>
      </w:pPr>
      <w:r w:rsidRPr="00112127">
        <w:rPr>
          <w:noProof/>
        </w:rPr>
        <w:t>Din il-proposta tikkonċerna d-deċiżjoni li tistabbilixxi l-pożizzjoni li għandha tittieħed f’isem l-Unjoni fil-Kumitat Konġunt bejn l-Unjoni Ewropea (UE) u l-Pajjiżi ta’ Tranżitu Komuni (CTC, Common transit countries), stabbilit bil-Konvenzjoni tal-20 ta’ Mejju 1987 dwar is-simplifikazzjoni tal-formalitajiet fil-kummerċ tal-oġġetti</w:t>
      </w:r>
      <w:r w:rsidR="00BA6844" w:rsidRPr="00112127">
        <w:rPr>
          <w:rStyle w:val="FootnoteReference"/>
          <w:noProof/>
        </w:rPr>
        <w:footnoteReference w:id="1"/>
      </w:r>
      <w:r w:rsidRPr="00112127">
        <w:rPr>
          <w:noProof/>
        </w:rPr>
        <w:t>, u fil-Kumitat Konġunt EU-CTC stabbilit bil-Konvenzjoni tal-20 ta’ Mejju 1987 dwar proċedura komuni ta’ tranżitu</w:t>
      </w:r>
      <w:r w:rsidR="00BA6844" w:rsidRPr="00112127">
        <w:rPr>
          <w:rStyle w:val="FootnoteReference"/>
          <w:noProof/>
        </w:rPr>
        <w:footnoteReference w:id="2"/>
      </w:r>
      <w:r w:rsidRPr="00112127">
        <w:rPr>
          <w:noProof/>
        </w:rPr>
        <w:t xml:space="preserve"> (“il-Kumitati Konġunti EU-CTC”) li tikkonċerna l-adozzjoni prevista minn kull Kumitat Konġunt ta’ Deċiżjoni rigward l-istedina biex il-Georgia taderixxi mal-Konvenzjoni dwar is-simplifikazzjoni tal-formalitajiet fil-kummerċ tal-oġġetti u fil-Konvenzjoni dwar proċedura komuni ta’ tranżitu (“il-Konvenzjonijiet”) rispettivament</w:t>
      </w:r>
    </w:p>
    <w:p w:rsidR="00461844" w:rsidRPr="00112127" w:rsidRDefault="00AB351C" w:rsidP="00AB351C">
      <w:pPr>
        <w:pStyle w:val="ManualHeading1"/>
        <w:rPr>
          <w:noProof/>
        </w:rPr>
      </w:pPr>
      <w:r w:rsidRPr="00AB351C">
        <w:rPr>
          <w:noProof/>
        </w:rPr>
        <w:t>2.</w:t>
      </w:r>
      <w:r w:rsidRPr="00AB351C">
        <w:rPr>
          <w:noProof/>
        </w:rPr>
        <w:tab/>
      </w:r>
      <w:r w:rsidR="00461844" w:rsidRPr="00112127">
        <w:rPr>
          <w:noProof/>
        </w:rPr>
        <w:t>Kuntest tal-proposta</w:t>
      </w:r>
    </w:p>
    <w:p w:rsidR="00461844" w:rsidRPr="00112127" w:rsidRDefault="00AB351C" w:rsidP="00AB351C">
      <w:pPr>
        <w:pStyle w:val="ManualHeading2"/>
        <w:rPr>
          <w:noProof/>
        </w:rPr>
      </w:pPr>
      <w:r w:rsidRPr="00AB351C">
        <w:rPr>
          <w:noProof/>
        </w:rPr>
        <w:t>2.1.</w:t>
      </w:r>
      <w:r w:rsidRPr="00AB351C">
        <w:rPr>
          <w:noProof/>
        </w:rPr>
        <w:tab/>
      </w:r>
      <w:r w:rsidR="00461844" w:rsidRPr="00112127">
        <w:rPr>
          <w:noProof/>
        </w:rPr>
        <w:t>Il-Konvenzjonijiet</w:t>
      </w:r>
    </w:p>
    <w:p w:rsidR="00BA6844" w:rsidRPr="00112127" w:rsidRDefault="00461844" w:rsidP="00BA6844">
      <w:pPr>
        <w:rPr>
          <w:rFonts w:eastAsia="Arial Unicode MS"/>
          <w:noProof/>
        </w:rPr>
      </w:pPr>
      <w:r w:rsidRPr="00112127">
        <w:rPr>
          <w:noProof/>
        </w:rPr>
        <w:t xml:space="preserve">Il-Konvenzjonijiet għandhom l-għan li jiffaċilitaw il-moviment tal-oġġetti bejn l-Unjoni Ewropea u pajjiżi oħra li huma Partijiet Kontraenti għall-Konvenzjonijiet. Dawn daħlu fis-seħħ fl-1 ta’ Jannar 1988. </w:t>
      </w:r>
    </w:p>
    <w:p w:rsidR="00BA6844" w:rsidRPr="00112127" w:rsidRDefault="00BA6844" w:rsidP="00BA6844">
      <w:pPr>
        <w:rPr>
          <w:rFonts w:eastAsia="Arial Unicode MS"/>
          <w:noProof/>
        </w:rPr>
      </w:pPr>
      <w:r w:rsidRPr="00112127">
        <w:rPr>
          <w:noProof/>
        </w:rPr>
        <w:t xml:space="preserve">L-Unjoni Ewropea (mhux l-Istati Membri individwali tagħha) hija parti għall-Konvenzjonijiet li jistabbilixxu miżuri li jiffaċilitaw il-moviment tal-oġġetti bejn l-Unjoni Ewropea, u l-partijiet kontraenti l-oħra jiġifieri r-Repubblika tal-Iżlanda, ir-Repubblika tal-Maċedonja ta’ Fuq, ir-Renju tan-Norveġja, il-Konfederazzjoni Żvizzera, ir-Repubblika tat-Turkija, ir-Repubblika tas-Serbja u r-Renju Unit tal-Gran Brittanja u l-Irlanda ta’ Fuq u l-Ukrajna. </w:t>
      </w:r>
    </w:p>
    <w:p w:rsidR="00BA6844" w:rsidRPr="00112127" w:rsidRDefault="00BA6844" w:rsidP="00BA6844">
      <w:pPr>
        <w:rPr>
          <w:rFonts w:eastAsia="Arial Unicode MS"/>
          <w:noProof/>
        </w:rPr>
      </w:pPr>
      <w:r w:rsidRPr="00112127">
        <w:rPr>
          <w:noProof/>
        </w:rPr>
        <w:t>Il-pajjiżi li huma Partijiet Kontraenti għall-Konvenzjonijiet, iżda li mhumiex membri tal-Unjoni, huma pajjiżi ta’ tranżitu komuni (“CTC”).</w:t>
      </w:r>
    </w:p>
    <w:p w:rsidR="00461844" w:rsidRPr="00112127" w:rsidRDefault="00AB351C" w:rsidP="00AB351C">
      <w:pPr>
        <w:pStyle w:val="ManualHeading2"/>
        <w:rPr>
          <w:noProof/>
        </w:rPr>
      </w:pPr>
      <w:r w:rsidRPr="00AB351C">
        <w:rPr>
          <w:noProof/>
        </w:rPr>
        <w:t>2.2.</w:t>
      </w:r>
      <w:r w:rsidRPr="00AB351C">
        <w:rPr>
          <w:noProof/>
        </w:rPr>
        <w:tab/>
      </w:r>
      <w:r w:rsidR="00461844" w:rsidRPr="00112127">
        <w:rPr>
          <w:noProof/>
        </w:rPr>
        <w:t>Il-Kumitati Konġunti</w:t>
      </w:r>
    </w:p>
    <w:p w:rsidR="00BA6844" w:rsidRPr="00112127" w:rsidRDefault="00461844" w:rsidP="00BA6844">
      <w:pPr>
        <w:rPr>
          <w:rFonts w:eastAsia="Arial Unicode MS"/>
          <w:noProof/>
        </w:rPr>
      </w:pPr>
      <w:r w:rsidRPr="00112127">
        <w:rPr>
          <w:noProof/>
        </w:rPr>
        <w:t xml:space="preserve">Il-kompitu tal-Kumitati Konġunti EU-CTC huwa li jamministraw il-Konvenzjonijiet u li jiżguraw l-implimentazzjoni xierqa tagħhom. Permezz ta’ deċiżjoni, dawn il-Kumitati Konġunti jistiednu lill-pajjiżi terzi jaderixxu mal-Konvenzjonijiet. </w:t>
      </w:r>
    </w:p>
    <w:p w:rsidR="00461844" w:rsidRPr="00112127" w:rsidRDefault="00BA6844" w:rsidP="00BA6844">
      <w:pPr>
        <w:rPr>
          <w:rFonts w:eastAsia="Arial Unicode MS"/>
          <w:noProof/>
        </w:rPr>
      </w:pPr>
      <w:r w:rsidRPr="00112127">
        <w:rPr>
          <w:noProof/>
        </w:rPr>
        <w:t>Id-deċiżjonijiet tal-Kumitati Konġunti EU-CTC jiġu adottati bil-ftehim reċiproku tal-Partijiet Kontraenti.</w:t>
      </w:r>
    </w:p>
    <w:p w:rsidR="00461844" w:rsidRPr="00112127" w:rsidRDefault="00AB351C" w:rsidP="00AB351C">
      <w:pPr>
        <w:pStyle w:val="ManualHeading2"/>
        <w:rPr>
          <w:noProof/>
        </w:rPr>
      </w:pPr>
      <w:r w:rsidRPr="00AB351C">
        <w:rPr>
          <w:noProof/>
        </w:rPr>
        <w:t>2.3.</w:t>
      </w:r>
      <w:r w:rsidRPr="00AB351C">
        <w:rPr>
          <w:noProof/>
        </w:rPr>
        <w:tab/>
      </w:r>
      <w:r w:rsidR="00461844" w:rsidRPr="00112127">
        <w:rPr>
          <w:noProof/>
        </w:rPr>
        <w:t>L-Atti previsti tal-Kumitati Konġunti</w:t>
      </w:r>
    </w:p>
    <w:p w:rsidR="00BA6844" w:rsidRPr="00112127" w:rsidRDefault="00BA6844" w:rsidP="00BA6844">
      <w:pPr>
        <w:rPr>
          <w:rFonts w:eastAsia="Arial Unicode MS"/>
          <w:noProof/>
        </w:rPr>
      </w:pPr>
      <w:r w:rsidRPr="00112127">
        <w:rPr>
          <w:noProof/>
        </w:rPr>
        <w:t xml:space="preserve">Il-Georgia esprimiet ix-xewqa li taderixxi għall-Konvenzjonijiet meta tkun ikkonformat mar-rekwiżiti legali, strutturali u tat-teknoloġija tal-informazzjoni, li huma prekundizzjonijiet għall-adeżjoni. </w:t>
      </w:r>
    </w:p>
    <w:p w:rsidR="00BA6844" w:rsidRPr="00112127" w:rsidRDefault="00BA6844" w:rsidP="00BA6844">
      <w:pPr>
        <w:rPr>
          <w:rFonts w:eastAsia="Arial Unicode MS"/>
          <w:noProof/>
        </w:rPr>
      </w:pPr>
      <w:r w:rsidRPr="00112127">
        <w:rPr>
          <w:noProof/>
        </w:rPr>
        <w:t>F’konformità mad-dispożizzjoni tal-Artikolu 11(3) tal-Konvenzjoni dwar is-simplifikazzjonijiet tal-formalitajiet fil-kummerċ tal-oġġetti (il-Konvenzjoni SAD) u mad-dispożizzjonijiet tal-Artikolu 15(3) tal-Konvenzjoni dwar proċedura komuni ta’ tranżitu (il-Konvenzjoni CTC), il-Kumitati Konġunti EU-CTC għandhom, permezz ta’ deċiżjoni, jistiednu pajjiż terz skont it-tifsira tal-Artikolu 1(2) tal-Konvenzjoni SAD u l-Artikolu 3(1)(c) tal-Konvenzjoni CTC, biex jaderixxi għall-Konvenzjonijiet f’konformità mal-proċedura stabbilita fl-Artikolu 11a tal-Konvenzjoni SAD u fl-Artikolu 15a tal-Konvenzjoni CTC rispettivament.</w:t>
      </w:r>
    </w:p>
    <w:p w:rsidR="00BA6844" w:rsidRPr="00112127" w:rsidRDefault="00BA6844" w:rsidP="00BA6844">
      <w:pPr>
        <w:rPr>
          <w:rFonts w:eastAsia="Arial Unicode MS"/>
          <w:noProof/>
        </w:rPr>
      </w:pPr>
      <w:r w:rsidRPr="00112127">
        <w:rPr>
          <w:noProof/>
        </w:rPr>
        <w:t xml:space="preserve">Il-Kumitati Konġunti EU-CTC iniedu tali stedina fejn il-pajjiż juri li huwa f’pożizzjoni li jikkonforma mar-regoli dettaljati għall-applikazzjoni tad-dispożizzjonijiet tal-Konvenzjonijiet. </w:t>
      </w:r>
    </w:p>
    <w:p w:rsidR="00BA6844" w:rsidRPr="00112127" w:rsidRDefault="00BA6844" w:rsidP="00BA6844">
      <w:pPr>
        <w:rPr>
          <w:rFonts w:eastAsia="Arial Unicode MS"/>
          <w:noProof/>
        </w:rPr>
      </w:pPr>
      <w:r w:rsidRPr="00112127">
        <w:rPr>
          <w:noProof/>
        </w:rPr>
        <w:t>B’mandat mill-gruppi ta’ ħidma tal-EU-CTC dwar it-tranżitu komuni u s-simplifikazzjoni tal-formalitajiet fil-kummerċ, fis-27 ta’ Ġunju 2024 tim ta’ monitoraġġ ikkonkluda li l-Georgia lesta tingħaqad mal-Konvenzjonijiet. It-tim eżamina prinċipalment l-adattament tal-istrutturi meħtieġa għall-ġestjoni tal-proċedura u l-implimentazzjoni tas-Sistema Ġdida ta’ Tranżitu Kompjuterizzata (NCTS, New Computerised Transit System) li tippermetti l-applikazzjoni tal-proċedura komuni ta’ tranżitu.</w:t>
      </w:r>
    </w:p>
    <w:p w:rsidR="00BA6844" w:rsidRPr="00112127" w:rsidRDefault="00BA6844" w:rsidP="00BA6844">
      <w:pPr>
        <w:rPr>
          <w:rFonts w:eastAsia="Arial Unicode MS"/>
          <w:noProof/>
        </w:rPr>
      </w:pPr>
      <w:r w:rsidRPr="00112127">
        <w:rPr>
          <w:noProof/>
        </w:rPr>
        <w:t xml:space="preserve">Fis-sessjonijiet tagħhom li ġejjin jew permezz ta’ proċedura bil-miktub, il-Kumitati Konġunti EU-CTC qed jippjanaw li jadottaw l-abbozz tad-Deċiżjoni Nru 1/2024 tal-Kumitat Konġunt EU-CTC dwar is-simplifikazzjoni tal-formalitajiet fil-kummerċ tal-oġġetti u l-abbozz tad-Deċiżjoni Nru 2/2024 tal-Kumitat Konġunt EU-CTC dwar it-tranżitu komuni sabiex il-Georgia tiġi mistiedna taderixxi għall-Konvenzjonijiet (l-Anness I u l-Anness II ta’ din id-Deċiżjoni). </w:t>
      </w:r>
    </w:p>
    <w:p w:rsidR="00BA6844" w:rsidRPr="00112127" w:rsidRDefault="00BA6844" w:rsidP="00BA6844">
      <w:pPr>
        <w:rPr>
          <w:rFonts w:eastAsia="Arial Unicode MS"/>
          <w:noProof/>
        </w:rPr>
      </w:pPr>
      <w:r w:rsidRPr="00112127">
        <w:rPr>
          <w:noProof/>
        </w:rPr>
        <w:t xml:space="preserve">Id-Deċiżjonijiet tal-Kumitati Konġunti tal-EU-CTC li jistiednu lill-Georgia biex taderixxi għall-Konvenzjoni għandhom isiru vinkolanti għall-Partijiet Kontraenti f’konformità mal-Artikolu 2 tad-Deċiżjonijiet, li jipprevedi li “Din id-Deċiżjoni għandha tidħol fis-seħħ fil-jum tal-adozzjoni tagħha”. </w:t>
      </w:r>
    </w:p>
    <w:p w:rsidR="00BA6844" w:rsidRPr="00112127" w:rsidRDefault="00BA6844" w:rsidP="00BA6844">
      <w:pPr>
        <w:rPr>
          <w:rFonts w:eastAsia="Arial Unicode MS"/>
          <w:noProof/>
        </w:rPr>
      </w:pPr>
      <w:r w:rsidRPr="00112127">
        <w:rPr>
          <w:noProof/>
        </w:rPr>
        <w:t xml:space="preserve">F’konformità mal-Artikolu 11(3) tal-Konvenzjoni dwar is-simplifikazzjoni tal-formalitajiet fil-kummerċ tal-oġġetti u l-Artikolu 15(3) tal-Konvenzjoni dwar proċedura komuni ta’ tranżitu, deċiżjonijiet ta’ dan it-tip għandhom jiddaħħlu fis-seħħ mill-Partijiet Kontraenti f’konformità mal-leġiżlazzjoni tagħhom stess. </w:t>
      </w:r>
    </w:p>
    <w:p w:rsidR="00461844" w:rsidRPr="00112127" w:rsidRDefault="00461844" w:rsidP="00BA6844">
      <w:pPr>
        <w:rPr>
          <w:rFonts w:eastAsia="Arial Unicode MS"/>
          <w:noProof/>
        </w:rPr>
      </w:pPr>
    </w:p>
    <w:p w:rsidR="00461844" w:rsidRPr="00112127" w:rsidRDefault="00AB351C" w:rsidP="00AB351C">
      <w:pPr>
        <w:pStyle w:val="ManualHeading1"/>
        <w:rPr>
          <w:rFonts w:eastAsia="Arial Unicode MS"/>
          <w:noProof/>
        </w:rPr>
      </w:pPr>
      <w:r w:rsidRPr="00AB351C">
        <w:rPr>
          <w:noProof/>
        </w:rPr>
        <w:t>3.</w:t>
      </w:r>
      <w:r w:rsidRPr="00AB351C">
        <w:rPr>
          <w:noProof/>
        </w:rPr>
        <w:tab/>
      </w:r>
      <w:r w:rsidR="00461844" w:rsidRPr="00112127">
        <w:rPr>
          <w:noProof/>
        </w:rPr>
        <w:t>Pożizzjoni li għandha tittieħed f’isem l-Unjoni</w:t>
      </w:r>
    </w:p>
    <w:p w:rsidR="00BA6844" w:rsidRPr="00112127" w:rsidRDefault="00BA6844" w:rsidP="00BA6844">
      <w:pPr>
        <w:pStyle w:val="Text1"/>
        <w:ind w:left="0"/>
        <w:rPr>
          <w:noProof/>
        </w:rPr>
      </w:pPr>
      <w:r w:rsidRPr="00112127">
        <w:rPr>
          <w:noProof/>
        </w:rPr>
        <w:t>Il-pożizzjoni proposta hija favorevoli biex issir stedina biex il-Georgia taderixxi għall-Konvenzjonijiet.</w:t>
      </w:r>
    </w:p>
    <w:p w:rsidR="00BA6844" w:rsidRPr="00112127" w:rsidRDefault="00BA6844" w:rsidP="00BA6844">
      <w:pPr>
        <w:pStyle w:val="Text1"/>
        <w:ind w:left="0"/>
        <w:rPr>
          <w:rFonts w:eastAsia="Arial Unicode MS"/>
          <w:noProof/>
        </w:rPr>
      </w:pPr>
      <w:r w:rsidRPr="00112127">
        <w:rPr>
          <w:noProof/>
        </w:rPr>
        <w:t>Il-Komunikazzjoni tal-2001</w:t>
      </w:r>
      <w:r w:rsidR="00611878" w:rsidRPr="00112127">
        <w:rPr>
          <w:rStyle w:val="FootnoteReference"/>
          <w:rFonts w:eastAsia="Arial Unicode MS"/>
          <w:noProof/>
        </w:rPr>
        <w:footnoteReference w:id="3"/>
      </w:r>
      <w:r w:rsidRPr="00112127">
        <w:rPr>
          <w:noProof/>
        </w:rPr>
        <w:t xml:space="preserve"> tal-Kummissjoni Ewropea lill-Parlament Ewropew u lill-Kunsill dwar Strateġija biex il-pajjiżi kandidati jitħejjew għall-adeżjoni mal-Konvenzjonijiet KE-EFTA tal-1987 dwar proċedura komuni ta’ tranżitu u fuq is-simplifikazzjoni tal-formalitajiet fil-kummerċ tal-oġġetti, segwita mill-Komunikazzjoni tal-2010</w:t>
      </w:r>
      <w:r w:rsidR="00611878" w:rsidRPr="00112127">
        <w:rPr>
          <w:rStyle w:val="FootnoteReference"/>
          <w:rFonts w:eastAsia="Arial Unicode MS"/>
          <w:noProof/>
        </w:rPr>
        <w:footnoteReference w:id="4"/>
      </w:r>
      <w:r w:rsidRPr="00112127">
        <w:rPr>
          <w:noProof/>
        </w:rPr>
        <w:t xml:space="preserve"> tal-Kummissjoni Ewropea lill-Parlament Ewropew u lill-Kunsill dwar Strateġija għat-tħejjija ta’ ċerti pajjiżi ġirien għall-adeżjoni maż-żewġ Konvenzjonijiet u mill-Konklużjonijiet tal-Kunsill tal-14 ta’ April 2011</w:t>
      </w:r>
      <w:r w:rsidR="00170CDA" w:rsidRPr="00112127">
        <w:rPr>
          <w:rStyle w:val="FootnoteReference"/>
          <w:rFonts w:eastAsia="Arial Unicode MS"/>
          <w:noProof/>
        </w:rPr>
        <w:footnoteReference w:id="5"/>
      </w:r>
      <w:r w:rsidRPr="00112127">
        <w:rPr>
          <w:noProof/>
        </w:rPr>
        <w:t xml:space="preserve"> li jikkonfermaw l-approċċ, jipprevedu appoġġ għal għadd ta’ pajjiżi fl-isforzi tagħhom biex jissieħbu fil-Konvenzjonijiet. Il-Georgia hija parti minn dawn il-pajjiżi.</w:t>
      </w:r>
    </w:p>
    <w:p w:rsidR="00BA6844" w:rsidRPr="00112127" w:rsidRDefault="00BA6844" w:rsidP="00BA6844">
      <w:pPr>
        <w:pStyle w:val="Text1"/>
        <w:ind w:left="0"/>
        <w:rPr>
          <w:noProof/>
        </w:rPr>
      </w:pPr>
      <w:r w:rsidRPr="00112127">
        <w:rPr>
          <w:noProof/>
        </w:rPr>
        <w:t xml:space="preserve">L-għan huwa li jiġi ffaċilitat il-kummerċ bejn il-Georgia, l-Unjoni Ewropea u pajjiżi oħra komuni ta’ tranżitu. Dawn l-istediniet jenħtieġ li jirriżultaw f’benefiċċji sostanzjali u tanġibbli għan-negozjanti u għall-amministrazzjonijiet doganali billi jissimplifikaw il-formalitajiet ta’ tranżitu u doganali, inaqqsu l-kostijiet, jiffaċilitaw il-moviment tal-oġġetti u possibbilment iżidu l-kummerċ. </w:t>
      </w:r>
    </w:p>
    <w:p w:rsidR="00BA6844" w:rsidRPr="00112127" w:rsidRDefault="00BA6844" w:rsidP="00BA6844">
      <w:pPr>
        <w:pStyle w:val="Text1"/>
        <w:ind w:left="0"/>
        <w:rPr>
          <w:noProof/>
        </w:rPr>
      </w:pPr>
      <w:r w:rsidRPr="00112127">
        <w:rPr>
          <w:noProof/>
        </w:rPr>
        <w:t>Għalhekk, il-Kummissjoni tipproponi lill-Kunsill pożizzjoni favorevoli min-naħa tal-Unjoni għall-adeżjoni tal-Georgia mal-Konvenzjonijiet.</w:t>
      </w:r>
    </w:p>
    <w:p w:rsidR="00BA6844" w:rsidRPr="00112127" w:rsidRDefault="00BA6844" w:rsidP="00BA6844">
      <w:pPr>
        <w:rPr>
          <w:noProof/>
        </w:rPr>
      </w:pPr>
      <w:r w:rsidRPr="00112127">
        <w:rPr>
          <w:noProof/>
        </w:rPr>
        <w:t>Id-Deċiżjonijiet proposti huma konsistenti mal-politiki tal-Unjoni Ewropea fl-oqsma tal-kummerċ u tat-trasport.</w:t>
      </w:r>
    </w:p>
    <w:p w:rsidR="00461844" w:rsidRPr="00112127" w:rsidRDefault="00AB351C" w:rsidP="00AB351C">
      <w:pPr>
        <w:pStyle w:val="ManualHeading1"/>
        <w:rPr>
          <w:noProof/>
        </w:rPr>
      </w:pPr>
      <w:r w:rsidRPr="00AB351C">
        <w:rPr>
          <w:noProof/>
        </w:rPr>
        <w:t>4.</w:t>
      </w:r>
      <w:r w:rsidRPr="00AB351C">
        <w:rPr>
          <w:noProof/>
        </w:rPr>
        <w:tab/>
      </w:r>
      <w:r w:rsidR="00461844" w:rsidRPr="00112127">
        <w:rPr>
          <w:noProof/>
        </w:rPr>
        <w:t>Bażi legali</w:t>
      </w:r>
    </w:p>
    <w:p w:rsidR="00461844" w:rsidRPr="00112127" w:rsidRDefault="00AB351C" w:rsidP="00AB351C">
      <w:pPr>
        <w:pStyle w:val="ManualHeading2"/>
        <w:rPr>
          <w:noProof/>
        </w:rPr>
      </w:pPr>
      <w:r w:rsidRPr="00AB351C">
        <w:rPr>
          <w:noProof/>
        </w:rPr>
        <w:t>4.1.</w:t>
      </w:r>
      <w:r w:rsidRPr="00AB351C">
        <w:rPr>
          <w:noProof/>
        </w:rPr>
        <w:tab/>
      </w:r>
      <w:r w:rsidR="00461844" w:rsidRPr="00112127">
        <w:rPr>
          <w:noProof/>
        </w:rPr>
        <w:t>Bażi legali proċedurali</w:t>
      </w:r>
    </w:p>
    <w:p w:rsidR="00461844" w:rsidRPr="00112127" w:rsidRDefault="00AB351C" w:rsidP="00AB351C">
      <w:pPr>
        <w:pStyle w:val="ManualHeading3"/>
        <w:rPr>
          <w:noProof/>
        </w:rPr>
      </w:pPr>
      <w:r w:rsidRPr="00AB351C">
        <w:rPr>
          <w:noProof/>
        </w:rPr>
        <w:t>4.1.1.</w:t>
      </w:r>
      <w:r w:rsidRPr="00AB351C">
        <w:rPr>
          <w:noProof/>
        </w:rPr>
        <w:tab/>
      </w:r>
      <w:r w:rsidR="00461844" w:rsidRPr="00112127">
        <w:rPr>
          <w:noProof/>
        </w:rPr>
        <w:t>Prinċipji</w:t>
      </w:r>
    </w:p>
    <w:p w:rsidR="00461844" w:rsidRPr="00112127" w:rsidRDefault="00461844" w:rsidP="00736AA9">
      <w:pPr>
        <w:rPr>
          <w:noProof/>
        </w:rPr>
      </w:pPr>
      <w:r w:rsidRPr="00112127">
        <w:rPr>
          <w:noProof/>
        </w:rPr>
        <w:t>L-Artikolu 218(9) tat-Trattat dwar il-Funzjonament tal-Unjoni Ewropea (TFUE) jipprevedi deċiżjonijiet li jistabbilixxu “</w:t>
      </w:r>
      <w:r w:rsidRPr="00112127">
        <w:rPr>
          <w:i/>
          <w:noProof/>
        </w:rPr>
        <w:t>l-pożizzjonijiet li għandhom jiġu adottati f’isem l-Unjoni f’sede stabbilita fi ftehim, meta dik is-sede tintalab tadotta atti li jkollhom effetti legali, sakemm dawn ma jkunux atti li jissupplimentaw jew jemendaw il-qafas istituzzjonali tal-ftehim</w:t>
      </w:r>
      <w:r w:rsidRPr="00112127">
        <w:rPr>
          <w:noProof/>
        </w:rPr>
        <w:t>.”</w:t>
      </w:r>
    </w:p>
    <w:p w:rsidR="004B5135" w:rsidRPr="00112127" w:rsidRDefault="004B5135" w:rsidP="004B5135">
      <w:pPr>
        <w:rPr>
          <w:rFonts w:eastAsia="Arial Unicode MS"/>
          <w:noProof/>
        </w:rPr>
      </w:pPr>
      <w:r w:rsidRPr="00112127">
        <w:rPr>
          <w:noProof/>
        </w:rPr>
        <w:t>L-Artikolu 11(3) tal-Konvenzjoni dwar is-simplifikazzjoni tal-formalitajiet fil-kummerċ tal-oġġetti u l-Artikolu 15(3) tal-Konvenzjoni dwar proċedura komuni ta’ tranżitu jistipulaw li l-Kumitat Konġunt EU-CTC jistieden pajjiż terz permezz ta’ deċiżjoni skont it-tifsira tal-Artikolu 1(2) u l-Artikolu 3(1)(c) rispettivament, biex jaderixxi għall-Konvenzjonijiet.</w:t>
      </w:r>
    </w:p>
    <w:p w:rsidR="00461844" w:rsidRPr="00112127" w:rsidRDefault="00461844" w:rsidP="00736AA9">
      <w:pPr>
        <w:rPr>
          <w:noProof/>
        </w:rPr>
      </w:pPr>
      <w:r w:rsidRPr="00112127">
        <w:rPr>
          <w:noProof/>
        </w:rPr>
        <w:t>Il-kunċett ta’ “</w:t>
      </w:r>
      <w:r w:rsidRPr="00112127">
        <w:rPr>
          <w:i/>
          <w:noProof/>
        </w:rPr>
        <w:t>atti li jkollhom effetti legali</w:t>
      </w:r>
      <w:r w:rsidRPr="00112127">
        <w:rPr>
          <w:noProof/>
        </w:rPr>
        <w:t>” jinkludi l-atti li jkollhom effetti legali bis-saħħa tar-regoli tad-dritt internazzjonali li jirregolaw il-korp inkwistjoni. Jinkludi wkoll l-istrumenti li ma għandhomx effett vinkolanti skont id-dritt internazzjonali, iżda li “</w:t>
      </w:r>
      <w:r w:rsidRPr="00112127">
        <w:rPr>
          <w:i/>
          <w:noProof/>
        </w:rPr>
        <w:t>jistgħu jinfluwenzaw b’mod determinanti l-kontenut tal-leġiżlazzjoni adottata mil-leġiżlatur tal-Unjoni</w:t>
      </w:r>
      <w:r w:rsidRPr="00112127">
        <w:rPr>
          <w:noProof/>
        </w:rPr>
        <w:t>”</w:t>
      </w:r>
      <w:r w:rsidRPr="00112127">
        <w:rPr>
          <w:rStyle w:val="FootnoteReference"/>
          <w:noProof/>
        </w:rPr>
        <w:footnoteReference w:id="6"/>
      </w:r>
      <w:r w:rsidRPr="00112127">
        <w:rPr>
          <w:noProof/>
        </w:rPr>
        <w:t>.</w:t>
      </w:r>
    </w:p>
    <w:p w:rsidR="00461844" w:rsidRPr="00112127" w:rsidRDefault="00AB351C" w:rsidP="00AB351C">
      <w:pPr>
        <w:pStyle w:val="ManualHeading3"/>
        <w:rPr>
          <w:noProof/>
        </w:rPr>
      </w:pPr>
      <w:r w:rsidRPr="00AB351C">
        <w:rPr>
          <w:noProof/>
        </w:rPr>
        <w:t>4.1.2.</w:t>
      </w:r>
      <w:r w:rsidRPr="00AB351C">
        <w:rPr>
          <w:noProof/>
        </w:rPr>
        <w:tab/>
      </w:r>
      <w:r w:rsidR="00461844" w:rsidRPr="00112127">
        <w:rPr>
          <w:noProof/>
        </w:rPr>
        <w:t>Applikazzjoni għall-każ preżenti</w:t>
      </w:r>
    </w:p>
    <w:p w:rsidR="004B5135" w:rsidRPr="00112127" w:rsidRDefault="00461844" w:rsidP="004B5135">
      <w:pPr>
        <w:rPr>
          <w:noProof/>
        </w:rPr>
      </w:pPr>
      <w:r w:rsidRPr="00112127">
        <w:rPr>
          <w:noProof/>
        </w:rPr>
        <w:t xml:space="preserve">Il-Kumitat Konġunt EU-CTC huwa korp stabbilit mill-Artikolu 10 tal-Konvenzjoni dwar is-simplifikazzjoni tal-formalitajiet fil-kummerċ tal-oġġetti u mill-Artikolu 14 tal-Konvenzjoni dwar proċedura komuni ta’ tranżitu. </w:t>
      </w:r>
    </w:p>
    <w:p w:rsidR="004B5135" w:rsidRPr="00112127" w:rsidRDefault="004B5135" w:rsidP="004B5135">
      <w:pPr>
        <w:rPr>
          <w:noProof/>
        </w:rPr>
      </w:pPr>
      <w:r w:rsidRPr="00112127">
        <w:rPr>
          <w:noProof/>
        </w:rPr>
        <w:t xml:space="preserve">Id-Deċiżjonijiet, li l-Kumitati Konġunti tal-EU-CTC huma mitluba jadottaw, jikkostitwixxu att li għandu effetti legali. Dawk id-Deċiżjonijiet se jkunu vinkolanti skont id-dritt internazzjonali f’konformità mal-Artikolu 15 tal-Konvenzjoni dwar is-simplifikazzjoni tal-formalitajiet fil-kummerċ tal-oġġetti u l-Artikolu 20 tal-Konvenzjoni dwar proċedura komuni ta’ tranżitu. </w:t>
      </w:r>
    </w:p>
    <w:p w:rsidR="004B5135" w:rsidRPr="00112127" w:rsidRDefault="004B5135" w:rsidP="004B5135">
      <w:pPr>
        <w:rPr>
          <w:noProof/>
        </w:rPr>
      </w:pPr>
      <w:r w:rsidRPr="00112127">
        <w:rPr>
          <w:noProof/>
        </w:rPr>
        <w:t>L-atti previsti la jissupplimentaw u lanqas jemendaw il-qafas istituzzjonali tal-Ftehim.</w:t>
      </w:r>
    </w:p>
    <w:p w:rsidR="00461844" w:rsidRPr="00112127" w:rsidRDefault="00461844" w:rsidP="004B5135">
      <w:pPr>
        <w:rPr>
          <w:noProof/>
        </w:rPr>
      </w:pPr>
      <w:r w:rsidRPr="00112127">
        <w:rPr>
          <w:noProof/>
        </w:rPr>
        <w:t>Għalhekk, il-bażi legali proċedurali tad-deċiżjonijiet proposti hija l-Artikolu 218(9) tat-TFUE.</w:t>
      </w:r>
    </w:p>
    <w:p w:rsidR="00461844" w:rsidRPr="00112127" w:rsidRDefault="00AB351C" w:rsidP="00AB351C">
      <w:pPr>
        <w:pStyle w:val="ManualHeading2"/>
        <w:rPr>
          <w:noProof/>
        </w:rPr>
      </w:pPr>
      <w:r w:rsidRPr="00AB351C">
        <w:rPr>
          <w:noProof/>
        </w:rPr>
        <w:t>4.2.</w:t>
      </w:r>
      <w:r w:rsidRPr="00AB351C">
        <w:rPr>
          <w:noProof/>
        </w:rPr>
        <w:tab/>
      </w:r>
      <w:r w:rsidR="00461844" w:rsidRPr="00112127">
        <w:rPr>
          <w:noProof/>
        </w:rPr>
        <w:t>Bażi legali sostantiva</w:t>
      </w:r>
    </w:p>
    <w:p w:rsidR="00461844" w:rsidRPr="00112127" w:rsidRDefault="00AB351C" w:rsidP="00AB351C">
      <w:pPr>
        <w:pStyle w:val="ManualHeading3"/>
        <w:rPr>
          <w:noProof/>
        </w:rPr>
      </w:pPr>
      <w:r w:rsidRPr="00AB351C">
        <w:rPr>
          <w:noProof/>
        </w:rPr>
        <w:t>4.2.1.</w:t>
      </w:r>
      <w:r w:rsidRPr="00AB351C">
        <w:rPr>
          <w:noProof/>
        </w:rPr>
        <w:tab/>
      </w:r>
      <w:r w:rsidR="00461844" w:rsidRPr="00112127">
        <w:rPr>
          <w:noProof/>
        </w:rPr>
        <w:t>Prinċipji</w:t>
      </w:r>
    </w:p>
    <w:p w:rsidR="00461844" w:rsidRPr="00112127" w:rsidRDefault="00461844" w:rsidP="00736AA9">
      <w:pPr>
        <w:rPr>
          <w:noProof/>
        </w:rPr>
      </w:pPr>
      <w:r w:rsidRPr="00112127">
        <w:rPr>
          <w:noProof/>
        </w:rPr>
        <w:t>Il-bażi legali sostantiva biex tittieħed deċiżjoni skont l-Artikolu 218(9) tat-TFUE tiddependi qabelxejn mill-objettiv u mill-kontenut tal-att previst li dwarhom tittieħed pożizzjoni f’isem l-Unjoni. Jekk l-att previst ikollu żewġ għanijiet jew żewġ komponenti, u jekk wieħed minn dawk l-għanijiet jew komponenti jkun jista’ jiġi identifikat bħala dak ewlieni, filwaqt li l-ieħor ikun sempliċement inċidentali, id-deċiżjoni skont l-Artikolu 218(9) tat-TFUE trid tkun imsejsa fuq bażi legali sostantiva unika, jiġifieri dik meħtieġa mill-għan jew mill-komponent ewlieni jew predominanti.</w:t>
      </w:r>
    </w:p>
    <w:p w:rsidR="00461844" w:rsidRPr="00112127" w:rsidRDefault="00AB351C" w:rsidP="00AB351C">
      <w:pPr>
        <w:pStyle w:val="ManualHeading3"/>
        <w:rPr>
          <w:noProof/>
        </w:rPr>
      </w:pPr>
      <w:r w:rsidRPr="00AB351C">
        <w:rPr>
          <w:noProof/>
        </w:rPr>
        <w:t>4.2.2.</w:t>
      </w:r>
      <w:r w:rsidRPr="00AB351C">
        <w:rPr>
          <w:noProof/>
        </w:rPr>
        <w:tab/>
      </w:r>
      <w:r w:rsidR="00461844" w:rsidRPr="00112127">
        <w:rPr>
          <w:noProof/>
        </w:rPr>
        <w:t>Applikazzjoni għall-każ preżenti</w:t>
      </w:r>
    </w:p>
    <w:p w:rsidR="004B5135" w:rsidRPr="00112127" w:rsidRDefault="00461844" w:rsidP="004B5135">
      <w:pPr>
        <w:rPr>
          <w:noProof/>
        </w:rPr>
      </w:pPr>
      <w:r w:rsidRPr="00112127">
        <w:rPr>
          <w:noProof/>
        </w:rPr>
        <w:t>L-objettiv ewlieni u l-kontenut tal-atti previsti huma relatati mal-politika kummerċjali komuni.</w:t>
      </w:r>
    </w:p>
    <w:p w:rsidR="00461844" w:rsidRPr="00112127" w:rsidRDefault="004B5135" w:rsidP="00736AA9">
      <w:pPr>
        <w:rPr>
          <w:noProof/>
          <w:color w:val="0000FF"/>
        </w:rPr>
      </w:pPr>
      <w:r w:rsidRPr="00112127">
        <w:rPr>
          <w:noProof/>
        </w:rPr>
        <w:t>Għalhekk, il-bażi legali sostantiva tad-deċiżjonijiet proposti hija l-Artikolu 207 tat-TFUE.</w:t>
      </w:r>
    </w:p>
    <w:p w:rsidR="00461844" w:rsidRPr="00112127" w:rsidRDefault="00AB351C" w:rsidP="00AB351C">
      <w:pPr>
        <w:pStyle w:val="ManualHeading2"/>
        <w:rPr>
          <w:noProof/>
        </w:rPr>
      </w:pPr>
      <w:r w:rsidRPr="00AB351C">
        <w:rPr>
          <w:noProof/>
        </w:rPr>
        <w:t>4.3.</w:t>
      </w:r>
      <w:r w:rsidRPr="00AB351C">
        <w:rPr>
          <w:noProof/>
        </w:rPr>
        <w:tab/>
      </w:r>
      <w:r w:rsidR="00461844" w:rsidRPr="00112127">
        <w:rPr>
          <w:noProof/>
        </w:rPr>
        <w:t>Konklużjoni</w:t>
      </w:r>
    </w:p>
    <w:p w:rsidR="00461844" w:rsidRPr="00112127" w:rsidRDefault="00461844" w:rsidP="00736AA9">
      <w:pPr>
        <w:rPr>
          <w:noProof/>
        </w:rPr>
      </w:pPr>
      <w:r w:rsidRPr="00112127">
        <w:rPr>
          <w:noProof/>
        </w:rPr>
        <w:t>Jenħtieġ li l-bażi legali tad-deċiżjoni proposta tkun l-Artikolu 207 tat-TFUE, flimkien mal-Artikolu 218(9) tat-TFUE.</w:t>
      </w:r>
    </w:p>
    <w:p w:rsidR="00461844" w:rsidRPr="00112127" w:rsidRDefault="00AB351C" w:rsidP="00AB351C">
      <w:pPr>
        <w:pStyle w:val="ManualHeading1"/>
        <w:rPr>
          <w:noProof/>
        </w:rPr>
      </w:pPr>
      <w:r w:rsidRPr="00AB351C">
        <w:rPr>
          <w:noProof/>
        </w:rPr>
        <w:t>5.</w:t>
      </w:r>
      <w:r w:rsidRPr="00AB351C">
        <w:rPr>
          <w:noProof/>
        </w:rPr>
        <w:tab/>
      </w:r>
      <w:r w:rsidR="00461844" w:rsidRPr="00112127">
        <w:rPr>
          <w:noProof/>
        </w:rPr>
        <w:t>Pubblikazzjoni tal-att previst</w:t>
      </w:r>
    </w:p>
    <w:p w:rsidR="00461844" w:rsidRPr="00112127" w:rsidRDefault="004B5135" w:rsidP="00736AA9">
      <w:pPr>
        <w:rPr>
          <w:noProof/>
        </w:rPr>
      </w:pPr>
      <w:r w:rsidRPr="00112127">
        <w:rPr>
          <w:noProof/>
        </w:rPr>
        <w:t>Wara l-adozzjoni tagħhom, id-Deċiżjonijiet tal-Kumitati Konġunti msemmija fl-Artikoli 1 u 2 għandhom jiġu ppubblikati f’</w:t>
      </w:r>
      <w:r w:rsidRPr="00112127">
        <w:rPr>
          <w:i/>
          <w:iCs/>
          <w:noProof/>
        </w:rPr>
        <w:t>Il-Ġurnal Uffiċjali tal-Unjoni Ewropea</w:t>
      </w:r>
      <w:r w:rsidRPr="00112127">
        <w:rPr>
          <w:noProof/>
        </w:rPr>
        <w:t>.</w:t>
      </w:r>
    </w:p>
    <w:p w:rsidR="00461844" w:rsidRPr="00112127" w:rsidRDefault="00461844" w:rsidP="00FD40BA">
      <w:pPr>
        <w:rPr>
          <w:noProof/>
        </w:rPr>
        <w:sectPr w:rsidR="00461844" w:rsidRPr="00112127" w:rsidSect="008E7333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 w:rsidR="00084009" w:rsidRDefault="007E138F">
      <w:pPr>
        <w:pStyle w:val="Rfrenceinterinstitutionnelle"/>
        <w:rPr>
          <w:noProof/>
        </w:rPr>
      </w:pPr>
      <w:r>
        <w:rPr>
          <w:noProof/>
        </w:rPr>
        <w:t>2024/0220 (NLE)</w:t>
      </w:r>
    </w:p>
    <w:p w:rsidR="00461844" w:rsidRPr="00112127" w:rsidRDefault="00112127" w:rsidP="00112127">
      <w:pPr>
        <w:pStyle w:val="Statut"/>
        <w:rPr>
          <w:noProof/>
        </w:rPr>
      </w:pPr>
      <w:r w:rsidRPr="00112127">
        <w:rPr>
          <w:noProof/>
        </w:rPr>
        <w:t>Proposta għal</w:t>
      </w:r>
    </w:p>
    <w:p w:rsidR="00461844" w:rsidRPr="00112127" w:rsidRDefault="00112127" w:rsidP="00112127">
      <w:pPr>
        <w:pStyle w:val="Typedudocument"/>
        <w:rPr>
          <w:noProof/>
        </w:rPr>
      </w:pPr>
      <w:r w:rsidRPr="00112127">
        <w:rPr>
          <w:noProof/>
        </w:rPr>
        <w:t>DEĊIŻJONI TAL-KUNSILL</w:t>
      </w:r>
    </w:p>
    <w:p w:rsidR="00461844" w:rsidRPr="00112127" w:rsidRDefault="00112127" w:rsidP="00112127">
      <w:pPr>
        <w:pStyle w:val="Titreobjet"/>
        <w:rPr>
          <w:noProof/>
        </w:rPr>
      </w:pPr>
      <w:r w:rsidRPr="00112127">
        <w:rPr>
          <w:noProof/>
        </w:rPr>
        <w:t>dwar il-pożizzjoni li għandha tittieħed f’isem l-Unjoni Ewropea fil-Kumitat Konġunt EU-CTC stabbilit bil-Konvenzjoni tal-20 ta’ Mejju 1987 dwar is-simplifikazzjoni tal-formalitajiet fil-kummerċ tal-oġġetti u tal-Kumitat Konġunt EU-CTC stabbilit bil-Konvenzjoni tal-20 ta’ Mejju 1987 dwar Proċedura komuni ta’ tranżitu fir-rigward tal-istediniet biex il-Georgia taderixxi ma’ dawk il-Konvenzjonijiet</w:t>
      </w:r>
    </w:p>
    <w:p w:rsidR="00461844" w:rsidRPr="00112127" w:rsidRDefault="00461844" w:rsidP="00BE7CB9">
      <w:pPr>
        <w:pStyle w:val="Institutionquiagit"/>
        <w:rPr>
          <w:noProof/>
        </w:rPr>
      </w:pPr>
      <w:r w:rsidRPr="00112127">
        <w:rPr>
          <w:noProof/>
        </w:rPr>
        <w:t>IL-KUNSILL TAL-UNJONI EWROPEA,</w:t>
      </w:r>
    </w:p>
    <w:p w:rsidR="00461844" w:rsidRPr="00112127" w:rsidRDefault="00461844" w:rsidP="00BE7CB9">
      <w:pPr>
        <w:rPr>
          <w:noProof/>
        </w:rPr>
      </w:pPr>
      <w:r w:rsidRPr="00112127">
        <w:rPr>
          <w:noProof/>
        </w:rPr>
        <w:t>Wara li kkunsidra t-Trattat dwar il-Funzjonament tal-Unjoni Ewropea, u b’mod partikolari l-Artikolu 207, flimkien mal-Artikolu 218(9) tiegħu,</w:t>
      </w:r>
    </w:p>
    <w:p w:rsidR="00461844" w:rsidRPr="00112127" w:rsidRDefault="00461844" w:rsidP="00BE7CB9">
      <w:pPr>
        <w:rPr>
          <w:noProof/>
        </w:rPr>
      </w:pPr>
      <w:r w:rsidRPr="00112127">
        <w:rPr>
          <w:noProof/>
        </w:rPr>
        <w:t>Wara li kkunsidra l-proposta tal-Kummissjoni Ewropea,</w:t>
      </w:r>
    </w:p>
    <w:p w:rsidR="00461844" w:rsidRPr="00112127" w:rsidRDefault="00461844" w:rsidP="00BE7CB9">
      <w:pPr>
        <w:rPr>
          <w:noProof/>
        </w:rPr>
      </w:pPr>
      <w:r w:rsidRPr="00112127">
        <w:rPr>
          <w:noProof/>
        </w:rPr>
        <w:t>Billi:</w:t>
      </w:r>
    </w:p>
    <w:p w:rsidR="006D55F8" w:rsidRPr="00112127" w:rsidRDefault="00AB351C" w:rsidP="00AB351C">
      <w:pPr>
        <w:pStyle w:val="ManualConsidrant"/>
        <w:rPr>
          <w:noProof/>
        </w:rPr>
      </w:pPr>
      <w:r w:rsidRPr="00AB351C">
        <w:rPr>
          <w:noProof/>
        </w:rPr>
        <w:t>(1)</w:t>
      </w:r>
      <w:r w:rsidRPr="00AB351C">
        <w:rPr>
          <w:noProof/>
        </w:rPr>
        <w:tab/>
      </w:r>
      <w:r w:rsidR="006D55F8" w:rsidRPr="00112127">
        <w:rPr>
          <w:noProof/>
        </w:rPr>
        <w:t>Il-Konvenzjoni tal-20 ta’ Mejju 1987 dwar is-simplifikazzjoni tal-formalitajiet fil-kummerċ tal-oġġetti</w:t>
      </w:r>
      <w:r w:rsidR="006D55F8" w:rsidRPr="00112127">
        <w:rPr>
          <w:rStyle w:val="FootnoteReference"/>
          <w:noProof/>
        </w:rPr>
        <w:footnoteReference w:id="7"/>
      </w:r>
      <w:r w:rsidR="006D55F8" w:rsidRPr="00112127">
        <w:rPr>
          <w:noProof/>
        </w:rPr>
        <w:t xml:space="preserve"> u l-Konvenzjoni tal-20 ta’ Mejju 1987 dwar proċedura komuni ta’ tranżitu</w:t>
      </w:r>
      <w:r w:rsidR="006D55F8" w:rsidRPr="00112127">
        <w:rPr>
          <w:rStyle w:val="FootnoteReference"/>
          <w:noProof/>
        </w:rPr>
        <w:footnoteReference w:id="8"/>
      </w:r>
      <w:r w:rsidR="006D55F8" w:rsidRPr="00112127">
        <w:rPr>
          <w:noProof/>
        </w:rPr>
        <w:t xml:space="preserve"> (“il-Konvenzjonijiet”) ġew konklużi bejn il-Komunità Ekonomika Ewropea, ir-Repubblika tal-Awstrija, ir-Repubblika tal-Finlandja, ir-Repubblika tal-Iżlanda, ir-Renju tan-Norveġja, ir-Renju tal-Iżvezja u l-Konfederazzjoni Żvizzera fl-20 ta’ Mejju 1987 u daħlu fis-seħħ fl-1 ta’ Jannar 1988.</w:t>
      </w:r>
    </w:p>
    <w:p w:rsidR="006D55F8" w:rsidRPr="00112127" w:rsidRDefault="00AB351C" w:rsidP="00AB351C">
      <w:pPr>
        <w:pStyle w:val="ManualConsidrant"/>
        <w:rPr>
          <w:noProof/>
        </w:rPr>
      </w:pPr>
      <w:r w:rsidRPr="00AB351C">
        <w:rPr>
          <w:noProof/>
        </w:rPr>
        <w:t>(2)</w:t>
      </w:r>
      <w:r w:rsidRPr="00AB351C">
        <w:rPr>
          <w:noProof/>
        </w:rPr>
        <w:tab/>
      </w:r>
      <w:r w:rsidR="006D55F8" w:rsidRPr="00112127">
        <w:rPr>
          <w:noProof/>
        </w:rPr>
        <w:t>Il-Georgia esprimiet ix-xewqa tagħha li taderixxi għall-Konvenzjonijiet ladarba tkun ikkonformat mar-rekwiżiti marbuta mal-adeżjoni tagħha.</w:t>
      </w:r>
    </w:p>
    <w:p w:rsidR="006D55F8" w:rsidRPr="00112127" w:rsidRDefault="00AB351C" w:rsidP="00AB351C">
      <w:pPr>
        <w:pStyle w:val="ManualConsidrant"/>
        <w:rPr>
          <w:noProof/>
        </w:rPr>
      </w:pPr>
      <w:r w:rsidRPr="00AB351C">
        <w:rPr>
          <w:noProof/>
        </w:rPr>
        <w:t>(3)</w:t>
      </w:r>
      <w:r w:rsidRPr="00AB351C">
        <w:rPr>
          <w:noProof/>
        </w:rPr>
        <w:tab/>
      </w:r>
      <w:r w:rsidR="006D55F8" w:rsidRPr="00112127">
        <w:rPr>
          <w:noProof/>
        </w:rPr>
        <w:t>Skont l-Artikolu 11(3) tal-Konvenzjoni dwar is-simplifikazzjoni tal-formalitajiet fil-kummerċ tal-oġġetti, il-Kumitat Konġunt bejn l-UE u l-Pajjiżi ta’ Tranżitu Komuni (CTC, Common transit countries) stabbilit minn dik il-Konvenzjoni permezz ta’ deċiżjoni jista’ jadotta stediniet biex il-pajjiżi terzi jaderixxu ma’ dik il-Konvenzjoni.</w:t>
      </w:r>
    </w:p>
    <w:p w:rsidR="006D55F8" w:rsidRPr="00112127" w:rsidRDefault="00AB351C" w:rsidP="00AB351C">
      <w:pPr>
        <w:pStyle w:val="ManualConsidrant"/>
        <w:rPr>
          <w:noProof/>
        </w:rPr>
      </w:pPr>
      <w:r w:rsidRPr="00AB351C">
        <w:rPr>
          <w:noProof/>
        </w:rPr>
        <w:t>(4)</w:t>
      </w:r>
      <w:r w:rsidRPr="00AB351C">
        <w:rPr>
          <w:noProof/>
        </w:rPr>
        <w:tab/>
      </w:r>
      <w:r w:rsidR="006D55F8" w:rsidRPr="00112127">
        <w:rPr>
          <w:noProof/>
        </w:rPr>
        <w:t>Skont l-Artikolu 15(3) tal-Konvenzjoni dwar proċedura komuni ta’ tranżitu, il-Kumitat Konġunt EU-CTC stabbilit minn dik il-Konvenzjoni, permezz ta’ deċiżjoni jista’ jadotta stediniet biex il-pajjiżi terzi jaderixxu ma’ dik il-Konvenzjoni.</w:t>
      </w:r>
    </w:p>
    <w:p w:rsidR="006D55F8" w:rsidRPr="00112127" w:rsidRDefault="00AB351C" w:rsidP="00AB351C">
      <w:pPr>
        <w:pStyle w:val="ManualConsidrant"/>
        <w:rPr>
          <w:noProof/>
        </w:rPr>
      </w:pPr>
      <w:r w:rsidRPr="00AB351C">
        <w:rPr>
          <w:noProof/>
        </w:rPr>
        <w:t>(5)</w:t>
      </w:r>
      <w:r w:rsidRPr="00AB351C">
        <w:rPr>
          <w:noProof/>
        </w:rPr>
        <w:tab/>
      </w:r>
      <w:r w:rsidR="006D55F8" w:rsidRPr="00112127">
        <w:rPr>
          <w:noProof/>
        </w:rPr>
        <w:t>Jixraq li tiġi stabbilita l-pożizzjoni li għandha tittieħed f’isem l-Unjoni fil-Kumitati Konġunti EU-CTC stabbiliti mill-Konvenzjonijiet, peress li d-deċiżjonijiet li jistiednu lill-Georgia taderixxi għall-Konvenzjonijiet se jkunu vinkolanti għall-Unjoni.</w:t>
      </w:r>
    </w:p>
    <w:p w:rsidR="006D55F8" w:rsidRPr="00112127" w:rsidRDefault="00AB351C" w:rsidP="00AB351C">
      <w:pPr>
        <w:pStyle w:val="ManualConsidrant"/>
        <w:rPr>
          <w:noProof/>
        </w:rPr>
      </w:pPr>
      <w:r w:rsidRPr="00AB351C">
        <w:rPr>
          <w:noProof/>
        </w:rPr>
        <w:t>(6)</w:t>
      </w:r>
      <w:r w:rsidRPr="00AB351C">
        <w:rPr>
          <w:noProof/>
        </w:rPr>
        <w:tab/>
      </w:r>
      <w:r w:rsidR="006D55F8" w:rsidRPr="00112127">
        <w:rPr>
          <w:noProof/>
        </w:rPr>
        <w:t xml:space="preserve">Il-Konvenzjonijiet se jiżguraw proċeduri effiċjenti għall-qsim tal-fruntieri bejn il-Georgia u l-partijiet għall-Konvenzjonijiet. </w:t>
      </w:r>
    </w:p>
    <w:p w:rsidR="006D55F8" w:rsidRPr="00112127" w:rsidRDefault="00AB351C" w:rsidP="00AB351C">
      <w:pPr>
        <w:pStyle w:val="ManualConsidrant"/>
        <w:rPr>
          <w:noProof/>
        </w:rPr>
      </w:pPr>
      <w:r w:rsidRPr="00AB351C">
        <w:rPr>
          <w:noProof/>
        </w:rPr>
        <w:t>(7)</w:t>
      </w:r>
      <w:r w:rsidRPr="00AB351C">
        <w:rPr>
          <w:noProof/>
        </w:rPr>
        <w:tab/>
      </w:r>
      <w:r w:rsidR="006D55F8" w:rsidRPr="00112127">
        <w:rPr>
          <w:noProof/>
        </w:rPr>
        <w:t>Għalhekk, il-pożizzjoni tal-Unjoni fil-Kumitati Konġunti stabbiliti mill-Konvenzjonijiet jenħtieġ li tkun favorevoli għall-istedina biex il-Georgia taderixxi ma’ dawk il-Konvenzjonijiet u tkun imsejsa fuq l-abbozzi tad-Deċiżjonijiet li jirriflettu dik il-pożizzjoni.</w:t>
      </w:r>
    </w:p>
    <w:p w:rsidR="00461844" w:rsidRPr="00112127" w:rsidRDefault="00AB351C" w:rsidP="00AB351C">
      <w:pPr>
        <w:pStyle w:val="ManualConsidrant"/>
        <w:rPr>
          <w:noProof/>
        </w:rPr>
      </w:pPr>
      <w:r w:rsidRPr="00AB351C">
        <w:rPr>
          <w:noProof/>
        </w:rPr>
        <w:t>(8)</w:t>
      </w:r>
      <w:r w:rsidRPr="00AB351C">
        <w:rPr>
          <w:noProof/>
        </w:rPr>
        <w:tab/>
      </w:r>
      <w:r w:rsidR="006D55F8" w:rsidRPr="00112127">
        <w:rPr>
          <w:noProof/>
        </w:rPr>
        <w:t>Sabiex tiġi ffaċilitata l-adeżjoni f’waqtha tal-Georgia, huwa meħtieġ li din id-deċiżjoni tiġi adottata mingħajr dewmien.</w:t>
      </w:r>
    </w:p>
    <w:p w:rsidR="00461844" w:rsidRPr="00112127" w:rsidRDefault="00461844" w:rsidP="00BE7CB9">
      <w:pPr>
        <w:pStyle w:val="Formuledadoption"/>
        <w:rPr>
          <w:noProof/>
        </w:rPr>
      </w:pPr>
      <w:r w:rsidRPr="00112127">
        <w:rPr>
          <w:noProof/>
        </w:rPr>
        <w:t>ADOTTA DIN ID-DEĊIŻJONI:</w:t>
      </w:r>
    </w:p>
    <w:p w:rsidR="00461844" w:rsidRPr="00112127" w:rsidRDefault="00461844" w:rsidP="00BE7CB9">
      <w:pPr>
        <w:pStyle w:val="Titrearticle"/>
        <w:rPr>
          <w:noProof/>
        </w:rPr>
      </w:pPr>
      <w:r w:rsidRPr="00112127">
        <w:rPr>
          <w:noProof/>
        </w:rPr>
        <w:t>Artikolu 1</w:t>
      </w:r>
    </w:p>
    <w:p w:rsidR="00461844" w:rsidRPr="00112127" w:rsidRDefault="006D55F8" w:rsidP="00BE7CB9">
      <w:pPr>
        <w:rPr>
          <w:noProof/>
        </w:rPr>
      </w:pPr>
      <w:r w:rsidRPr="00112127">
        <w:rPr>
          <w:noProof/>
        </w:rPr>
        <w:t>Il-pożizzjoni li għandha tittieħed f’isem l-Unjoni fil-Kumitat Konġunt EU-CTC stabbilit bil-Konvenzjoni tal-20 ta’ Mejju 1987 dwar is-simplifikazzjoni tal-formalitajiet fil-kummerċ tal-oġġetti fir-rigward tal-istedina biex il-Georgia taderixxi ma’ dik il-Konvenzjoni għandha tkun imsejsa fuq l-abbozz tad-Deċiżjoni ta’ dak il-Kumitat Konġunt stabbilit fl-Anness I ta’ din id-Deċiżjoni.</w:t>
      </w:r>
    </w:p>
    <w:p w:rsidR="00461844" w:rsidRPr="00112127" w:rsidRDefault="00461844" w:rsidP="00BE7CB9">
      <w:pPr>
        <w:pStyle w:val="Titrearticle"/>
        <w:rPr>
          <w:noProof/>
        </w:rPr>
      </w:pPr>
      <w:r w:rsidRPr="00112127">
        <w:rPr>
          <w:noProof/>
        </w:rPr>
        <w:t>Artikolu 2</w:t>
      </w:r>
    </w:p>
    <w:p w:rsidR="00461844" w:rsidRPr="00112127" w:rsidRDefault="00461844" w:rsidP="00BE7CB9">
      <w:pPr>
        <w:rPr>
          <w:noProof/>
        </w:rPr>
      </w:pPr>
      <w:r w:rsidRPr="00112127">
        <w:rPr>
          <w:noProof/>
        </w:rPr>
        <w:t>Il-pożizzjoni li għandha tittieħed f’isem l-Unjoni fil-Kumitat Konġunt tal-EU-CTC stabbilit bil-Konvenzjoni tal-20 ta’ Mejju 1987 dwar tranżitu komuni fir-rigward ta’ stedina biex il-Georgia taderixxi ma’ dik il-Konvenzjoni għandha tkun imsejsa fuq l-abbozz tad-Deċiżjoni ta’ dak il-Kumitat Konġunt stabbilit fl-Anness II ta’ din id-Deċiżjoni.</w:t>
      </w:r>
    </w:p>
    <w:p w:rsidR="00461844" w:rsidRPr="00112127" w:rsidRDefault="00461844" w:rsidP="00BE7CB9">
      <w:pPr>
        <w:pStyle w:val="Titrearticle"/>
        <w:rPr>
          <w:noProof/>
        </w:rPr>
      </w:pPr>
      <w:r w:rsidRPr="00112127">
        <w:rPr>
          <w:noProof/>
        </w:rPr>
        <w:t>Artikolu 3</w:t>
      </w:r>
    </w:p>
    <w:p w:rsidR="006D55F8" w:rsidRPr="00112127" w:rsidRDefault="006D55F8" w:rsidP="00BE7CB9">
      <w:pPr>
        <w:rPr>
          <w:noProof/>
        </w:rPr>
      </w:pPr>
      <w:r w:rsidRPr="00112127">
        <w:rPr>
          <w:noProof/>
        </w:rPr>
        <w:t>Wara l-adozzjoni tagħhom, id-deċiżjonijiet tal-Kumitati Konġunti msemmija fl-Artikoli 1 u 2 għandhom jiġu ppubblikati f’</w:t>
      </w:r>
      <w:r w:rsidRPr="00112127">
        <w:rPr>
          <w:i/>
          <w:iCs/>
          <w:noProof/>
        </w:rPr>
        <w:t>Il-Ġurnal Uffiċjali tal-Unjoni Ewropea</w:t>
      </w:r>
      <w:r w:rsidRPr="00112127">
        <w:rPr>
          <w:noProof/>
        </w:rPr>
        <w:t>.</w:t>
      </w:r>
    </w:p>
    <w:p w:rsidR="00461844" w:rsidRPr="00112127" w:rsidRDefault="00461844" w:rsidP="00BE7CB9">
      <w:pPr>
        <w:rPr>
          <w:noProof/>
        </w:rPr>
      </w:pPr>
      <w:r w:rsidRPr="00112127">
        <w:rPr>
          <w:noProof/>
        </w:rPr>
        <w:t>Din id-Deċiżjoni hija indirizzata lill-Istati Membri</w:t>
      </w:r>
      <w:r w:rsidRPr="00112127">
        <w:rPr>
          <w:i/>
          <w:noProof/>
        </w:rPr>
        <w:t>.</w:t>
      </w:r>
    </w:p>
    <w:p w:rsidR="00461844" w:rsidRPr="00112127" w:rsidRDefault="00112127" w:rsidP="009148F1">
      <w:pPr>
        <w:pStyle w:val="Fait"/>
        <w:rPr>
          <w:noProof/>
        </w:rPr>
      </w:pPr>
      <w:r>
        <w:rPr>
          <w:noProof/>
        </w:rPr>
        <w:t>Magħmul fi Brussell,</w:t>
      </w:r>
    </w:p>
    <w:p w:rsidR="00461844" w:rsidRPr="00112127" w:rsidRDefault="00461844" w:rsidP="009148F1">
      <w:pPr>
        <w:pStyle w:val="Institutionquisigne"/>
        <w:rPr>
          <w:noProof/>
        </w:rPr>
      </w:pPr>
      <w:r w:rsidRPr="00112127">
        <w:rPr>
          <w:noProof/>
        </w:rPr>
        <w:tab/>
        <w:t>Għall-Kunsill</w:t>
      </w:r>
    </w:p>
    <w:p w:rsidR="00461844" w:rsidRPr="00112127" w:rsidRDefault="00461844" w:rsidP="00461844">
      <w:pPr>
        <w:pStyle w:val="Personnequisigne"/>
        <w:rPr>
          <w:noProof/>
        </w:rPr>
      </w:pPr>
      <w:r w:rsidRPr="00112127">
        <w:rPr>
          <w:noProof/>
        </w:rPr>
        <w:tab/>
        <w:t>Il-President</w:t>
      </w:r>
    </w:p>
    <w:sectPr w:rsidR="00461844" w:rsidRPr="00112127" w:rsidSect="008E7333"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844" w:rsidRDefault="00461844" w:rsidP="00461844">
      <w:pPr>
        <w:spacing w:before="0" w:after="0"/>
      </w:pPr>
      <w:r>
        <w:separator/>
      </w:r>
    </w:p>
  </w:endnote>
  <w:endnote w:type="continuationSeparator" w:id="0">
    <w:p w:rsidR="00461844" w:rsidRDefault="00461844" w:rsidP="0046184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333" w:rsidRPr="008E7333" w:rsidRDefault="008E7333" w:rsidP="008E7333">
    <w:pPr>
      <w:pStyle w:val="Footer"/>
      <w:rPr>
        <w:rFonts w:ascii="Arial" w:hAnsi="Arial" w:cs="Arial"/>
        <w:b/>
        <w:sz w:val="48"/>
      </w:rPr>
    </w:pPr>
    <w:r w:rsidRPr="008E7333">
      <w:rPr>
        <w:rFonts w:ascii="Arial" w:hAnsi="Arial" w:cs="Arial"/>
        <w:b/>
        <w:sz w:val="48"/>
      </w:rPr>
      <w:t>MT</w:t>
    </w:r>
    <w:r w:rsidRPr="008E7333">
      <w:rPr>
        <w:rFonts w:ascii="Arial" w:hAnsi="Arial" w:cs="Arial"/>
        <w:b/>
        <w:sz w:val="48"/>
      </w:rPr>
      <w:tab/>
    </w:r>
    <w:r w:rsidRPr="008E7333">
      <w:rPr>
        <w:rFonts w:ascii="Arial" w:hAnsi="Arial" w:cs="Arial"/>
        <w:b/>
        <w:sz w:val="48"/>
      </w:rPr>
      <w:tab/>
    </w:r>
    <w:r w:rsidRPr="008E7333">
      <w:tab/>
    </w:r>
    <w:r w:rsidRPr="008E7333">
      <w:rPr>
        <w:rFonts w:ascii="Arial" w:hAnsi="Arial" w:cs="Arial"/>
        <w:b/>
        <w:sz w:val="48"/>
      </w:rPr>
      <w:t>MT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333" w:rsidRPr="008E7333" w:rsidRDefault="008E7333" w:rsidP="008E7333">
    <w:pPr>
      <w:pStyle w:val="Footer"/>
      <w:rPr>
        <w:rFonts w:ascii="Arial" w:hAnsi="Arial" w:cs="Arial"/>
        <w:b/>
        <w:sz w:val="48"/>
      </w:rPr>
    </w:pPr>
    <w:r w:rsidRPr="008E7333">
      <w:rPr>
        <w:rFonts w:ascii="Arial" w:hAnsi="Arial" w:cs="Arial"/>
        <w:b/>
        <w:sz w:val="48"/>
      </w:rPr>
      <w:t>MT</w:t>
    </w:r>
    <w:r w:rsidRPr="008E7333">
      <w:rPr>
        <w:rFonts w:ascii="Arial" w:hAnsi="Arial" w:cs="Arial"/>
        <w:b/>
        <w:sz w:val="48"/>
      </w:rPr>
      <w:tab/>
    </w:r>
    <w:r w:rsidRPr="008E7333">
      <w:rPr>
        <w:rFonts w:ascii="Arial" w:hAnsi="Arial" w:cs="Arial"/>
        <w:b/>
        <w:sz w:val="48"/>
      </w:rPr>
      <w:tab/>
    </w:r>
    <w:r w:rsidRPr="008E7333">
      <w:tab/>
    </w:r>
    <w:r w:rsidRPr="008E7333">
      <w:rPr>
        <w:rFonts w:ascii="Arial" w:hAnsi="Arial" w:cs="Arial"/>
        <w:b/>
        <w:sz w:val="48"/>
      </w:rPr>
      <w:t>MT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333" w:rsidRDefault="008E733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333" w:rsidRPr="008E7333" w:rsidRDefault="008E7333" w:rsidP="008E7333">
    <w:pPr>
      <w:pStyle w:val="Footer"/>
      <w:rPr>
        <w:rFonts w:ascii="Arial" w:hAnsi="Arial" w:cs="Arial"/>
        <w:b/>
        <w:sz w:val="48"/>
      </w:rPr>
    </w:pPr>
    <w:r w:rsidRPr="008E7333">
      <w:rPr>
        <w:rFonts w:ascii="Arial" w:hAnsi="Arial" w:cs="Arial"/>
        <w:b/>
        <w:sz w:val="48"/>
      </w:rPr>
      <w:t>MT</w:t>
    </w:r>
    <w:r w:rsidRPr="008E7333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9148F1">
      <w:rPr>
        <w:noProof/>
      </w:rPr>
      <w:t>6</w:t>
    </w:r>
    <w:r>
      <w:fldChar w:fldCharType="end"/>
    </w:r>
    <w:r>
      <w:tab/>
    </w:r>
    <w:r w:rsidRPr="008E7333">
      <w:tab/>
    </w:r>
    <w:r w:rsidRPr="008E7333">
      <w:rPr>
        <w:rFonts w:ascii="Arial" w:hAnsi="Arial" w:cs="Arial"/>
        <w:b/>
        <w:sz w:val="48"/>
      </w:rPr>
      <w:t>MT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333" w:rsidRDefault="008E7333" w:rsidP="008E7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844" w:rsidRDefault="00461844" w:rsidP="00461844">
      <w:pPr>
        <w:spacing w:before="0" w:after="0"/>
      </w:pPr>
      <w:r>
        <w:separator/>
      </w:r>
    </w:p>
  </w:footnote>
  <w:footnote w:type="continuationSeparator" w:id="0">
    <w:p w:rsidR="00461844" w:rsidRDefault="00461844" w:rsidP="00461844">
      <w:pPr>
        <w:spacing w:before="0" w:after="0"/>
      </w:pPr>
      <w:r>
        <w:continuationSeparator/>
      </w:r>
    </w:p>
  </w:footnote>
  <w:footnote w:id="1">
    <w:p w:rsidR="00BA6844" w:rsidRPr="0052214B" w:rsidRDefault="00BA6844" w:rsidP="00BA6844">
      <w:pPr>
        <w:pStyle w:val="FootnoteText"/>
      </w:pPr>
      <w:r>
        <w:rPr>
          <w:rStyle w:val="FootnoteReference"/>
        </w:rPr>
        <w:footnoteRef/>
      </w:r>
      <w:r>
        <w:tab/>
        <w:t>ĠU L 134, 22.05.1987, p.2</w:t>
      </w:r>
    </w:p>
  </w:footnote>
  <w:footnote w:id="2">
    <w:p w:rsidR="00BA6844" w:rsidRPr="0052214B" w:rsidRDefault="00BA6844" w:rsidP="00BA6844">
      <w:pPr>
        <w:pStyle w:val="FootnoteText"/>
      </w:pPr>
      <w:r>
        <w:rPr>
          <w:rStyle w:val="FootnoteReference"/>
        </w:rPr>
        <w:footnoteRef/>
      </w:r>
      <w:r>
        <w:tab/>
        <w:t>ĠU L 226, 13.8.1987, p. 2.</w:t>
      </w:r>
    </w:p>
  </w:footnote>
  <w:footnote w:id="3">
    <w:p w:rsidR="00611878" w:rsidRDefault="00611878">
      <w:pPr>
        <w:pStyle w:val="FootnoteText"/>
      </w:pPr>
      <w:r>
        <w:rPr>
          <w:rStyle w:val="FootnoteReference"/>
        </w:rPr>
        <w:footnoteRef/>
      </w:r>
      <w:r>
        <w:tab/>
        <w:t xml:space="preserve">KUMM (2001) 289 finali </w:t>
      </w:r>
    </w:p>
  </w:footnote>
  <w:footnote w:id="4">
    <w:p w:rsidR="00611878" w:rsidRDefault="00611878">
      <w:pPr>
        <w:pStyle w:val="FootnoteText"/>
      </w:pPr>
      <w:r>
        <w:rPr>
          <w:rStyle w:val="FootnoteReference"/>
        </w:rPr>
        <w:footnoteRef/>
      </w:r>
      <w:r>
        <w:tab/>
        <w:t xml:space="preserve">KUMM (2010) 668 finali </w:t>
      </w:r>
    </w:p>
  </w:footnote>
  <w:footnote w:id="5">
    <w:p w:rsidR="00170CDA" w:rsidRDefault="00170CDA">
      <w:pPr>
        <w:pStyle w:val="FootnoteText"/>
      </w:pPr>
      <w:r>
        <w:rPr>
          <w:rStyle w:val="FootnoteReference"/>
        </w:rPr>
        <w:footnoteRef/>
      </w:r>
      <w:r>
        <w:tab/>
        <w:t xml:space="preserve">8636/11 </w:t>
      </w:r>
    </w:p>
  </w:footnote>
  <w:footnote w:id="6">
    <w:p w:rsidR="00461844" w:rsidRPr="00B035F8" w:rsidRDefault="00461844" w:rsidP="00736AA9">
      <w:pPr>
        <w:pStyle w:val="FootnoteText"/>
      </w:pPr>
      <w:r>
        <w:rPr>
          <w:rStyle w:val="FootnoteReference"/>
        </w:rPr>
        <w:footnoteRef/>
      </w:r>
      <w:r>
        <w:tab/>
        <w:t xml:space="preserve">Is-sentenza tal-Qorti tal-Ġustizzja tas-7 ta’ Ottubru 2014, Il-Ġermanja v Il-Kunsill, C-399/12, ECLI:EU:C:2014:2258, il-punti 61 sa 64. </w:t>
      </w:r>
    </w:p>
  </w:footnote>
  <w:footnote w:id="7">
    <w:p w:rsidR="006D55F8" w:rsidRDefault="006D55F8" w:rsidP="006D55F8">
      <w:pPr>
        <w:pStyle w:val="FootnoteText"/>
      </w:pPr>
      <w:r>
        <w:rPr>
          <w:rStyle w:val="FootnoteReference"/>
        </w:rPr>
        <w:footnoteRef/>
      </w:r>
      <w:r>
        <w:tab/>
        <w:t>ĠU L 134, 22.5.1987, p. 2.</w:t>
      </w:r>
    </w:p>
  </w:footnote>
  <w:footnote w:id="8">
    <w:p w:rsidR="006D55F8" w:rsidRDefault="006D55F8" w:rsidP="006D55F8">
      <w:pPr>
        <w:pStyle w:val="FootnoteText"/>
      </w:pPr>
      <w:r>
        <w:rPr>
          <w:rStyle w:val="FootnoteReference"/>
        </w:rPr>
        <w:footnoteRef/>
      </w:r>
      <w:r>
        <w:tab/>
        <w:t xml:space="preserve">ĠU L 226, 13.8.1987, p. 2.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333" w:rsidRDefault="008E73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333" w:rsidRDefault="008E73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E08869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AD02B4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D6C7D4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9E5A7D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7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0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1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2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3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4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8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5"/>
  </w:num>
  <w:num w:numId="8">
    <w:abstractNumId w:val="8"/>
  </w:num>
  <w:num w:numId="9">
    <w:abstractNumId w:val="17"/>
  </w:num>
  <w:num w:numId="10">
    <w:abstractNumId w:val="7"/>
  </w:num>
  <w:num w:numId="11">
    <w:abstractNumId w:val="9"/>
  </w:num>
  <w:num w:numId="12">
    <w:abstractNumId w:val="10"/>
  </w:num>
  <w:num w:numId="13">
    <w:abstractNumId w:val="5"/>
  </w:num>
  <w:num w:numId="14">
    <w:abstractNumId w:val="16"/>
  </w:num>
  <w:num w:numId="15">
    <w:abstractNumId w:val="4"/>
  </w:num>
  <w:num w:numId="16">
    <w:abstractNumId w:val="11"/>
  </w:num>
  <w:num w:numId="17">
    <w:abstractNumId w:val="13"/>
  </w:num>
  <w:num w:numId="18">
    <w:abstractNumId w:val="14"/>
  </w:num>
  <w:num w:numId="19">
    <w:abstractNumId w:val="6"/>
  </w:num>
  <w:num w:numId="20">
    <w:abstractNumId w:val="12"/>
  </w:num>
  <w:num w:numId="21">
    <w:abstractNumId w:val="18"/>
  </w:num>
  <w:num w:numId="22">
    <w:abstractNumId w:val="15"/>
  </w:num>
  <w:num w:numId="23">
    <w:abstractNumId w:val="8"/>
  </w:num>
  <w:num w:numId="24">
    <w:abstractNumId w:val="17"/>
  </w:num>
  <w:num w:numId="25">
    <w:abstractNumId w:val="7"/>
  </w:num>
  <w:num w:numId="26">
    <w:abstractNumId w:val="9"/>
  </w:num>
  <w:num w:numId="27">
    <w:abstractNumId w:val="10"/>
  </w:num>
  <w:num w:numId="28">
    <w:abstractNumId w:val="5"/>
  </w:num>
  <w:num w:numId="29">
    <w:abstractNumId w:val="16"/>
  </w:num>
  <w:num w:numId="30">
    <w:abstractNumId w:val="4"/>
  </w:num>
  <w:num w:numId="31">
    <w:abstractNumId w:val="11"/>
  </w:num>
  <w:num w:numId="32">
    <w:abstractNumId w:val="13"/>
  </w:num>
  <w:num w:numId="33">
    <w:abstractNumId w:val="14"/>
  </w:num>
  <w:num w:numId="34">
    <w:abstractNumId w:val="6"/>
  </w:num>
  <w:num w:numId="35">
    <w:abstractNumId w:val="12"/>
  </w:num>
  <w:num w:numId="36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4-08-30 13:05:57"/>
    <w:docVar w:name="DQCResult_Distribution" w:val="0;0"/>
    <w:docVar w:name="DQCResult_DocumentContent" w:val="0;0"/>
    <w:docVar w:name="DQCResult_DocumentSize" w:val="0;0"/>
    <w:docVar w:name="DQCResult_InvalidFootnotes" w:val="0;0"/>
    <w:docVar w:name="DQCResult_ModifiedMarkers" w:val="0;0"/>
    <w:docVar w:name="DQCResult_ModifiedNumbering" w:val="0;0"/>
    <w:docVar w:name="DQCResult_Objects" w:val="0;0"/>
    <w:docVar w:name="DQCResult_StructureCheck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4CAD1EF5-8805-44FB-B400-96495705A97E"/>
    <w:docVar w:name="LW_COVERPAGE_TYPE" w:val="1"/>
    <w:docVar w:name="LW_CROSSREFERENCE" w:val="&lt;UNUSED&gt;"/>
    <w:docVar w:name="LW_DocType" w:val="COM"/>
    <w:docVar w:name="LW_EMISSION" w:val="6.9.2024"/>
    <w:docVar w:name="LW_EMISSION_ISODATE" w:val="2024-09-06"/>
    <w:docVar w:name="LW_EMISSION_LOCATION" w:val="BRX"/>
    <w:docVar w:name="LW_EMISSION_PREFIX" w:val="Brussell, "/>
    <w:docVar w:name="LW_EMISSION_SUFFIX" w:val=" "/>
    <w:docVar w:name="LW_ID_DOCMODEL" w:val="SJ-043"/>
    <w:docVar w:name="LW_ID_DOCSIGNATURE" w:val="SJ-019"/>
    <w:docVar w:name="LW_ID_DOCSTRUCTURE" w:val="COM/PL/ORG"/>
    <w:docVar w:name="LW_ID_DOCTYPE" w:val="SJ-043"/>
    <w:docVar w:name="LW_ID_STATUT" w:val="SJ-019"/>
    <w:docVar w:name="LW_INSERT_EXP.MOTIFS.NEW" w:val="1"/>
    <w:docVar w:name="LW_INTERETEEE.CP" w:val="&lt;UNUSED&gt;"/>
    <w:docVar w:name="LW_LANGUE" w:val="MT"/>
    <w:docVar w:name="LW_LEVEL_OF_SENSITIVITY" w:val="Standard treatment"/>
    <w:docVar w:name="LW_NOM.INST" w:val="IL-KUMMISSJONI EWROPEA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220"/>
    <w:docVar w:name="LW_REF.II.NEW.CP_YEAR" w:val="2024"/>
    <w:docVar w:name="LW_REF.INST.NEW" w:val="COM"/>
    <w:docVar w:name="LW_REF.INST.NEW_ADOPTED" w:val="final"/>
    <w:docVar w:name="LW_REF.INST.NEW_TEXT" w:val="(2024) 397"/>
    <w:docVar w:name="LW_REF.INTERNE" w:val="&lt;UNUSED&gt;"/>
    <w:docVar w:name="LW_SENSITIVITY" w:val="&lt;?xml version=&quot;1.0&quot; encoding=&quot;utf-8&quot;?&gt;_x000d__x000a_&lt;SensitivityLevel xmlns:xsd=&quot;http://www.w3.org/2001/XMLSchema&quot; xmlns:xsi=&quot;http://www.w3.org/2001/XMLSchema-instance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Proposta g\u295?al"/>
    <w:docVar w:name="LW_SUPERTITRE" w:val="&lt;UNUSED&gt;"/>
    <w:docVar w:name="LW_TITRE.OBJ.CP" w:val="dwar il-po\u380?izzjoni li g\u295?andha tittie\u295?ed f\u8217?isem l-Unjoni Ewropea fil-Kumitat Kon\u289?unt EU-CTC stabbilit bil-Konvenzjoni tal-20 ta\u8217? Mejju 1987 dwar is-simplifikazzjoni tal-formalitajiet fil-kummer\u267? tal-o\u289?\u289?etti u tal-Kumitat Kon\u289?unt EU-CTC stabbilit bil-Konvenzjoni tal-20 ta\u8217? Mejju 1987 dwar Pro\u267?edura komuni ta\u8217? tran\u380?itu fir-rigward tal-istediniet biex il-Georgia taderixxi ma\u8217? dawk il-Konvenzjonijiet"/>
    <w:docVar w:name="LW_TYPE.DOC.CP" w:val="DE\u266?I\u379?JONI TAL-KUNSILL"/>
    <w:docVar w:name="LwApiVersions" w:val="LW4CoDe 1.24.5.0; LW 9.0, Build 20240221"/>
  </w:docVars>
  <w:rsids>
    <w:rsidRoot w:val="00461844"/>
    <w:rsid w:val="000068AA"/>
    <w:rsid w:val="000602AC"/>
    <w:rsid w:val="00084009"/>
    <w:rsid w:val="000C27F3"/>
    <w:rsid w:val="000D6CB3"/>
    <w:rsid w:val="001065F5"/>
    <w:rsid w:val="00112127"/>
    <w:rsid w:val="0012040B"/>
    <w:rsid w:val="001238EF"/>
    <w:rsid w:val="001432B5"/>
    <w:rsid w:val="00170CDA"/>
    <w:rsid w:val="0019377D"/>
    <w:rsid w:val="00197613"/>
    <w:rsid w:val="001C478D"/>
    <w:rsid w:val="001C4ACE"/>
    <w:rsid w:val="00233DC7"/>
    <w:rsid w:val="00241954"/>
    <w:rsid w:val="00247779"/>
    <w:rsid w:val="002716C4"/>
    <w:rsid w:val="002755BB"/>
    <w:rsid w:val="00285BEE"/>
    <w:rsid w:val="0029533F"/>
    <w:rsid w:val="002B30AF"/>
    <w:rsid w:val="0033344A"/>
    <w:rsid w:val="00344524"/>
    <w:rsid w:val="00372957"/>
    <w:rsid w:val="00387C8B"/>
    <w:rsid w:val="00392101"/>
    <w:rsid w:val="003C469C"/>
    <w:rsid w:val="003E4BCD"/>
    <w:rsid w:val="0042648E"/>
    <w:rsid w:val="00450903"/>
    <w:rsid w:val="00461844"/>
    <w:rsid w:val="004634C9"/>
    <w:rsid w:val="00467F89"/>
    <w:rsid w:val="004936D2"/>
    <w:rsid w:val="0049402F"/>
    <w:rsid w:val="004B11C2"/>
    <w:rsid w:val="004B5135"/>
    <w:rsid w:val="004D1633"/>
    <w:rsid w:val="005219FA"/>
    <w:rsid w:val="00542C07"/>
    <w:rsid w:val="00557BEF"/>
    <w:rsid w:val="005B1EB6"/>
    <w:rsid w:val="00611878"/>
    <w:rsid w:val="006202CF"/>
    <w:rsid w:val="00640DDA"/>
    <w:rsid w:val="00657431"/>
    <w:rsid w:val="006D55F8"/>
    <w:rsid w:val="006E7D6F"/>
    <w:rsid w:val="007013E4"/>
    <w:rsid w:val="0071443A"/>
    <w:rsid w:val="00762400"/>
    <w:rsid w:val="00773331"/>
    <w:rsid w:val="007932EF"/>
    <w:rsid w:val="007E05B0"/>
    <w:rsid w:val="007E5C20"/>
    <w:rsid w:val="0080002A"/>
    <w:rsid w:val="008165B6"/>
    <w:rsid w:val="00850AD0"/>
    <w:rsid w:val="00874D22"/>
    <w:rsid w:val="008A2914"/>
    <w:rsid w:val="008E4D8E"/>
    <w:rsid w:val="008E7333"/>
    <w:rsid w:val="009148F1"/>
    <w:rsid w:val="009758E1"/>
    <w:rsid w:val="00977DFB"/>
    <w:rsid w:val="009862A2"/>
    <w:rsid w:val="009934DB"/>
    <w:rsid w:val="00A40227"/>
    <w:rsid w:val="00A55C4D"/>
    <w:rsid w:val="00AB351C"/>
    <w:rsid w:val="00AD0A5A"/>
    <w:rsid w:val="00AE7D5F"/>
    <w:rsid w:val="00AE7F48"/>
    <w:rsid w:val="00B74FB1"/>
    <w:rsid w:val="00BA6844"/>
    <w:rsid w:val="00BF1212"/>
    <w:rsid w:val="00C005B3"/>
    <w:rsid w:val="00C065B1"/>
    <w:rsid w:val="00C12301"/>
    <w:rsid w:val="00C247F9"/>
    <w:rsid w:val="00C5417E"/>
    <w:rsid w:val="00CA631E"/>
    <w:rsid w:val="00CE249D"/>
    <w:rsid w:val="00D10CE9"/>
    <w:rsid w:val="00D20381"/>
    <w:rsid w:val="00D224F5"/>
    <w:rsid w:val="00D44C89"/>
    <w:rsid w:val="00D55621"/>
    <w:rsid w:val="00D677C2"/>
    <w:rsid w:val="00D839C4"/>
    <w:rsid w:val="00DD3A13"/>
    <w:rsid w:val="00E9295E"/>
    <w:rsid w:val="00EA1B5F"/>
    <w:rsid w:val="00EB0801"/>
    <w:rsid w:val="00EB737D"/>
    <w:rsid w:val="00FC38F8"/>
    <w:rsid w:val="00FC536B"/>
    <w:rsid w:val="00FC6A24"/>
    <w:rsid w:val="00FF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5:docId w15:val="{FC70B334-3D58-424A-B4FA-CE54B9F5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mt-MT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pPr>
      <w:keepNext/>
      <w:numPr>
        <w:ilvl w:val="4"/>
        <w:numId w:val="29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pPr>
      <w:keepNext/>
      <w:numPr>
        <w:ilvl w:val="5"/>
        <w:numId w:val="29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pPr>
      <w:keepNext/>
      <w:numPr>
        <w:ilvl w:val="6"/>
        <w:numId w:val="29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75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58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58E1"/>
    <w:rPr>
      <w:rFonts w:ascii="Times New Roman" w:hAnsi="Times New Roman" w:cs="Times New Roman"/>
      <w:sz w:val="20"/>
      <w:szCs w:val="20"/>
      <w:lang w:val="mt-M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8E1"/>
    <w:rPr>
      <w:rFonts w:ascii="Times New Roman" w:hAnsi="Times New Roman" w:cs="Times New Roman"/>
      <w:b/>
      <w:bCs/>
      <w:sz w:val="20"/>
      <w:szCs w:val="20"/>
      <w:lang w:val="mt-MT"/>
    </w:rPr>
  </w:style>
  <w:style w:type="character" w:styleId="Hyperlink">
    <w:name w:val="Hyperlink"/>
    <w:basedOn w:val="DefaultParagraphFont"/>
    <w:uiPriority w:val="99"/>
    <w:unhideWhenUsed/>
    <w:rsid w:val="00D44C8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4C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semiHidden/>
    <w:unhideWhenUsed/>
    <w:rsid w:val="00A40227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40227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40227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40227"/>
    <w:pPr>
      <w:numPr>
        <w:numId w:val="6"/>
      </w:numPr>
      <w:contextualSpacing/>
    </w:pPr>
  </w:style>
  <w:style w:type="paragraph" w:styleId="Revision">
    <w:name w:val="Revision"/>
    <w:hidden/>
    <w:uiPriority w:val="99"/>
    <w:semiHidden/>
    <w:rsid w:val="001C4ACE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E7333"/>
    <w:rPr>
      <w:rFonts w:ascii="Times New Roman" w:hAnsi="Times New Roman" w:cs="Times New Roman"/>
      <w:sz w:val="24"/>
      <w:lang w:val="mt-MT"/>
    </w:rPr>
  </w:style>
  <w:style w:type="character" w:customStyle="1" w:styleId="FooterChar">
    <w:name w:val="Footer Char"/>
    <w:basedOn w:val="DefaultParagraphFont"/>
    <w:link w:val="Footer"/>
    <w:uiPriority w:val="99"/>
    <w:rsid w:val="008E7333"/>
    <w:rPr>
      <w:rFonts w:ascii="Times New Roman" w:hAnsi="Times New Roman" w:cs="Times New Roman"/>
      <w:sz w:val="24"/>
      <w:lang w:val="mt-M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sz w:val="24"/>
      <w:shd w:val="clear" w:color="auto" w:fill="auto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  <w:ind w:left="1417" w:hanging="141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8E73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8E7333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8E73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ext5">
    <w:name w:val="Text 5"/>
    <w:basedOn w:val="Normal"/>
    <w:pPr>
      <w:ind w:left="3118"/>
    </w:pPr>
  </w:style>
  <w:style w:type="paragraph" w:customStyle="1" w:styleId="Text6">
    <w:name w:val="Text 6"/>
    <w:basedOn w:val="Normal"/>
    <w:pPr>
      <w:ind w:left="3685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5">
    <w:name w:val="Point 5"/>
    <w:basedOn w:val="Normal"/>
    <w:pPr>
      <w:ind w:left="3685" w:hanging="567"/>
    </w:pPr>
  </w:style>
  <w:style w:type="paragraph" w:customStyle="1" w:styleId="Tiret0">
    <w:name w:val="Tiret 0"/>
    <w:basedOn w:val="Point0"/>
    <w:pPr>
      <w:numPr>
        <w:numId w:val="22"/>
      </w:numPr>
    </w:pPr>
  </w:style>
  <w:style w:type="paragraph" w:customStyle="1" w:styleId="Tiret1">
    <w:name w:val="Tiret 1"/>
    <w:basedOn w:val="Point1"/>
    <w:pPr>
      <w:numPr>
        <w:numId w:val="23"/>
      </w:numPr>
    </w:pPr>
  </w:style>
  <w:style w:type="paragraph" w:customStyle="1" w:styleId="Tiret2">
    <w:name w:val="Tiret 2"/>
    <w:basedOn w:val="Point2"/>
    <w:pPr>
      <w:numPr>
        <w:numId w:val="24"/>
      </w:numPr>
    </w:pPr>
  </w:style>
  <w:style w:type="paragraph" w:customStyle="1" w:styleId="Tiret3">
    <w:name w:val="Tiret 3"/>
    <w:basedOn w:val="Point3"/>
    <w:pPr>
      <w:numPr>
        <w:numId w:val="25"/>
      </w:numPr>
    </w:pPr>
  </w:style>
  <w:style w:type="paragraph" w:customStyle="1" w:styleId="Tiret4">
    <w:name w:val="Tiret 4"/>
    <w:basedOn w:val="Point4"/>
    <w:pPr>
      <w:numPr>
        <w:numId w:val="26"/>
      </w:numPr>
    </w:pPr>
  </w:style>
  <w:style w:type="paragraph" w:customStyle="1" w:styleId="Tiret5">
    <w:name w:val="Tiret 5"/>
    <w:basedOn w:val="Point5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NumPar5">
    <w:name w:val="NumPar 5"/>
    <w:basedOn w:val="Normal"/>
    <w:next w:val="Text2"/>
    <w:pPr>
      <w:numPr>
        <w:ilvl w:val="4"/>
        <w:numId w:val="28"/>
      </w:numPr>
    </w:pPr>
  </w:style>
  <w:style w:type="paragraph" w:customStyle="1" w:styleId="NumPar6">
    <w:name w:val="NumPar 6"/>
    <w:basedOn w:val="Normal"/>
    <w:next w:val="Text2"/>
    <w:pPr>
      <w:numPr>
        <w:ilvl w:val="5"/>
        <w:numId w:val="28"/>
      </w:numPr>
    </w:pPr>
  </w:style>
  <w:style w:type="paragraph" w:customStyle="1" w:styleId="NumPar7">
    <w:name w:val="NumPar 7"/>
    <w:basedOn w:val="Normal"/>
    <w:next w:val="Text2"/>
    <w:pPr>
      <w:numPr>
        <w:ilvl w:val="6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ManualNumPar5">
    <w:name w:val="Manual NumPar 5"/>
    <w:basedOn w:val="Normal"/>
    <w:next w:val="Text2"/>
    <w:pPr>
      <w:ind w:left="1417" w:hanging="1417"/>
    </w:pPr>
  </w:style>
  <w:style w:type="paragraph" w:customStyle="1" w:styleId="ManualNumPar6">
    <w:name w:val="Manual NumPar 6"/>
    <w:basedOn w:val="Normal"/>
    <w:next w:val="Text2"/>
    <w:pPr>
      <w:ind w:left="1417" w:hanging="1417"/>
    </w:pPr>
  </w:style>
  <w:style w:type="paragraph" w:customStyle="1" w:styleId="ManualNumPar7">
    <w:name w:val="Manual NumPar 7"/>
    <w:basedOn w:val="Normal"/>
    <w:next w:val="Text2"/>
    <w:pPr>
      <w:ind w:left="1417" w:hanging="1417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"/>
    <w:next w:val="Text2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8E7333"/>
    <w:pPr>
      <w:tabs>
        <w:tab w:val="center" w:pos="4535"/>
        <w:tab w:val="right" w:pos="9071"/>
      </w:tabs>
      <w:spacing w:before="0"/>
    </w:pPr>
  </w:style>
  <w:style w:type="paragraph" w:customStyle="1" w:styleId="HeaderLandscape">
    <w:name w:val="HeaderLandscape"/>
    <w:basedOn w:val="Normal"/>
    <w:rsid w:val="008E7333"/>
    <w:pPr>
      <w:tabs>
        <w:tab w:val="center" w:pos="7285"/>
        <w:tab w:val="right" w:pos="14003"/>
      </w:tabs>
      <w:spacing w:before="0"/>
    </w:pPr>
  </w:style>
  <w:style w:type="paragraph" w:styleId="Footer">
    <w:name w:val="footer"/>
    <w:basedOn w:val="Normal"/>
    <w:link w:val="FooterChar"/>
    <w:uiPriority w:val="99"/>
    <w:unhideWhenUsed/>
    <w:rsid w:val="008E7333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paragraph" w:customStyle="1" w:styleId="FooterLandscape">
    <w:name w:val="FooterLandscape"/>
    <w:basedOn w:val="Normal"/>
    <w:rsid w:val="008E7333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D8EFF-1A30-4F8E-9AC1-FA29DECA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29</TotalTime>
  <Pages>7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EC CoDe</cp:lastModifiedBy>
  <cp:revision>35</cp:revision>
  <dcterms:created xsi:type="dcterms:W3CDTF">2024-07-23T06:04:00Z</dcterms:created>
  <dcterms:modified xsi:type="dcterms:W3CDTF">2024-08-30T11:05:00Z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8.0.25.0</vt:lpwstr>
  </property>
  <property fmtid="{D5CDD505-2E9C-101B-9397-08002B2CF9AE}" pid="4" name="Last edited using">
    <vt:lpwstr>LW 9.0, Build 20230317</vt:lpwstr>
  </property>
  <property fmtid="{D5CDD505-2E9C-101B-9397-08002B2CF9AE}" pid="5" name="Created using">
    <vt:lpwstr>LW 9.0, Build 20230317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SJ-043</vt:lpwstr>
  </property>
  <property fmtid="{D5CDD505-2E9C-101B-9397-08002B2CF9AE}" pid="10" name="MSIP_Label_6bd9ddd1-4d20-43f6-abfa-fc3c07406f94_Enabled">
    <vt:lpwstr>true</vt:lpwstr>
  </property>
  <property fmtid="{D5CDD505-2E9C-101B-9397-08002B2CF9AE}" pid="11" name="MSIP_Label_6bd9ddd1-4d20-43f6-abfa-fc3c07406f94_SetDate">
    <vt:lpwstr>2024-06-17T11:47:29Z</vt:lpwstr>
  </property>
  <property fmtid="{D5CDD505-2E9C-101B-9397-08002B2CF9AE}" pid="12" name="MSIP_Label_6bd9ddd1-4d20-43f6-abfa-fc3c07406f94_Method">
    <vt:lpwstr>Standard</vt:lpwstr>
  </property>
  <property fmtid="{D5CDD505-2E9C-101B-9397-08002B2CF9AE}" pid="13" name="MSIP_Label_6bd9ddd1-4d20-43f6-abfa-fc3c07406f94_Name">
    <vt:lpwstr>Commission Use</vt:lpwstr>
  </property>
  <property fmtid="{D5CDD505-2E9C-101B-9397-08002B2CF9AE}" pid="14" name="MSIP_Label_6bd9ddd1-4d20-43f6-abfa-fc3c07406f94_SiteId">
    <vt:lpwstr>b24c8b06-522c-46fe-9080-70926f8dddb1</vt:lpwstr>
  </property>
  <property fmtid="{D5CDD505-2E9C-101B-9397-08002B2CF9AE}" pid="15" name="MSIP_Label_6bd9ddd1-4d20-43f6-abfa-fc3c07406f94_ActionId">
    <vt:lpwstr>d1c7e0a7-a6e4-4e2c-bece-83125d385bf3</vt:lpwstr>
  </property>
  <property fmtid="{D5CDD505-2E9C-101B-9397-08002B2CF9AE}" pid="16" name="MSIP_Label_6bd9ddd1-4d20-43f6-abfa-fc3c07406f94_ContentBits">
    <vt:lpwstr>0</vt:lpwstr>
  </property>
  <property fmtid="{D5CDD505-2E9C-101B-9397-08002B2CF9AE}" pid="17" name="DQCStatus">
    <vt:lpwstr>Green (DQC version 03)</vt:lpwstr>
  </property>
</Properties>
</file>