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7F02" w14:textId="3453C103" w:rsidR="008A18BC" w:rsidRDefault="00506A12" w:rsidP="00506A12">
      <w:pPr>
        <w:pStyle w:val="Pagedecouverture"/>
        <w:rPr>
          <w:noProof/>
        </w:rPr>
      </w:pPr>
      <w:bookmarkStart w:id="0" w:name="LW_BM_COVERPAGE"/>
      <w:r>
        <w:rPr>
          <w:noProof/>
        </w:rPr>
        <w:pict w14:anchorId="00EEA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5E08D95-2251-45FA-AEC9-7A62BCEF971C" style="width:455.25pt;height:393pt">
            <v:imagedata r:id="rId11" o:title=""/>
          </v:shape>
        </w:pict>
      </w:r>
    </w:p>
    <w:bookmarkEnd w:id="0"/>
    <w:p w14:paraId="03669432" w14:textId="6E866273" w:rsidR="00CC0912" w:rsidRPr="00853755" w:rsidRDefault="00CC0912" w:rsidP="00CC0912">
      <w:pPr>
        <w:pStyle w:val="Pagedecouverture"/>
        <w:rPr>
          <w:noProof/>
          <w:lang w:val="en-IE"/>
        </w:rPr>
        <w:sectPr w:rsidR="00CC0912" w:rsidRPr="00853755" w:rsidSect="00506A12">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B277229" w14:textId="277B4A2A" w:rsidR="00A44A15" w:rsidRPr="003A7FF0" w:rsidRDefault="1BFC6801" w:rsidP="00E672CC">
      <w:pPr>
        <w:pStyle w:val="TOCHeading"/>
        <w:spacing w:after="240"/>
        <w:jc w:val="center"/>
        <w:rPr>
          <w:rFonts w:ascii="Times New Roman" w:hAnsi="Times New Roman" w:cs="Times New Roman"/>
          <w:b/>
          <w:bCs/>
          <w:noProof/>
          <w:color w:val="auto"/>
          <w:sz w:val="24"/>
          <w:szCs w:val="24"/>
        </w:rPr>
      </w:pPr>
      <w:bookmarkStart w:id="1" w:name="_GoBack"/>
      <w:bookmarkEnd w:id="1"/>
      <w:r w:rsidRPr="57DE3101">
        <w:rPr>
          <w:rFonts w:ascii="Times New Roman" w:hAnsi="Times New Roman" w:cs="Times New Roman"/>
          <w:b/>
          <w:bCs/>
          <w:noProof/>
          <w:color w:val="auto"/>
          <w:sz w:val="24"/>
          <w:szCs w:val="24"/>
        </w:rPr>
        <w:lastRenderedPageBreak/>
        <w:t>TABLE OF CONTENTS</w:t>
      </w:r>
    </w:p>
    <w:p w14:paraId="235D1399" w14:textId="670C5A48" w:rsidR="00C920F4" w:rsidRDefault="6AF0C460">
      <w:pPr>
        <w:pStyle w:val="TOC1"/>
        <w:rPr>
          <w:rFonts w:asciiTheme="minorHAnsi" w:eastAsiaTheme="minorEastAsia" w:hAnsiTheme="minorHAnsi" w:cstheme="minorBidi"/>
          <w:noProof/>
          <w:kern w:val="2"/>
          <w:sz w:val="22"/>
          <w:szCs w:val="22"/>
          <w:lang w:val="en-IE" w:eastAsia="en-IE"/>
          <w14:ligatures w14:val="standardContextual"/>
        </w:rPr>
      </w:pPr>
      <w:r>
        <w:rPr>
          <w:noProof/>
        </w:rPr>
        <w:fldChar w:fldCharType="begin"/>
      </w:r>
      <w:r w:rsidR="00A44A15">
        <w:rPr>
          <w:noProof/>
        </w:rPr>
        <w:instrText>TOC \o "1-4" \z \u \h</w:instrText>
      </w:r>
      <w:r>
        <w:rPr>
          <w:noProof/>
        </w:rPr>
        <w:fldChar w:fldCharType="separate"/>
      </w:r>
      <w:hyperlink w:anchor="_Toc173181044" w:history="1">
        <w:r w:rsidR="00C920F4" w:rsidRPr="005A1F18">
          <w:rPr>
            <w:rStyle w:val="Hyperlink"/>
            <w:noProof/>
          </w:rPr>
          <w:t>1.</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BUDGET PROCEDURE</w:t>
        </w:r>
        <w:r w:rsidR="00C920F4">
          <w:rPr>
            <w:noProof/>
            <w:webHidden/>
          </w:rPr>
          <w:tab/>
        </w:r>
        <w:r w:rsidR="00C920F4">
          <w:rPr>
            <w:noProof/>
            <w:webHidden/>
          </w:rPr>
          <w:fldChar w:fldCharType="begin"/>
        </w:r>
        <w:r w:rsidR="00C920F4">
          <w:rPr>
            <w:noProof/>
            <w:webHidden/>
          </w:rPr>
          <w:instrText xml:space="preserve"> PAGEREF _Toc173181044 \h </w:instrText>
        </w:r>
        <w:r w:rsidR="00C920F4">
          <w:rPr>
            <w:noProof/>
            <w:webHidden/>
          </w:rPr>
        </w:r>
        <w:r w:rsidR="00C920F4">
          <w:rPr>
            <w:noProof/>
            <w:webHidden/>
          </w:rPr>
          <w:fldChar w:fldCharType="separate"/>
        </w:r>
        <w:r w:rsidR="00EC7513">
          <w:rPr>
            <w:noProof/>
            <w:webHidden/>
          </w:rPr>
          <w:t>2</w:t>
        </w:r>
        <w:r w:rsidR="00C920F4">
          <w:rPr>
            <w:noProof/>
            <w:webHidden/>
          </w:rPr>
          <w:fldChar w:fldCharType="end"/>
        </w:r>
      </w:hyperlink>
    </w:p>
    <w:p w14:paraId="44C59EB0" w14:textId="5FF0643B"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45" w:history="1">
        <w:r w:rsidR="00C920F4" w:rsidRPr="005A1F18">
          <w:rPr>
            <w:rStyle w:val="Hyperlink"/>
            <w:noProof/>
          </w:rPr>
          <w:t>1.1.</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Financial Framework 2021-2027</w:t>
        </w:r>
        <w:r w:rsidR="00C920F4">
          <w:rPr>
            <w:noProof/>
            <w:webHidden/>
          </w:rPr>
          <w:tab/>
        </w:r>
        <w:r w:rsidR="00C920F4">
          <w:rPr>
            <w:noProof/>
            <w:webHidden/>
          </w:rPr>
          <w:fldChar w:fldCharType="begin"/>
        </w:r>
        <w:r w:rsidR="00C920F4">
          <w:rPr>
            <w:noProof/>
            <w:webHidden/>
          </w:rPr>
          <w:instrText xml:space="preserve"> PAGEREF _Toc173181045 \h </w:instrText>
        </w:r>
        <w:r w:rsidR="00C920F4">
          <w:rPr>
            <w:noProof/>
            <w:webHidden/>
          </w:rPr>
        </w:r>
        <w:r w:rsidR="00C920F4">
          <w:rPr>
            <w:noProof/>
            <w:webHidden/>
          </w:rPr>
          <w:fldChar w:fldCharType="separate"/>
        </w:r>
        <w:r w:rsidR="00EC7513">
          <w:rPr>
            <w:noProof/>
            <w:webHidden/>
          </w:rPr>
          <w:t>2</w:t>
        </w:r>
        <w:r w:rsidR="00C920F4">
          <w:rPr>
            <w:noProof/>
            <w:webHidden/>
          </w:rPr>
          <w:fldChar w:fldCharType="end"/>
        </w:r>
      </w:hyperlink>
    </w:p>
    <w:p w14:paraId="6C659210" w14:textId="244210BD"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46" w:history="1">
        <w:r w:rsidR="00C920F4" w:rsidRPr="005A1F18">
          <w:rPr>
            <w:rStyle w:val="Hyperlink"/>
            <w:noProof/>
          </w:rPr>
          <w:t>1.2.</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Draft Budget 2023, Amending Letter 1/2023 and adoption of the 2023 Budget</w:t>
        </w:r>
        <w:r w:rsidR="00C920F4">
          <w:rPr>
            <w:noProof/>
            <w:webHidden/>
          </w:rPr>
          <w:tab/>
        </w:r>
        <w:r w:rsidR="00C920F4">
          <w:rPr>
            <w:noProof/>
            <w:webHidden/>
          </w:rPr>
          <w:fldChar w:fldCharType="begin"/>
        </w:r>
        <w:r w:rsidR="00C920F4">
          <w:rPr>
            <w:noProof/>
            <w:webHidden/>
          </w:rPr>
          <w:instrText xml:space="preserve"> PAGEREF _Toc173181046 \h </w:instrText>
        </w:r>
        <w:r w:rsidR="00C920F4">
          <w:rPr>
            <w:noProof/>
            <w:webHidden/>
          </w:rPr>
        </w:r>
        <w:r w:rsidR="00C920F4">
          <w:rPr>
            <w:noProof/>
            <w:webHidden/>
          </w:rPr>
          <w:fldChar w:fldCharType="separate"/>
        </w:r>
        <w:r w:rsidR="00EC7513">
          <w:rPr>
            <w:noProof/>
            <w:webHidden/>
          </w:rPr>
          <w:t>3</w:t>
        </w:r>
        <w:r w:rsidR="00C920F4">
          <w:rPr>
            <w:noProof/>
            <w:webHidden/>
          </w:rPr>
          <w:fldChar w:fldCharType="end"/>
        </w:r>
      </w:hyperlink>
    </w:p>
    <w:p w14:paraId="0FA15EA2" w14:textId="1588EC51" w:rsidR="00C920F4" w:rsidRDefault="00506A12">
      <w:pPr>
        <w:pStyle w:val="TOC1"/>
        <w:rPr>
          <w:rFonts w:asciiTheme="minorHAnsi" w:eastAsiaTheme="minorEastAsia" w:hAnsiTheme="minorHAnsi" w:cstheme="minorBidi"/>
          <w:noProof/>
          <w:kern w:val="2"/>
          <w:sz w:val="22"/>
          <w:szCs w:val="22"/>
          <w:lang w:val="en-IE" w:eastAsia="en-IE"/>
          <w14:ligatures w14:val="standardContextual"/>
        </w:rPr>
      </w:pPr>
      <w:hyperlink w:anchor="_Toc173181047" w:history="1">
        <w:r w:rsidR="00C920F4" w:rsidRPr="005A1F18">
          <w:rPr>
            <w:rStyle w:val="Hyperlink"/>
            <w:noProof/>
          </w:rPr>
          <w:t>2.</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IMPLEMENTATION OF THE 2023 BUDGET  FOR EAGF AND EAFRD</w:t>
        </w:r>
        <w:r w:rsidR="00C920F4">
          <w:rPr>
            <w:noProof/>
            <w:webHidden/>
          </w:rPr>
          <w:tab/>
        </w:r>
        <w:r w:rsidR="00C920F4">
          <w:rPr>
            <w:noProof/>
            <w:webHidden/>
          </w:rPr>
          <w:fldChar w:fldCharType="begin"/>
        </w:r>
        <w:r w:rsidR="00C920F4">
          <w:rPr>
            <w:noProof/>
            <w:webHidden/>
          </w:rPr>
          <w:instrText xml:space="preserve"> PAGEREF _Toc173181047 \h </w:instrText>
        </w:r>
        <w:r w:rsidR="00C920F4">
          <w:rPr>
            <w:noProof/>
            <w:webHidden/>
          </w:rPr>
        </w:r>
        <w:r w:rsidR="00C920F4">
          <w:rPr>
            <w:noProof/>
            <w:webHidden/>
          </w:rPr>
          <w:fldChar w:fldCharType="separate"/>
        </w:r>
        <w:r w:rsidR="00EC7513">
          <w:rPr>
            <w:noProof/>
            <w:webHidden/>
          </w:rPr>
          <w:t>4</w:t>
        </w:r>
        <w:r w:rsidR="00C920F4">
          <w:rPr>
            <w:noProof/>
            <w:webHidden/>
          </w:rPr>
          <w:fldChar w:fldCharType="end"/>
        </w:r>
      </w:hyperlink>
    </w:p>
    <w:p w14:paraId="3CB83934" w14:textId="40DEA81B"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48" w:history="1">
        <w:r w:rsidR="00C920F4" w:rsidRPr="005A1F18">
          <w:rPr>
            <w:rStyle w:val="Hyperlink"/>
            <w:noProof/>
          </w:rPr>
          <w:t>2.1.</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European Agricultural Guarantee Fund (EAGF)</w:t>
        </w:r>
        <w:r w:rsidR="00C920F4">
          <w:rPr>
            <w:noProof/>
            <w:webHidden/>
          </w:rPr>
          <w:tab/>
        </w:r>
        <w:r w:rsidR="00C920F4">
          <w:rPr>
            <w:noProof/>
            <w:webHidden/>
          </w:rPr>
          <w:fldChar w:fldCharType="begin"/>
        </w:r>
        <w:r w:rsidR="00C920F4">
          <w:rPr>
            <w:noProof/>
            <w:webHidden/>
          </w:rPr>
          <w:instrText xml:space="preserve"> PAGEREF _Toc173181048 \h </w:instrText>
        </w:r>
        <w:r w:rsidR="00C920F4">
          <w:rPr>
            <w:noProof/>
            <w:webHidden/>
          </w:rPr>
        </w:r>
        <w:r w:rsidR="00C920F4">
          <w:rPr>
            <w:noProof/>
            <w:webHidden/>
          </w:rPr>
          <w:fldChar w:fldCharType="separate"/>
        </w:r>
        <w:r w:rsidR="00EC7513">
          <w:rPr>
            <w:noProof/>
            <w:webHidden/>
          </w:rPr>
          <w:t>4</w:t>
        </w:r>
        <w:r w:rsidR="00C920F4">
          <w:rPr>
            <w:noProof/>
            <w:webHidden/>
          </w:rPr>
          <w:fldChar w:fldCharType="end"/>
        </w:r>
      </w:hyperlink>
    </w:p>
    <w:p w14:paraId="02775D41" w14:textId="38E3F4FE"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49" w:history="1">
        <w:r w:rsidR="00C920F4" w:rsidRPr="005A1F18">
          <w:rPr>
            <w:rStyle w:val="Hyperlink"/>
            <w:noProof/>
          </w:rPr>
          <w:t>2.1.1.</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Monthly payments</w:t>
        </w:r>
        <w:r w:rsidR="00C920F4">
          <w:rPr>
            <w:noProof/>
            <w:webHidden/>
          </w:rPr>
          <w:tab/>
        </w:r>
        <w:r w:rsidR="00C920F4">
          <w:rPr>
            <w:noProof/>
            <w:webHidden/>
          </w:rPr>
          <w:fldChar w:fldCharType="begin"/>
        </w:r>
        <w:r w:rsidR="00C920F4">
          <w:rPr>
            <w:noProof/>
            <w:webHidden/>
          </w:rPr>
          <w:instrText xml:space="preserve"> PAGEREF _Toc173181049 \h </w:instrText>
        </w:r>
        <w:r w:rsidR="00C920F4">
          <w:rPr>
            <w:noProof/>
            <w:webHidden/>
          </w:rPr>
        </w:r>
        <w:r w:rsidR="00C920F4">
          <w:rPr>
            <w:noProof/>
            <w:webHidden/>
          </w:rPr>
          <w:fldChar w:fldCharType="separate"/>
        </w:r>
        <w:r w:rsidR="00EC7513">
          <w:rPr>
            <w:noProof/>
            <w:webHidden/>
          </w:rPr>
          <w:t>4</w:t>
        </w:r>
        <w:r w:rsidR="00C920F4">
          <w:rPr>
            <w:noProof/>
            <w:webHidden/>
          </w:rPr>
          <w:fldChar w:fldCharType="end"/>
        </w:r>
      </w:hyperlink>
    </w:p>
    <w:p w14:paraId="38414687" w14:textId="1C3A7E4E"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50" w:history="1">
        <w:r w:rsidR="00C920F4" w:rsidRPr="005A1F18">
          <w:rPr>
            <w:rStyle w:val="Hyperlink"/>
            <w:noProof/>
          </w:rPr>
          <w:t>2.1.2.</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Reductions of monthly payments</w:t>
        </w:r>
        <w:r w:rsidR="00C920F4">
          <w:rPr>
            <w:noProof/>
            <w:webHidden/>
          </w:rPr>
          <w:tab/>
        </w:r>
        <w:r w:rsidR="00C920F4">
          <w:rPr>
            <w:noProof/>
            <w:webHidden/>
          </w:rPr>
          <w:fldChar w:fldCharType="begin"/>
        </w:r>
        <w:r w:rsidR="00C920F4">
          <w:rPr>
            <w:noProof/>
            <w:webHidden/>
          </w:rPr>
          <w:instrText xml:space="preserve"> PAGEREF _Toc173181050 \h </w:instrText>
        </w:r>
        <w:r w:rsidR="00C920F4">
          <w:rPr>
            <w:noProof/>
            <w:webHidden/>
          </w:rPr>
        </w:r>
        <w:r w:rsidR="00C920F4">
          <w:rPr>
            <w:noProof/>
            <w:webHidden/>
          </w:rPr>
          <w:fldChar w:fldCharType="separate"/>
        </w:r>
        <w:r w:rsidR="00EC7513">
          <w:rPr>
            <w:noProof/>
            <w:webHidden/>
          </w:rPr>
          <w:t>4</w:t>
        </w:r>
        <w:r w:rsidR="00C920F4">
          <w:rPr>
            <w:noProof/>
            <w:webHidden/>
          </w:rPr>
          <w:fldChar w:fldCharType="end"/>
        </w:r>
      </w:hyperlink>
    </w:p>
    <w:p w14:paraId="3B3B8090" w14:textId="0B0C3B80"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51" w:history="1">
        <w:r w:rsidR="00C920F4" w:rsidRPr="005A1F18">
          <w:rPr>
            <w:rStyle w:val="Hyperlink"/>
            <w:noProof/>
          </w:rPr>
          <w:t>2.1.3.</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Direct management expenditure by the Commission</w:t>
        </w:r>
        <w:r w:rsidR="00C920F4">
          <w:rPr>
            <w:noProof/>
            <w:webHidden/>
          </w:rPr>
          <w:tab/>
        </w:r>
        <w:r w:rsidR="00C920F4">
          <w:rPr>
            <w:noProof/>
            <w:webHidden/>
          </w:rPr>
          <w:fldChar w:fldCharType="begin"/>
        </w:r>
        <w:r w:rsidR="00C920F4">
          <w:rPr>
            <w:noProof/>
            <w:webHidden/>
          </w:rPr>
          <w:instrText xml:space="preserve"> PAGEREF _Toc173181051 \h </w:instrText>
        </w:r>
        <w:r w:rsidR="00C920F4">
          <w:rPr>
            <w:noProof/>
            <w:webHidden/>
          </w:rPr>
        </w:r>
        <w:r w:rsidR="00C920F4">
          <w:rPr>
            <w:noProof/>
            <w:webHidden/>
          </w:rPr>
          <w:fldChar w:fldCharType="separate"/>
        </w:r>
        <w:r w:rsidR="00EC7513">
          <w:rPr>
            <w:noProof/>
            <w:webHidden/>
          </w:rPr>
          <w:t>4</w:t>
        </w:r>
        <w:r w:rsidR="00C920F4">
          <w:rPr>
            <w:noProof/>
            <w:webHidden/>
          </w:rPr>
          <w:fldChar w:fldCharType="end"/>
        </w:r>
      </w:hyperlink>
    </w:p>
    <w:p w14:paraId="74BFE4C8" w14:textId="6F5343B6"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52" w:history="1">
        <w:r w:rsidR="00C920F4" w:rsidRPr="005A1F18">
          <w:rPr>
            <w:rStyle w:val="Hyperlink"/>
            <w:noProof/>
          </w:rPr>
          <w:t>2.2.</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European Agricultural Fund for Rural Development (EAFRD) and European Union Recovery Instrument (EURI)</w:t>
        </w:r>
        <w:r w:rsidR="00C920F4">
          <w:rPr>
            <w:noProof/>
            <w:webHidden/>
          </w:rPr>
          <w:tab/>
        </w:r>
        <w:r w:rsidR="00C920F4">
          <w:rPr>
            <w:noProof/>
            <w:webHidden/>
          </w:rPr>
          <w:fldChar w:fldCharType="begin"/>
        </w:r>
        <w:r w:rsidR="00C920F4">
          <w:rPr>
            <w:noProof/>
            <w:webHidden/>
          </w:rPr>
          <w:instrText xml:space="preserve"> PAGEREF _Toc173181052 \h </w:instrText>
        </w:r>
        <w:r w:rsidR="00C920F4">
          <w:rPr>
            <w:noProof/>
            <w:webHidden/>
          </w:rPr>
        </w:r>
        <w:r w:rsidR="00C920F4">
          <w:rPr>
            <w:noProof/>
            <w:webHidden/>
          </w:rPr>
          <w:fldChar w:fldCharType="separate"/>
        </w:r>
        <w:r w:rsidR="00EC7513">
          <w:rPr>
            <w:noProof/>
            <w:webHidden/>
          </w:rPr>
          <w:t>6</w:t>
        </w:r>
        <w:r w:rsidR="00C920F4">
          <w:rPr>
            <w:noProof/>
            <w:webHidden/>
          </w:rPr>
          <w:fldChar w:fldCharType="end"/>
        </w:r>
      </w:hyperlink>
    </w:p>
    <w:p w14:paraId="00B8D002" w14:textId="68598F61"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53" w:history="1">
        <w:r w:rsidR="00C920F4" w:rsidRPr="005A1F18">
          <w:rPr>
            <w:rStyle w:val="Hyperlink"/>
            <w:noProof/>
          </w:rPr>
          <w:t>2.2.1.</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Payments</w:t>
        </w:r>
        <w:r w:rsidR="00C920F4">
          <w:rPr>
            <w:noProof/>
            <w:webHidden/>
          </w:rPr>
          <w:tab/>
        </w:r>
        <w:r w:rsidR="00C920F4">
          <w:rPr>
            <w:noProof/>
            <w:webHidden/>
          </w:rPr>
          <w:fldChar w:fldCharType="begin"/>
        </w:r>
        <w:r w:rsidR="00C920F4">
          <w:rPr>
            <w:noProof/>
            <w:webHidden/>
          </w:rPr>
          <w:instrText xml:space="preserve"> PAGEREF _Toc173181053 \h </w:instrText>
        </w:r>
        <w:r w:rsidR="00C920F4">
          <w:rPr>
            <w:noProof/>
            <w:webHidden/>
          </w:rPr>
        </w:r>
        <w:r w:rsidR="00C920F4">
          <w:rPr>
            <w:noProof/>
            <w:webHidden/>
          </w:rPr>
          <w:fldChar w:fldCharType="separate"/>
        </w:r>
        <w:r w:rsidR="00EC7513">
          <w:rPr>
            <w:noProof/>
            <w:webHidden/>
          </w:rPr>
          <w:t>6</w:t>
        </w:r>
        <w:r w:rsidR="00C920F4">
          <w:rPr>
            <w:noProof/>
            <w:webHidden/>
          </w:rPr>
          <w:fldChar w:fldCharType="end"/>
        </w:r>
      </w:hyperlink>
    </w:p>
    <w:p w14:paraId="4D10A03D" w14:textId="4EDE7C97"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54" w:history="1">
        <w:r w:rsidR="00C920F4" w:rsidRPr="005A1F18">
          <w:rPr>
            <w:rStyle w:val="Hyperlink"/>
            <w:noProof/>
          </w:rPr>
          <w:t>2.2.2.</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Reductions of payments</w:t>
        </w:r>
        <w:r w:rsidR="00C920F4">
          <w:rPr>
            <w:noProof/>
            <w:webHidden/>
          </w:rPr>
          <w:tab/>
        </w:r>
        <w:r w:rsidR="00C920F4">
          <w:rPr>
            <w:noProof/>
            <w:webHidden/>
          </w:rPr>
          <w:fldChar w:fldCharType="begin"/>
        </w:r>
        <w:r w:rsidR="00C920F4">
          <w:rPr>
            <w:noProof/>
            <w:webHidden/>
          </w:rPr>
          <w:instrText xml:space="preserve"> PAGEREF _Toc173181054 \h </w:instrText>
        </w:r>
        <w:r w:rsidR="00C920F4">
          <w:rPr>
            <w:noProof/>
            <w:webHidden/>
          </w:rPr>
        </w:r>
        <w:r w:rsidR="00C920F4">
          <w:rPr>
            <w:noProof/>
            <w:webHidden/>
          </w:rPr>
          <w:fldChar w:fldCharType="separate"/>
        </w:r>
        <w:r w:rsidR="00EC7513">
          <w:rPr>
            <w:noProof/>
            <w:webHidden/>
          </w:rPr>
          <w:t>6</w:t>
        </w:r>
        <w:r w:rsidR="00C920F4">
          <w:rPr>
            <w:noProof/>
            <w:webHidden/>
          </w:rPr>
          <w:fldChar w:fldCharType="end"/>
        </w:r>
      </w:hyperlink>
    </w:p>
    <w:p w14:paraId="11E010E4" w14:textId="485E8C77"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55" w:history="1">
        <w:r w:rsidR="00C920F4" w:rsidRPr="005A1F18">
          <w:rPr>
            <w:rStyle w:val="Hyperlink"/>
            <w:noProof/>
          </w:rPr>
          <w:t>2.2.3.</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Expenditure under direct management  by the Commission</w:t>
        </w:r>
        <w:r w:rsidR="00C920F4">
          <w:rPr>
            <w:noProof/>
            <w:webHidden/>
          </w:rPr>
          <w:tab/>
        </w:r>
        <w:r w:rsidR="00C920F4">
          <w:rPr>
            <w:noProof/>
            <w:webHidden/>
          </w:rPr>
          <w:fldChar w:fldCharType="begin"/>
        </w:r>
        <w:r w:rsidR="00C920F4">
          <w:rPr>
            <w:noProof/>
            <w:webHidden/>
          </w:rPr>
          <w:instrText xml:space="preserve"> PAGEREF _Toc173181055 \h </w:instrText>
        </w:r>
        <w:r w:rsidR="00C920F4">
          <w:rPr>
            <w:noProof/>
            <w:webHidden/>
          </w:rPr>
        </w:r>
        <w:r w:rsidR="00C920F4">
          <w:rPr>
            <w:noProof/>
            <w:webHidden/>
          </w:rPr>
          <w:fldChar w:fldCharType="separate"/>
        </w:r>
        <w:r w:rsidR="00EC7513">
          <w:rPr>
            <w:noProof/>
            <w:webHidden/>
          </w:rPr>
          <w:t>6</w:t>
        </w:r>
        <w:r w:rsidR="00C920F4">
          <w:rPr>
            <w:noProof/>
            <w:webHidden/>
          </w:rPr>
          <w:fldChar w:fldCharType="end"/>
        </w:r>
      </w:hyperlink>
    </w:p>
    <w:p w14:paraId="5BF4B9C4" w14:textId="6E3F8260" w:rsidR="00C920F4" w:rsidRDefault="00506A12">
      <w:pPr>
        <w:pStyle w:val="TOC1"/>
        <w:rPr>
          <w:rFonts w:asciiTheme="minorHAnsi" w:eastAsiaTheme="minorEastAsia" w:hAnsiTheme="minorHAnsi" w:cstheme="minorBidi"/>
          <w:noProof/>
          <w:kern w:val="2"/>
          <w:sz w:val="22"/>
          <w:szCs w:val="22"/>
          <w:lang w:val="en-IE" w:eastAsia="en-IE"/>
          <w14:ligatures w14:val="standardContextual"/>
        </w:rPr>
      </w:pPr>
      <w:hyperlink w:anchor="_Toc173181056" w:history="1">
        <w:r w:rsidR="00C920F4" w:rsidRPr="005A1F18">
          <w:rPr>
            <w:rStyle w:val="Hyperlink"/>
            <w:noProof/>
          </w:rPr>
          <w:t>3.</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THE UPTAKE OF THE EAGF AND EAFRD APPROPRIATIONS</w:t>
        </w:r>
        <w:r w:rsidR="00C920F4">
          <w:rPr>
            <w:noProof/>
            <w:webHidden/>
          </w:rPr>
          <w:tab/>
        </w:r>
        <w:r w:rsidR="00C920F4">
          <w:rPr>
            <w:noProof/>
            <w:webHidden/>
          </w:rPr>
          <w:fldChar w:fldCharType="begin"/>
        </w:r>
        <w:r w:rsidR="00C920F4">
          <w:rPr>
            <w:noProof/>
            <w:webHidden/>
          </w:rPr>
          <w:instrText xml:space="preserve"> PAGEREF _Toc173181056 \h </w:instrText>
        </w:r>
        <w:r w:rsidR="00C920F4">
          <w:rPr>
            <w:noProof/>
            <w:webHidden/>
          </w:rPr>
        </w:r>
        <w:r w:rsidR="00C920F4">
          <w:rPr>
            <w:noProof/>
            <w:webHidden/>
          </w:rPr>
          <w:fldChar w:fldCharType="separate"/>
        </w:r>
        <w:r w:rsidR="00EC7513">
          <w:rPr>
            <w:noProof/>
            <w:webHidden/>
          </w:rPr>
          <w:t>8</w:t>
        </w:r>
        <w:r w:rsidR="00C920F4">
          <w:rPr>
            <w:noProof/>
            <w:webHidden/>
          </w:rPr>
          <w:fldChar w:fldCharType="end"/>
        </w:r>
      </w:hyperlink>
    </w:p>
    <w:p w14:paraId="56878438" w14:textId="15799237"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57" w:history="1">
        <w:r w:rsidR="00C920F4" w:rsidRPr="005A1F18">
          <w:rPr>
            <w:rStyle w:val="Hyperlink"/>
            <w:noProof/>
          </w:rPr>
          <w:t>3.1.</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European Agricultural Guarantee Fund (EAGF)</w:t>
        </w:r>
        <w:r w:rsidR="00C920F4">
          <w:rPr>
            <w:noProof/>
            <w:webHidden/>
          </w:rPr>
          <w:tab/>
        </w:r>
        <w:r w:rsidR="00C920F4">
          <w:rPr>
            <w:noProof/>
            <w:webHidden/>
          </w:rPr>
          <w:fldChar w:fldCharType="begin"/>
        </w:r>
        <w:r w:rsidR="00C920F4">
          <w:rPr>
            <w:noProof/>
            <w:webHidden/>
          </w:rPr>
          <w:instrText xml:space="preserve"> PAGEREF _Toc173181057 \h </w:instrText>
        </w:r>
        <w:r w:rsidR="00C920F4">
          <w:rPr>
            <w:noProof/>
            <w:webHidden/>
          </w:rPr>
        </w:r>
        <w:r w:rsidR="00C920F4">
          <w:rPr>
            <w:noProof/>
            <w:webHidden/>
          </w:rPr>
          <w:fldChar w:fldCharType="separate"/>
        </w:r>
        <w:r w:rsidR="00EC7513">
          <w:rPr>
            <w:noProof/>
            <w:webHidden/>
          </w:rPr>
          <w:t>8</w:t>
        </w:r>
        <w:r w:rsidR="00C920F4">
          <w:rPr>
            <w:noProof/>
            <w:webHidden/>
          </w:rPr>
          <w:fldChar w:fldCharType="end"/>
        </w:r>
      </w:hyperlink>
    </w:p>
    <w:p w14:paraId="27E84764" w14:textId="73EB0CD6"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58" w:history="1">
        <w:r w:rsidR="00C920F4" w:rsidRPr="005A1F18">
          <w:rPr>
            <w:rStyle w:val="Hyperlink"/>
            <w:noProof/>
          </w:rPr>
          <w:t>3.2.</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European Agricultural Fund for Rural Development (EAFRD) and European Union Recovery Instrument (EURI)</w:t>
        </w:r>
        <w:r w:rsidR="00C920F4">
          <w:rPr>
            <w:noProof/>
            <w:webHidden/>
          </w:rPr>
          <w:tab/>
        </w:r>
        <w:r w:rsidR="00C920F4">
          <w:rPr>
            <w:noProof/>
            <w:webHidden/>
          </w:rPr>
          <w:fldChar w:fldCharType="begin"/>
        </w:r>
        <w:r w:rsidR="00C920F4">
          <w:rPr>
            <w:noProof/>
            <w:webHidden/>
          </w:rPr>
          <w:instrText xml:space="preserve"> PAGEREF _Toc173181058 \h </w:instrText>
        </w:r>
        <w:r w:rsidR="00C920F4">
          <w:rPr>
            <w:noProof/>
            <w:webHidden/>
          </w:rPr>
        </w:r>
        <w:r w:rsidR="00C920F4">
          <w:rPr>
            <w:noProof/>
            <w:webHidden/>
          </w:rPr>
          <w:fldChar w:fldCharType="separate"/>
        </w:r>
        <w:r w:rsidR="00EC7513">
          <w:rPr>
            <w:noProof/>
            <w:webHidden/>
          </w:rPr>
          <w:t>8</w:t>
        </w:r>
        <w:r w:rsidR="00C920F4">
          <w:rPr>
            <w:noProof/>
            <w:webHidden/>
          </w:rPr>
          <w:fldChar w:fldCharType="end"/>
        </w:r>
      </w:hyperlink>
    </w:p>
    <w:p w14:paraId="15078226" w14:textId="1B586B2D" w:rsidR="00C920F4" w:rsidRDefault="00506A12">
      <w:pPr>
        <w:pStyle w:val="TOC1"/>
        <w:rPr>
          <w:rFonts w:asciiTheme="minorHAnsi" w:eastAsiaTheme="minorEastAsia" w:hAnsiTheme="minorHAnsi" w:cstheme="minorBidi"/>
          <w:noProof/>
          <w:kern w:val="2"/>
          <w:sz w:val="22"/>
          <w:szCs w:val="22"/>
          <w:lang w:val="en-IE" w:eastAsia="en-IE"/>
          <w14:ligatures w14:val="standardContextual"/>
        </w:rPr>
      </w:pPr>
      <w:hyperlink w:anchor="_Toc173181059" w:history="1">
        <w:r w:rsidR="00C920F4" w:rsidRPr="005A1F18">
          <w:rPr>
            <w:rStyle w:val="Hyperlink"/>
            <w:noProof/>
          </w:rPr>
          <w:t>4.</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CONTROL MEASURES</w:t>
        </w:r>
        <w:r w:rsidR="00C920F4">
          <w:rPr>
            <w:noProof/>
            <w:webHidden/>
          </w:rPr>
          <w:tab/>
        </w:r>
        <w:r w:rsidR="00C920F4">
          <w:rPr>
            <w:noProof/>
            <w:webHidden/>
          </w:rPr>
          <w:fldChar w:fldCharType="begin"/>
        </w:r>
        <w:r w:rsidR="00C920F4">
          <w:rPr>
            <w:noProof/>
            <w:webHidden/>
          </w:rPr>
          <w:instrText xml:space="preserve"> PAGEREF _Toc173181059 \h </w:instrText>
        </w:r>
        <w:r w:rsidR="00C920F4">
          <w:rPr>
            <w:noProof/>
            <w:webHidden/>
          </w:rPr>
        </w:r>
        <w:r w:rsidR="00C920F4">
          <w:rPr>
            <w:noProof/>
            <w:webHidden/>
          </w:rPr>
          <w:fldChar w:fldCharType="separate"/>
        </w:r>
        <w:r w:rsidR="00EC7513">
          <w:rPr>
            <w:noProof/>
            <w:webHidden/>
          </w:rPr>
          <w:t>11</w:t>
        </w:r>
        <w:r w:rsidR="00C920F4">
          <w:rPr>
            <w:noProof/>
            <w:webHidden/>
          </w:rPr>
          <w:fldChar w:fldCharType="end"/>
        </w:r>
      </w:hyperlink>
    </w:p>
    <w:p w14:paraId="5C18B5D5" w14:textId="2A145386"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60" w:history="1">
        <w:r w:rsidR="00C920F4" w:rsidRPr="005A1F18">
          <w:rPr>
            <w:rStyle w:val="Hyperlink"/>
            <w:noProof/>
          </w:rPr>
          <w:t>4.1.</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Introduction</w:t>
        </w:r>
        <w:r w:rsidR="00C920F4">
          <w:rPr>
            <w:noProof/>
            <w:webHidden/>
          </w:rPr>
          <w:tab/>
        </w:r>
        <w:r w:rsidR="00C920F4">
          <w:rPr>
            <w:noProof/>
            <w:webHidden/>
          </w:rPr>
          <w:fldChar w:fldCharType="begin"/>
        </w:r>
        <w:r w:rsidR="00C920F4">
          <w:rPr>
            <w:noProof/>
            <w:webHidden/>
          </w:rPr>
          <w:instrText xml:space="preserve"> PAGEREF _Toc173181060 \h </w:instrText>
        </w:r>
        <w:r w:rsidR="00C920F4">
          <w:rPr>
            <w:noProof/>
            <w:webHidden/>
          </w:rPr>
        </w:r>
        <w:r w:rsidR="00C920F4">
          <w:rPr>
            <w:noProof/>
            <w:webHidden/>
          </w:rPr>
          <w:fldChar w:fldCharType="separate"/>
        </w:r>
        <w:r w:rsidR="00EC7513">
          <w:rPr>
            <w:noProof/>
            <w:webHidden/>
          </w:rPr>
          <w:t>11</w:t>
        </w:r>
        <w:r w:rsidR="00C920F4">
          <w:rPr>
            <w:noProof/>
            <w:webHidden/>
          </w:rPr>
          <w:fldChar w:fldCharType="end"/>
        </w:r>
      </w:hyperlink>
    </w:p>
    <w:p w14:paraId="3B0497E7" w14:textId="68D4FBAB"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61" w:history="1">
        <w:r w:rsidR="00C920F4" w:rsidRPr="005A1F18">
          <w:rPr>
            <w:rStyle w:val="Hyperlink"/>
            <w:noProof/>
          </w:rPr>
          <w:t>4.2.</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Integrated Administration and Control System (IACS)</w:t>
        </w:r>
        <w:r w:rsidR="00C920F4">
          <w:rPr>
            <w:noProof/>
            <w:webHidden/>
          </w:rPr>
          <w:tab/>
        </w:r>
        <w:r w:rsidR="00C920F4">
          <w:rPr>
            <w:noProof/>
            <w:webHidden/>
          </w:rPr>
          <w:fldChar w:fldCharType="begin"/>
        </w:r>
        <w:r w:rsidR="00C920F4">
          <w:rPr>
            <w:noProof/>
            <w:webHidden/>
          </w:rPr>
          <w:instrText xml:space="preserve"> PAGEREF _Toc173181061 \h </w:instrText>
        </w:r>
        <w:r w:rsidR="00C920F4">
          <w:rPr>
            <w:noProof/>
            <w:webHidden/>
          </w:rPr>
        </w:r>
        <w:r w:rsidR="00C920F4">
          <w:rPr>
            <w:noProof/>
            <w:webHidden/>
          </w:rPr>
          <w:fldChar w:fldCharType="separate"/>
        </w:r>
        <w:r w:rsidR="00EC7513">
          <w:rPr>
            <w:noProof/>
            <w:webHidden/>
          </w:rPr>
          <w:t>11</w:t>
        </w:r>
        <w:r w:rsidR="00C920F4">
          <w:rPr>
            <w:noProof/>
            <w:webHidden/>
          </w:rPr>
          <w:fldChar w:fldCharType="end"/>
        </w:r>
      </w:hyperlink>
    </w:p>
    <w:p w14:paraId="3A44457F" w14:textId="4DC7AD9B"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62" w:history="1">
        <w:r w:rsidR="00C920F4" w:rsidRPr="005A1F18">
          <w:rPr>
            <w:rStyle w:val="Hyperlink"/>
            <w:noProof/>
          </w:rPr>
          <w:t>4.3.</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Application of Chapter III of Title V of Regulation (EU) No 1306/2013 and Chapter III of Title IV of Regulation (EU) 2021/2116  (scrutiny of transactions)</w:t>
        </w:r>
        <w:r w:rsidR="00C920F4">
          <w:rPr>
            <w:noProof/>
            <w:webHidden/>
          </w:rPr>
          <w:tab/>
        </w:r>
        <w:r w:rsidR="00C920F4">
          <w:rPr>
            <w:noProof/>
            <w:webHidden/>
          </w:rPr>
          <w:fldChar w:fldCharType="begin"/>
        </w:r>
        <w:r w:rsidR="00C920F4">
          <w:rPr>
            <w:noProof/>
            <w:webHidden/>
          </w:rPr>
          <w:instrText xml:space="preserve"> PAGEREF _Toc173181062 \h </w:instrText>
        </w:r>
        <w:r w:rsidR="00C920F4">
          <w:rPr>
            <w:noProof/>
            <w:webHidden/>
          </w:rPr>
        </w:r>
        <w:r w:rsidR="00C920F4">
          <w:rPr>
            <w:noProof/>
            <w:webHidden/>
          </w:rPr>
          <w:fldChar w:fldCharType="separate"/>
        </w:r>
        <w:r w:rsidR="00EC7513">
          <w:rPr>
            <w:noProof/>
            <w:webHidden/>
          </w:rPr>
          <w:t>11</w:t>
        </w:r>
        <w:r w:rsidR="00C920F4">
          <w:rPr>
            <w:noProof/>
            <w:webHidden/>
          </w:rPr>
          <w:fldChar w:fldCharType="end"/>
        </w:r>
      </w:hyperlink>
    </w:p>
    <w:p w14:paraId="682AE509" w14:textId="005BEF06" w:rsidR="00C920F4" w:rsidRDefault="00506A12">
      <w:pPr>
        <w:pStyle w:val="TOC1"/>
        <w:rPr>
          <w:rFonts w:asciiTheme="minorHAnsi" w:eastAsiaTheme="minorEastAsia" w:hAnsiTheme="minorHAnsi" w:cstheme="minorBidi"/>
          <w:noProof/>
          <w:kern w:val="2"/>
          <w:sz w:val="22"/>
          <w:szCs w:val="22"/>
          <w:lang w:val="en-IE" w:eastAsia="en-IE"/>
          <w14:ligatures w14:val="standardContextual"/>
        </w:rPr>
      </w:pPr>
      <w:hyperlink w:anchor="_Toc173181063" w:history="1">
        <w:r w:rsidR="00C920F4" w:rsidRPr="005A1F18">
          <w:rPr>
            <w:rStyle w:val="Hyperlink"/>
            <w:noProof/>
          </w:rPr>
          <w:t>5.</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CLEARANCE OF ACCOUNTS</w:t>
        </w:r>
        <w:r w:rsidR="00C920F4">
          <w:rPr>
            <w:noProof/>
            <w:webHidden/>
          </w:rPr>
          <w:tab/>
        </w:r>
        <w:r w:rsidR="00C920F4">
          <w:rPr>
            <w:noProof/>
            <w:webHidden/>
          </w:rPr>
          <w:fldChar w:fldCharType="begin"/>
        </w:r>
        <w:r w:rsidR="00C920F4">
          <w:rPr>
            <w:noProof/>
            <w:webHidden/>
          </w:rPr>
          <w:instrText xml:space="preserve"> PAGEREF _Toc173181063 \h </w:instrText>
        </w:r>
        <w:r w:rsidR="00C920F4">
          <w:rPr>
            <w:noProof/>
            <w:webHidden/>
          </w:rPr>
        </w:r>
        <w:r w:rsidR="00C920F4">
          <w:rPr>
            <w:noProof/>
            <w:webHidden/>
          </w:rPr>
          <w:fldChar w:fldCharType="separate"/>
        </w:r>
        <w:r w:rsidR="00EC7513">
          <w:rPr>
            <w:noProof/>
            <w:webHidden/>
          </w:rPr>
          <w:t>12</w:t>
        </w:r>
        <w:r w:rsidR="00C920F4">
          <w:rPr>
            <w:noProof/>
            <w:webHidden/>
          </w:rPr>
          <w:fldChar w:fldCharType="end"/>
        </w:r>
      </w:hyperlink>
    </w:p>
    <w:p w14:paraId="50A18A8C" w14:textId="61ED793E"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64" w:history="1">
        <w:r w:rsidR="00C920F4" w:rsidRPr="005A1F18">
          <w:rPr>
            <w:rStyle w:val="Hyperlink"/>
            <w:noProof/>
          </w:rPr>
          <w:t>5.1.</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Conformity clearance</w:t>
        </w:r>
        <w:r w:rsidR="00C920F4">
          <w:rPr>
            <w:noProof/>
            <w:webHidden/>
          </w:rPr>
          <w:tab/>
        </w:r>
        <w:r w:rsidR="00C920F4">
          <w:rPr>
            <w:noProof/>
            <w:webHidden/>
          </w:rPr>
          <w:fldChar w:fldCharType="begin"/>
        </w:r>
        <w:r w:rsidR="00C920F4">
          <w:rPr>
            <w:noProof/>
            <w:webHidden/>
          </w:rPr>
          <w:instrText xml:space="preserve"> PAGEREF _Toc173181064 \h </w:instrText>
        </w:r>
        <w:r w:rsidR="00C920F4">
          <w:rPr>
            <w:noProof/>
            <w:webHidden/>
          </w:rPr>
        </w:r>
        <w:r w:rsidR="00C920F4">
          <w:rPr>
            <w:noProof/>
            <w:webHidden/>
          </w:rPr>
          <w:fldChar w:fldCharType="separate"/>
        </w:r>
        <w:r w:rsidR="00EC7513">
          <w:rPr>
            <w:noProof/>
            <w:webHidden/>
          </w:rPr>
          <w:t>12</w:t>
        </w:r>
        <w:r w:rsidR="00C920F4">
          <w:rPr>
            <w:noProof/>
            <w:webHidden/>
          </w:rPr>
          <w:fldChar w:fldCharType="end"/>
        </w:r>
      </w:hyperlink>
    </w:p>
    <w:p w14:paraId="604CF57F" w14:textId="6E5124FA"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65" w:history="1">
        <w:r w:rsidR="00C920F4" w:rsidRPr="005A1F18">
          <w:rPr>
            <w:rStyle w:val="Hyperlink"/>
            <w:noProof/>
          </w:rPr>
          <w:t>5.2.</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Financial clearance</w:t>
        </w:r>
        <w:r w:rsidR="00C920F4">
          <w:rPr>
            <w:noProof/>
            <w:webHidden/>
          </w:rPr>
          <w:tab/>
        </w:r>
        <w:r w:rsidR="00C920F4">
          <w:rPr>
            <w:noProof/>
            <w:webHidden/>
          </w:rPr>
          <w:fldChar w:fldCharType="begin"/>
        </w:r>
        <w:r w:rsidR="00C920F4">
          <w:rPr>
            <w:noProof/>
            <w:webHidden/>
          </w:rPr>
          <w:instrText xml:space="preserve"> PAGEREF _Toc173181065 \h </w:instrText>
        </w:r>
        <w:r w:rsidR="00C920F4">
          <w:rPr>
            <w:noProof/>
            <w:webHidden/>
          </w:rPr>
        </w:r>
        <w:r w:rsidR="00C920F4">
          <w:rPr>
            <w:noProof/>
            <w:webHidden/>
          </w:rPr>
          <w:fldChar w:fldCharType="separate"/>
        </w:r>
        <w:r w:rsidR="00EC7513">
          <w:rPr>
            <w:noProof/>
            <w:webHidden/>
          </w:rPr>
          <w:t>13</w:t>
        </w:r>
        <w:r w:rsidR="00C920F4">
          <w:rPr>
            <w:noProof/>
            <w:webHidden/>
          </w:rPr>
          <w:fldChar w:fldCharType="end"/>
        </w:r>
      </w:hyperlink>
    </w:p>
    <w:p w14:paraId="037304C6" w14:textId="3A0470CC"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66" w:history="1">
        <w:r w:rsidR="00C920F4" w:rsidRPr="005A1F18">
          <w:rPr>
            <w:rStyle w:val="Hyperlink"/>
            <w:noProof/>
          </w:rPr>
          <w:t>5.3.</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Appeals brought before the Court of Justice of the European Union against clearance decisions</w:t>
        </w:r>
        <w:r w:rsidR="00C920F4">
          <w:rPr>
            <w:noProof/>
            <w:webHidden/>
          </w:rPr>
          <w:tab/>
        </w:r>
        <w:r w:rsidR="00C920F4">
          <w:rPr>
            <w:noProof/>
            <w:webHidden/>
          </w:rPr>
          <w:fldChar w:fldCharType="begin"/>
        </w:r>
        <w:r w:rsidR="00C920F4">
          <w:rPr>
            <w:noProof/>
            <w:webHidden/>
          </w:rPr>
          <w:instrText xml:space="preserve"> PAGEREF _Toc173181066 \h </w:instrText>
        </w:r>
        <w:r w:rsidR="00C920F4">
          <w:rPr>
            <w:noProof/>
            <w:webHidden/>
          </w:rPr>
        </w:r>
        <w:r w:rsidR="00C920F4">
          <w:rPr>
            <w:noProof/>
            <w:webHidden/>
          </w:rPr>
          <w:fldChar w:fldCharType="separate"/>
        </w:r>
        <w:r w:rsidR="00EC7513">
          <w:rPr>
            <w:noProof/>
            <w:webHidden/>
          </w:rPr>
          <w:t>13</w:t>
        </w:r>
        <w:r w:rsidR="00C920F4">
          <w:rPr>
            <w:noProof/>
            <w:webHidden/>
          </w:rPr>
          <w:fldChar w:fldCharType="end"/>
        </w:r>
      </w:hyperlink>
    </w:p>
    <w:p w14:paraId="6E8AC82A" w14:textId="57682430" w:rsidR="00C920F4" w:rsidRDefault="00506A12">
      <w:pPr>
        <w:pStyle w:val="TOC1"/>
        <w:rPr>
          <w:rFonts w:asciiTheme="minorHAnsi" w:eastAsiaTheme="minorEastAsia" w:hAnsiTheme="minorHAnsi" w:cstheme="minorBidi"/>
          <w:noProof/>
          <w:kern w:val="2"/>
          <w:sz w:val="22"/>
          <w:szCs w:val="22"/>
          <w:lang w:val="en-IE" w:eastAsia="en-IE"/>
          <w14:ligatures w14:val="standardContextual"/>
        </w:rPr>
      </w:pPr>
      <w:hyperlink w:anchor="_Toc173181067" w:history="1">
        <w:r w:rsidR="00C920F4" w:rsidRPr="005A1F18">
          <w:rPr>
            <w:rStyle w:val="Hyperlink"/>
            <w:noProof/>
          </w:rPr>
          <w:t>6.</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RELATIONS WITH PARLIAMENT AND WITH THE EUROPEAN COURT OF AUDITORS</w:t>
        </w:r>
        <w:r w:rsidR="00C920F4">
          <w:rPr>
            <w:noProof/>
            <w:webHidden/>
          </w:rPr>
          <w:tab/>
        </w:r>
        <w:r w:rsidR="00C920F4">
          <w:rPr>
            <w:noProof/>
            <w:webHidden/>
          </w:rPr>
          <w:fldChar w:fldCharType="begin"/>
        </w:r>
        <w:r w:rsidR="00C920F4">
          <w:rPr>
            <w:noProof/>
            <w:webHidden/>
          </w:rPr>
          <w:instrText xml:space="preserve"> PAGEREF _Toc173181067 \h </w:instrText>
        </w:r>
        <w:r w:rsidR="00C920F4">
          <w:rPr>
            <w:noProof/>
            <w:webHidden/>
          </w:rPr>
        </w:r>
        <w:r w:rsidR="00C920F4">
          <w:rPr>
            <w:noProof/>
            <w:webHidden/>
          </w:rPr>
          <w:fldChar w:fldCharType="separate"/>
        </w:r>
        <w:r w:rsidR="00EC7513">
          <w:rPr>
            <w:noProof/>
            <w:webHidden/>
          </w:rPr>
          <w:t>14</w:t>
        </w:r>
        <w:r w:rsidR="00C920F4">
          <w:rPr>
            <w:noProof/>
            <w:webHidden/>
          </w:rPr>
          <w:fldChar w:fldCharType="end"/>
        </w:r>
      </w:hyperlink>
    </w:p>
    <w:p w14:paraId="5D2DE1DA" w14:textId="51413CB9"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68" w:history="1">
        <w:r w:rsidR="00C920F4" w:rsidRPr="005A1F18">
          <w:rPr>
            <w:rStyle w:val="Hyperlink"/>
            <w:noProof/>
          </w:rPr>
          <w:t>6.1.</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Relations with Parliament</w:t>
        </w:r>
        <w:r w:rsidR="00C920F4">
          <w:rPr>
            <w:noProof/>
            <w:webHidden/>
          </w:rPr>
          <w:tab/>
        </w:r>
        <w:r w:rsidR="00C920F4">
          <w:rPr>
            <w:noProof/>
            <w:webHidden/>
          </w:rPr>
          <w:fldChar w:fldCharType="begin"/>
        </w:r>
        <w:r w:rsidR="00C920F4">
          <w:rPr>
            <w:noProof/>
            <w:webHidden/>
          </w:rPr>
          <w:instrText xml:space="preserve"> PAGEREF _Toc173181068 \h </w:instrText>
        </w:r>
        <w:r w:rsidR="00C920F4">
          <w:rPr>
            <w:noProof/>
            <w:webHidden/>
          </w:rPr>
        </w:r>
        <w:r w:rsidR="00C920F4">
          <w:rPr>
            <w:noProof/>
            <w:webHidden/>
          </w:rPr>
          <w:fldChar w:fldCharType="separate"/>
        </w:r>
        <w:r w:rsidR="00EC7513">
          <w:rPr>
            <w:noProof/>
            <w:webHidden/>
          </w:rPr>
          <w:t>14</w:t>
        </w:r>
        <w:r w:rsidR="00C920F4">
          <w:rPr>
            <w:noProof/>
            <w:webHidden/>
          </w:rPr>
          <w:fldChar w:fldCharType="end"/>
        </w:r>
      </w:hyperlink>
    </w:p>
    <w:p w14:paraId="443E45EE" w14:textId="4EC365A4" w:rsidR="00C920F4" w:rsidRDefault="00506A12">
      <w:pPr>
        <w:pStyle w:val="TOC2"/>
        <w:rPr>
          <w:rFonts w:asciiTheme="minorHAnsi" w:eastAsiaTheme="minorEastAsia" w:hAnsiTheme="minorHAnsi" w:cstheme="minorBidi"/>
          <w:noProof/>
          <w:kern w:val="2"/>
          <w:sz w:val="22"/>
          <w:szCs w:val="22"/>
          <w:lang w:val="en-IE" w:eastAsia="en-IE"/>
          <w14:ligatures w14:val="standardContextual"/>
        </w:rPr>
      </w:pPr>
      <w:hyperlink w:anchor="_Toc173181069" w:history="1">
        <w:r w:rsidR="00C920F4" w:rsidRPr="005A1F18">
          <w:rPr>
            <w:rStyle w:val="Hyperlink"/>
            <w:noProof/>
          </w:rPr>
          <w:t>6.2.</w:t>
        </w:r>
        <w:r w:rsidR="00C920F4">
          <w:rPr>
            <w:rFonts w:asciiTheme="minorHAnsi" w:eastAsiaTheme="minorEastAsia" w:hAnsiTheme="minorHAnsi" w:cstheme="minorBidi"/>
            <w:noProof/>
            <w:kern w:val="2"/>
            <w:sz w:val="22"/>
            <w:szCs w:val="22"/>
            <w:lang w:val="en-IE" w:eastAsia="en-IE"/>
            <w14:ligatures w14:val="standardContextual"/>
          </w:rPr>
          <w:tab/>
        </w:r>
        <w:r w:rsidR="00C920F4" w:rsidRPr="005A1F18">
          <w:rPr>
            <w:rStyle w:val="Hyperlink"/>
            <w:noProof/>
          </w:rPr>
          <w:t>Relations with the European Court of Auditors</w:t>
        </w:r>
        <w:r w:rsidR="00C920F4">
          <w:rPr>
            <w:noProof/>
            <w:webHidden/>
          </w:rPr>
          <w:tab/>
        </w:r>
        <w:r w:rsidR="00C920F4">
          <w:rPr>
            <w:noProof/>
            <w:webHidden/>
          </w:rPr>
          <w:fldChar w:fldCharType="begin"/>
        </w:r>
        <w:r w:rsidR="00C920F4">
          <w:rPr>
            <w:noProof/>
            <w:webHidden/>
          </w:rPr>
          <w:instrText xml:space="preserve"> PAGEREF _Toc173181069 \h </w:instrText>
        </w:r>
        <w:r w:rsidR="00C920F4">
          <w:rPr>
            <w:noProof/>
            <w:webHidden/>
          </w:rPr>
        </w:r>
        <w:r w:rsidR="00C920F4">
          <w:rPr>
            <w:noProof/>
            <w:webHidden/>
          </w:rPr>
          <w:fldChar w:fldCharType="separate"/>
        </w:r>
        <w:r w:rsidR="00EC7513">
          <w:rPr>
            <w:noProof/>
            <w:webHidden/>
          </w:rPr>
          <w:t>14</w:t>
        </w:r>
        <w:r w:rsidR="00C920F4">
          <w:rPr>
            <w:noProof/>
            <w:webHidden/>
          </w:rPr>
          <w:fldChar w:fldCharType="end"/>
        </w:r>
      </w:hyperlink>
    </w:p>
    <w:p w14:paraId="1C394450" w14:textId="3183E75B" w:rsidR="6AF0C460" w:rsidRDefault="6AF0C460" w:rsidP="00D006F7">
      <w:pPr>
        <w:pStyle w:val="TOC1"/>
        <w:rPr>
          <w:noProof/>
        </w:rPr>
      </w:pPr>
      <w:r>
        <w:rPr>
          <w:noProof/>
        </w:rPr>
        <w:fldChar w:fldCharType="end"/>
      </w:r>
    </w:p>
    <w:p w14:paraId="7894AD69" w14:textId="5F380060" w:rsidR="00A44A15" w:rsidRDefault="00A44A15" w:rsidP="00A44A15">
      <w:pPr>
        <w:pStyle w:val="TOCHeading"/>
        <w:rPr>
          <w:noProof/>
        </w:rPr>
        <w:sectPr w:rsidR="00A44A15">
          <w:headerReference w:type="even" r:id="rId18"/>
          <w:headerReference w:type="default" r:id="rId19"/>
          <w:footerReference w:type="even" r:id="rId20"/>
          <w:footerReference w:type="default" r:id="rId21"/>
          <w:headerReference w:type="first" r:id="rId22"/>
          <w:footerReference w:type="first" r:id="rId23"/>
          <w:pgSz w:w="11906" w:h="16838" w:code="9"/>
          <w:pgMar w:top="1106" w:right="1389" w:bottom="1077" w:left="1389" w:header="680" w:footer="624" w:gutter="0"/>
          <w:pgNumType w:start="1"/>
          <w:cols w:space="720"/>
          <w:docGrid w:linePitch="326"/>
        </w:sectPr>
      </w:pPr>
    </w:p>
    <w:p w14:paraId="7ACD9532" w14:textId="77777777" w:rsidR="00A44A15" w:rsidRDefault="00A44A15" w:rsidP="00990270">
      <w:pPr>
        <w:pStyle w:val="ManualHeading1"/>
        <w:spacing w:after="160"/>
        <w:ind w:left="851" w:hanging="851"/>
        <w:rPr>
          <w:noProof/>
        </w:rPr>
      </w:pPr>
      <w:bookmarkStart w:id="2" w:name="_Toc322938550"/>
      <w:bookmarkStart w:id="3" w:name="_Toc102661828"/>
      <w:bookmarkStart w:id="4" w:name="_Toc105773176"/>
      <w:bookmarkStart w:id="5" w:name="_Toc173181044"/>
      <w:r w:rsidRPr="6AF0C460">
        <w:rPr>
          <w:noProof/>
        </w:rPr>
        <w:t>1.</w:t>
      </w:r>
      <w:r>
        <w:rPr>
          <w:noProof/>
        </w:rPr>
        <w:tab/>
      </w:r>
      <w:r w:rsidRPr="6AF0C460">
        <w:rPr>
          <w:noProof/>
        </w:rPr>
        <w:t>BUDGET PROCEDURE</w:t>
      </w:r>
      <w:bookmarkEnd w:id="2"/>
      <w:bookmarkEnd w:id="3"/>
      <w:bookmarkEnd w:id="4"/>
      <w:bookmarkEnd w:id="5"/>
    </w:p>
    <w:p w14:paraId="3F89FF47" w14:textId="34C347E8" w:rsidR="00410DE1" w:rsidRPr="00D006F7" w:rsidRDefault="00927A58" w:rsidP="00D006F7">
      <w:pPr>
        <w:pStyle w:val="Text1"/>
      </w:pPr>
      <w:r w:rsidRPr="00927A58">
        <w:t>The reformed CAP for the period 2023-2027 introduced a strategic approach and a new delivery model focused on performance and results. The new CAP consolidates the two existing funds – the European Agricultural Guarantee Fund (EAGF) and the European Agricultural Fund for Rural Development (EAFRD) - under the single umbrella of the CAP strategic plans covering funding for income support, rural development and support for certain sectors.</w:t>
      </w:r>
      <w:r w:rsidR="00CB6A31">
        <w:t xml:space="preserve"> 2023 was the first year of implementation of the CAP strategic plans.</w:t>
      </w:r>
    </w:p>
    <w:p w14:paraId="3BE18957" w14:textId="77777777" w:rsidR="00A44A15" w:rsidRDefault="00A44A15" w:rsidP="00990270">
      <w:pPr>
        <w:pStyle w:val="ManualHeading2"/>
        <w:spacing w:before="360" w:after="160"/>
        <w:ind w:left="851" w:hanging="851"/>
        <w:rPr>
          <w:noProof/>
        </w:rPr>
      </w:pPr>
      <w:bookmarkStart w:id="6" w:name="_Toc322938551"/>
      <w:bookmarkStart w:id="7" w:name="_Toc102661829"/>
      <w:bookmarkStart w:id="8" w:name="_Toc105773177"/>
      <w:bookmarkStart w:id="9" w:name="_Toc173181045"/>
      <w:r w:rsidRPr="6AF0C460">
        <w:rPr>
          <w:noProof/>
        </w:rPr>
        <w:t>1.1.</w:t>
      </w:r>
      <w:r>
        <w:rPr>
          <w:noProof/>
        </w:rPr>
        <w:tab/>
      </w:r>
      <w:r w:rsidRPr="6AF0C460">
        <w:rPr>
          <w:noProof/>
        </w:rPr>
        <w:t>Financial Framework 2021-</w:t>
      </w:r>
      <w:bookmarkEnd w:id="6"/>
      <w:r w:rsidRPr="6AF0C460">
        <w:rPr>
          <w:noProof/>
        </w:rPr>
        <w:t>2027</w:t>
      </w:r>
      <w:bookmarkEnd w:id="7"/>
      <w:bookmarkEnd w:id="8"/>
      <w:bookmarkEnd w:id="9"/>
      <w:r w:rsidRPr="6AF0C460">
        <w:rPr>
          <w:noProof/>
        </w:rPr>
        <w:t xml:space="preserve"> </w:t>
      </w:r>
    </w:p>
    <w:p w14:paraId="565E90EA" w14:textId="364C088D" w:rsidR="00A44A15" w:rsidRDefault="00A44A15" w:rsidP="00A44A15">
      <w:pPr>
        <w:pStyle w:val="Text1"/>
      </w:pPr>
      <w:r>
        <w:t xml:space="preserve">Expenditure of the Common Agricultural Policy (CAP) is funded within the multiannual financial framework for </w:t>
      </w:r>
      <w:r w:rsidR="0013627E">
        <w:t xml:space="preserve">the years </w:t>
      </w:r>
      <w:r>
        <w:t>2021-2027 as provided for in Council Regulation (EU</w:t>
      </w:r>
      <w:r w:rsidR="0013627E">
        <w:t>, Euratom</w:t>
      </w:r>
      <w:r>
        <w:t>) 2020/2093</w:t>
      </w:r>
      <w:r>
        <w:rPr>
          <w:vertAlign w:val="superscript"/>
        </w:rPr>
        <w:footnoteReference w:id="2"/>
      </w:r>
      <w:r>
        <w:t xml:space="preserve">. Specifically, CAP expenditure is part of the ceiling fixed for Heading 3 - </w:t>
      </w:r>
      <w:r w:rsidRPr="00FD57E6">
        <w:t>Natural Resources and Environment</w:t>
      </w:r>
      <w:r>
        <w:t>. Within that overall ceiling, a specific sub-ceiling has been fixed for market related expenditure and direct payments financed by the European Agricultural Guarantee Fund (EAGF).</w:t>
      </w:r>
    </w:p>
    <w:p w14:paraId="04EA57B3" w14:textId="5DD38D43" w:rsidR="00A44A15" w:rsidRDefault="1BFC6801" w:rsidP="00A44A15">
      <w:pPr>
        <w:pStyle w:val="Text1"/>
      </w:pPr>
      <w:r>
        <w:t xml:space="preserve">The </w:t>
      </w:r>
      <w:r w:rsidR="609EDA7C">
        <w:t>EAGF sub-</w:t>
      </w:r>
      <w:r>
        <w:t xml:space="preserve">ceiling </w:t>
      </w:r>
      <w:r w:rsidR="09A2C7BB">
        <w:t>was</w:t>
      </w:r>
      <w:r>
        <w:t xml:space="preserve"> adjusted following the transfer of certain amounts </w:t>
      </w:r>
      <w:r w:rsidR="5C1AE4C8">
        <w:t>from</w:t>
      </w:r>
      <w:r>
        <w:t xml:space="preserve"> direct payments to rural development financed by the European Agricultural Fund for Rural Development </w:t>
      </w:r>
      <w:r w:rsidR="4BF33E42">
        <w:t>(</w:t>
      </w:r>
      <w:r>
        <w:t>EAFRD</w:t>
      </w:r>
      <w:r w:rsidR="4BF33E42">
        <w:t>)</w:t>
      </w:r>
      <w:r>
        <w:t xml:space="preserve">, as well as the transfer from rural development to direct payments. </w:t>
      </w:r>
      <w:r w:rsidR="16507370">
        <w:t>In addition, some adjustments have been done in the framework of the MFF mid-term revi</w:t>
      </w:r>
      <w:r w:rsidR="78E63AC4">
        <w:t>sion</w:t>
      </w:r>
      <w:r w:rsidR="349535DD">
        <w:t xml:space="preserve"> </w:t>
      </w:r>
      <w:r w:rsidR="16507370">
        <w:t>in 2024</w:t>
      </w:r>
      <w:r w:rsidR="00D35D06">
        <w:t>, as laid down in Council Regulation (EU, Euratom) 2024/765</w:t>
      </w:r>
      <w:r w:rsidR="00407ACD">
        <w:rPr>
          <w:rStyle w:val="FootnoteReference"/>
        </w:rPr>
        <w:footnoteReference w:id="3"/>
      </w:r>
      <w:r w:rsidR="16507370">
        <w:t xml:space="preserve">. </w:t>
      </w:r>
      <w:r>
        <w:t xml:space="preserve">Therefore, on the basis of </w:t>
      </w:r>
      <w:r w:rsidRPr="00F049BB">
        <w:t>Commission Implementing Regulation (EU) 2021/128</w:t>
      </w:r>
      <w:r w:rsidR="00A44A15" w:rsidRPr="00F049BB">
        <w:rPr>
          <w:vertAlign w:val="superscript"/>
        </w:rPr>
        <w:footnoteReference w:id="4"/>
      </w:r>
      <w:r w:rsidRPr="00F049BB">
        <w:t xml:space="preserve"> setting the net balance available for </w:t>
      </w:r>
      <w:r w:rsidR="05DEEAB7">
        <w:t xml:space="preserve">EAGF </w:t>
      </w:r>
      <w:r w:rsidRPr="00F049BB">
        <w:t>expenditure, the CAP amounts included in Heading 3 of the multiannual financial framework (2021-2027) are:</w:t>
      </w:r>
      <w:r>
        <w:t xml:space="preserve"> </w:t>
      </w:r>
    </w:p>
    <w:p w14:paraId="2D3316B7" w14:textId="0785624D" w:rsidR="00A44A15" w:rsidRDefault="00477026" w:rsidP="00D006F7">
      <w:pPr>
        <w:pStyle w:val="Text1"/>
        <w:rPr>
          <w:i/>
        </w:rPr>
      </w:pPr>
      <w:r w:rsidRPr="00D006F7">
        <w:rPr>
          <w:iCs/>
        </w:rPr>
        <w:t>T</w:t>
      </w:r>
      <w:r w:rsidR="00A535C8" w:rsidRPr="00D006F7">
        <w:rPr>
          <w:iCs/>
        </w:rPr>
        <w:t xml:space="preserve">able 1          </w:t>
      </w:r>
      <w:r w:rsidRPr="00D006F7">
        <w:rPr>
          <w:iCs/>
        </w:rPr>
        <w:t xml:space="preserve">  </w:t>
      </w:r>
      <w:r w:rsidR="00A535C8" w:rsidRPr="00D006F7">
        <w:rPr>
          <w:iCs/>
        </w:rPr>
        <w:t xml:space="preserve">                                                             </w:t>
      </w:r>
      <w:r w:rsidR="00A44A15">
        <w:rPr>
          <w:i/>
        </w:rPr>
        <w:t>(in EUR million; current prices)</w:t>
      </w:r>
    </w:p>
    <w:tbl>
      <w:tblPr>
        <w:tblpPr w:leftFromText="180" w:rightFromText="180" w:vertAnchor="text" w:horzAnchor="page" w:tblpX="1351" w:tblpY="37"/>
        <w:tblW w:w="9600" w:type="dxa"/>
        <w:tblLook w:val="04A0" w:firstRow="1" w:lastRow="0" w:firstColumn="1" w:lastColumn="0" w:noHBand="0" w:noVBand="1"/>
      </w:tblPr>
      <w:tblGrid>
        <w:gridCol w:w="2880"/>
        <w:gridCol w:w="960"/>
        <w:gridCol w:w="960"/>
        <w:gridCol w:w="960"/>
        <w:gridCol w:w="960"/>
        <w:gridCol w:w="960"/>
        <w:gridCol w:w="960"/>
        <w:gridCol w:w="960"/>
      </w:tblGrid>
      <w:tr w:rsidR="00DB00D7" w:rsidRPr="002B5206" w14:paraId="082D2C6B" w14:textId="77777777" w:rsidTr="00B36033">
        <w:trPr>
          <w:trHeight w:val="280"/>
        </w:trPr>
        <w:tc>
          <w:tcPr>
            <w:tcW w:w="2880" w:type="dxa"/>
            <w:tcBorders>
              <w:top w:val="double" w:sz="6" w:space="0" w:color="auto"/>
              <w:left w:val="double" w:sz="6" w:space="0" w:color="auto"/>
              <w:bottom w:val="single" w:sz="8" w:space="0" w:color="auto"/>
              <w:right w:val="single" w:sz="8" w:space="0" w:color="000000"/>
            </w:tcBorders>
            <w:shd w:val="clear" w:color="000000" w:fill="99CC00"/>
            <w:vAlign w:val="center"/>
            <w:hideMark/>
          </w:tcPr>
          <w:p w14:paraId="4639C5AF" w14:textId="77777777" w:rsidR="00DB00D7" w:rsidRPr="002B5206" w:rsidRDefault="00DB00D7" w:rsidP="00B36033">
            <w:pPr>
              <w:spacing w:after="0" w:line="240" w:lineRule="auto"/>
              <w:rPr>
                <w:rFonts w:ascii="Times New Roman" w:eastAsia="Times New Roman" w:hAnsi="Times New Roman" w:cs="Times New Roman"/>
                <w:b/>
                <w:bCs/>
                <w:noProof/>
                <w:color w:val="000000"/>
                <w:sz w:val="20"/>
                <w:szCs w:val="20"/>
                <w:lang w:val="en-IE" w:eastAsia="en-IE"/>
              </w:rPr>
            </w:pPr>
            <w:r w:rsidRPr="002B5206">
              <w:rPr>
                <w:rFonts w:ascii="Times New Roman" w:eastAsia="Times New Roman" w:hAnsi="Times New Roman" w:cs="Times New Roman"/>
                <w:b/>
                <w:bCs/>
                <w:noProof/>
                <w:color w:val="000000"/>
                <w:sz w:val="20"/>
                <w:szCs w:val="20"/>
                <w:lang w:eastAsia="en-IE"/>
              </w:rPr>
              <w:t xml:space="preserve">Heading 3* </w:t>
            </w:r>
          </w:p>
        </w:tc>
        <w:tc>
          <w:tcPr>
            <w:tcW w:w="960" w:type="dxa"/>
            <w:tcBorders>
              <w:top w:val="double" w:sz="6" w:space="0" w:color="auto"/>
              <w:left w:val="nil"/>
              <w:bottom w:val="single" w:sz="8" w:space="0" w:color="auto"/>
              <w:right w:val="single" w:sz="8" w:space="0" w:color="auto"/>
            </w:tcBorders>
            <w:shd w:val="clear" w:color="000000" w:fill="99CC00"/>
            <w:vAlign w:val="center"/>
            <w:hideMark/>
          </w:tcPr>
          <w:p w14:paraId="3161B3B3"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lang w:val="en-IE" w:eastAsia="en-IE"/>
              </w:rPr>
            </w:pPr>
            <w:r w:rsidRPr="002B5206">
              <w:rPr>
                <w:rFonts w:ascii="Times New Roman" w:eastAsia="Times New Roman" w:hAnsi="Times New Roman" w:cs="Times New Roman"/>
                <w:noProof/>
                <w:color w:val="000000"/>
                <w:sz w:val="20"/>
                <w:szCs w:val="20"/>
                <w:lang w:eastAsia="en-IE"/>
              </w:rPr>
              <w:t>2021</w:t>
            </w:r>
          </w:p>
        </w:tc>
        <w:tc>
          <w:tcPr>
            <w:tcW w:w="960" w:type="dxa"/>
            <w:tcBorders>
              <w:top w:val="double" w:sz="6" w:space="0" w:color="auto"/>
              <w:left w:val="nil"/>
              <w:bottom w:val="single" w:sz="8" w:space="0" w:color="auto"/>
              <w:right w:val="single" w:sz="8" w:space="0" w:color="auto"/>
            </w:tcBorders>
            <w:shd w:val="clear" w:color="000000" w:fill="99CC00"/>
            <w:vAlign w:val="center"/>
            <w:hideMark/>
          </w:tcPr>
          <w:p w14:paraId="0C37ADCD"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lang w:val="en-IE" w:eastAsia="en-IE"/>
              </w:rPr>
            </w:pPr>
            <w:r w:rsidRPr="002B5206">
              <w:rPr>
                <w:rFonts w:ascii="Times New Roman" w:eastAsia="Times New Roman" w:hAnsi="Times New Roman" w:cs="Times New Roman"/>
                <w:noProof/>
                <w:color w:val="000000"/>
                <w:sz w:val="20"/>
                <w:szCs w:val="20"/>
                <w:lang w:eastAsia="en-IE"/>
              </w:rPr>
              <w:t>2022</w:t>
            </w:r>
          </w:p>
        </w:tc>
        <w:tc>
          <w:tcPr>
            <w:tcW w:w="960" w:type="dxa"/>
            <w:tcBorders>
              <w:top w:val="double" w:sz="6" w:space="0" w:color="auto"/>
              <w:left w:val="nil"/>
              <w:bottom w:val="single" w:sz="8" w:space="0" w:color="auto"/>
              <w:right w:val="single" w:sz="8" w:space="0" w:color="auto"/>
            </w:tcBorders>
            <w:shd w:val="clear" w:color="000000" w:fill="99CC00"/>
            <w:vAlign w:val="center"/>
            <w:hideMark/>
          </w:tcPr>
          <w:p w14:paraId="4F1347CC"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lang w:val="en-IE" w:eastAsia="en-IE"/>
              </w:rPr>
            </w:pPr>
            <w:r w:rsidRPr="002B5206">
              <w:rPr>
                <w:rFonts w:ascii="Times New Roman" w:eastAsia="Times New Roman" w:hAnsi="Times New Roman" w:cs="Times New Roman"/>
                <w:noProof/>
                <w:color w:val="000000"/>
                <w:sz w:val="20"/>
                <w:szCs w:val="20"/>
                <w:lang w:eastAsia="en-IE"/>
              </w:rPr>
              <w:t>2023</w:t>
            </w:r>
          </w:p>
        </w:tc>
        <w:tc>
          <w:tcPr>
            <w:tcW w:w="960" w:type="dxa"/>
            <w:tcBorders>
              <w:top w:val="double" w:sz="6" w:space="0" w:color="auto"/>
              <w:left w:val="nil"/>
              <w:bottom w:val="single" w:sz="8" w:space="0" w:color="auto"/>
              <w:right w:val="single" w:sz="8" w:space="0" w:color="auto"/>
            </w:tcBorders>
            <w:shd w:val="clear" w:color="000000" w:fill="99CC00"/>
            <w:vAlign w:val="center"/>
            <w:hideMark/>
          </w:tcPr>
          <w:p w14:paraId="31B62B09"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lang w:val="en-IE" w:eastAsia="en-IE"/>
              </w:rPr>
            </w:pPr>
            <w:r w:rsidRPr="002B5206">
              <w:rPr>
                <w:rFonts w:ascii="Times New Roman" w:eastAsia="Times New Roman" w:hAnsi="Times New Roman" w:cs="Times New Roman"/>
                <w:noProof/>
                <w:color w:val="000000"/>
                <w:sz w:val="20"/>
                <w:szCs w:val="20"/>
                <w:lang w:eastAsia="en-IE"/>
              </w:rPr>
              <w:t>2024</w:t>
            </w:r>
          </w:p>
        </w:tc>
        <w:tc>
          <w:tcPr>
            <w:tcW w:w="960" w:type="dxa"/>
            <w:tcBorders>
              <w:top w:val="double" w:sz="6" w:space="0" w:color="auto"/>
              <w:left w:val="nil"/>
              <w:bottom w:val="single" w:sz="8" w:space="0" w:color="auto"/>
              <w:right w:val="single" w:sz="8" w:space="0" w:color="auto"/>
            </w:tcBorders>
            <w:shd w:val="clear" w:color="000000" w:fill="99CC00"/>
            <w:vAlign w:val="center"/>
            <w:hideMark/>
          </w:tcPr>
          <w:p w14:paraId="349DCE83"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lang w:val="en-IE" w:eastAsia="en-IE"/>
              </w:rPr>
            </w:pPr>
            <w:r w:rsidRPr="002B5206">
              <w:rPr>
                <w:rFonts w:ascii="Times New Roman" w:eastAsia="Times New Roman" w:hAnsi="Times New Roman" w:cs="Times New Roman"/>
                <w:noProof/>
                <w:color w:val="000000"/>
                <w:sz w:val="20"/>
                <w:szCs w:val="20"/>
                <w:lang w:eastAsia="en-IE"/>
              </w:rPr>
              <w:t>2025</w:t>
            </w:r>
          </w:p>
        </w:tc>
        <w:tc>
          <w:tcPr>
            <w:tcW w:w="960" w:type="dxa"/>
            <w:tcBorders>
              <w:top w:val="double" w:sz="6" w:space="0" w:color="auto"/>
              <w:left w:val="nil"/>
              <w:bottom w:val="single" w:sz="8" w:space="0" w:color="auto"/>
              <w:right w:val="single" w:sz="8" w:space="0" w:color="auto"/>
            </w:tcBorders>
            <w:shd w:val="clear" w:color="000000" w:fill="99CC00"/>
            <w:vAlign w:val="center"/>
            <w:hideMark/>
          </w:tcPr>
          <w:p w14:paraId="2508540E"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lang w:val="en-IE" w:eastAsia="en-IE"/>
              </w:rPr>
            </w:pPr>
            <w:r w:rsidRPr="002B5206">
              <w:rPr>
                <w:rFonts w:ascii="Times New Roman" w:eastAsia="Times New Roman" w:hAnsi="Times New Roman" w:cs="Times New Roman"/>
                <w:noProof/>
                <w:color w:val="000000"/>
                <w:sz w:val="20"/>
                <w:szCs w:val="20"/>
                <w:lang w:eastAsia="en-IE"/>
              </w:rPr>
              <w:t>2026</w:t>
            </w:r>
          </w:p>
        </w:tc>
        <w:tc>
          <w:tcPr>
            <w:tcW w:w="960" w:type="dxa"/>
            <w:tcBorders>
              <w:top w:val="double" w:sz="6" w:space="0" w:color="auto"/>
              <w:left w:val="nil"/>
              <w:bottom w:val="single" w:sz="8" w:space="0" w:color="auto"/>
              <w:right w:val="double" w:sz="6" w:space="0" w:color="auto"/>
            </w:tcBorders>
            <w:shd w:val="clear" w:color="000000" w:fill="99CC00"/>
            <w:vAlign w:val="center"/>
            <w:hideMark/>
          </w:tcPr>
          <w:p w14:paraId="4B8D561B"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lang w:val="en-IE" w:eastAsia="en-IE"/>
              </w:rPr>
            </w:pPr>
            <w:r w:rsidRPr="002B5206">
              <w:rPr>
                <w:rFonts w:ascii="Times New Roman" w:eastAsia="Times New Roman" w:hAnsi="Times New Roman" w:cs="Times New Roman"/>
                <w:noProof/>
                <w:color w:val="000000"/>
                <w:sz w:val="20"/>
                <w:szCs w:val="20"/>
                <w:lang w:eastAsia="en-IE"/>
              </w:rPr>
              <w:t>2027</w:t>
            </w:r>
          </w:p>
        </w:tc>
      </w:tr>
      <w:tr w:rsidR="00DB00D7" w:rsidRPr="002B5206" w14:paraId="1769C05B" w14:textId="77777777" w:rsidTr="00B36033">
        <w:trPr>
          <w:trHeight w:val="260"/>
        </w:trPr>
        <w:tc>
          <w:tcPr>
            <w:tcW w:w="2880" w:type="dxa"/>
            <w:tcBorders>
              <w:top w:val="single" w:sz="8" w:space="0" w:color="auto"/>
              <w:left w:val="double" w:sz="6" w:space="0" w:color="auto"/>
              <w:bottom w:val="nil"/>
              <w:right w:val="single" w:sz="8" w:space="0" w:color="000000"/>
            </w:tcBorders>
            <w:shd w:val="clear" w:color="auto" w:fill="auto"/>
            <w:vAlign w:val="center"/>
            <w:hideMark/>
          </w:tcPr>
          <w:p w14:paraId="480DB9D8" w14:textId="77777777" w:rsidR="00DB00D7" w:rsidRPr="002B5206" w:rsidRDefault="00DB00D7" w:rsidP="00B36033">
            <w:pPr>
              <w:spacing w:after="0" w:line="240" w:lineRule="auto"/>
              <w:rPr>
                <w:rFonts w:ascii="Times New Roman" w:eastAsia="Times New Roman" w:hAnsi="Times New Roman" w:cs="Times New Roman"/>
                <w:b/>
                <w:bCs/>
                <w:noProof/>
                <w:sz w:val="20"/>
                <w:szCs w:val="20"/>
                <w:lang w:val="en-IE" w:eastAsia="en-IE"/>
              </w:rPr>
            </w:pPr>
            <w:r w:rsidRPr="002B5206">
              <w:rPr>
                <w:rFonts w:ascii="Times New Roman" w:eastAsia="Times New Roman" w:hAnsi="Times New Roman" w:cs="Times New Roman"/>
                <w:b/>
                <w:bCs/>
                <w:noProof/>
                <w:sz w:val="20"/>
                <w:szCs w:val="20"/>
                <w:lang w:eastAsia="en-IE"/>
              </w:rPr>
              <w:t xml:space="preserve">Total </w:t>
            </w:r>
          </w:p>
        </w:tc>
        <w:tc>
          <w:tcPr>
            <w:tcW w:w="960" w:type="dxa"/>
            <w:tcBorders>
              <w:top w:val="nil"/>
              <w:left w:val="nil"/>
              <w:bottom w:val="nil"/>
              <w:right w:val="single" w:sz="8" w:space="0" w:color="auto"/>
            </w:tcBorders>
            <w:shd w:val="clear" w:color="auto" w:fill="auto"/>
            <w:vAlign w:val="center"/>
            <w:hideMark/>
          </w:tcPr>
          <w:p w14:paraId="519F7D6B"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55 713.0</w:t>
            </w:r>
          </w:p>
        </w:tc>
        <w:tc>
          <w:tcPr>
            <w:tcW w:w="960" w:type="dxa"/>
            <w:tcBorders>
              <w:top w:val="nil"/>
              <w:left w:val="nil"/>
              <w:bottom w:val="nil"/>
              <w:right w:val="single" w:sz="8" w:space="0" w:color="auto"/>
            </w:tcBorders>
            <w:shd w:val="clear" w:color="auto" w:fill="auto"/>
            <w:vAlign w:val="center"/>
            <w:hideMark/>
          </w:tcPr>
          <w:p w14:paraId="6E9B4590"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53 365.90</w:t>
            </w:r>
          </w:p>
        </w:tc>
        <w:tc>
          <w:tcPr>
            <w:tcW w:w="960" w:type="dxa"/>
            <w:tcBorders>
              <w:top w:val="nil"/>
              <w:left w:val="nil"/>
              <w:bottom w:val="nil"/>
              <w:right w:val="single" w:sz="8" w:space="0" w:color="auto"/>
            </w:tcBorders>
            <w:shd w:val="clear" w:color="auto" w:fill="auto"/>
            <w:vAlign w:val="center"/>
            <w:hideMark/>
          </w:tcPr>
          <w:p w14:paraId="55C8A165"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53 626.90</w:t>
            </w:r>
          </w:p>
        </w:tc>
        <w:tc>
          <w:tcPr>
            <w:tcW w:w="960" w:type="dxa"/>
            <w:tcBorders>
              <w:top w:val="nil"/>
              <w:left w:val="nil"/>
              <w:bottom w:val="nil"/>
              <w:right w:val="single" w:sz="8" w:space="0" w:color="auto"/>
            </w:tcBorders>
            <w:shd w:val="clear" w:color="auto" w:fill="auto"/>
            <w:vAlign w:val="center"/>
            <w:hideMark/>
          </w:tcPr>
          <w:p w14:paraId="0CE471BE"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53 757.90</w:t>
            </w:r>
          </w:p>
        </w:tc>
        <w:tc>
          <w:tcPr>
            <w:tcW w:w="960" w:type="dxa"/>
            <w:tcBorders>
              <w:top w:val="nil"/>
              <w:left w:val="nil"/>
              <w:bottom w:val="nil"/>
              <w:right w:val="single" w:sz="8" w:space="0" w:color="auto"/>
            </w:tcBorders>
            <w:shd w:val="clear" w:color="auto" w:fill="auto"/>
            <w:vAlign w:val="center"/>
            <w:hideMark/>
          </w:tcPr>
          <w:p w14:paraId="32EC3587"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53 890.90</w:t>
            </w:r>
          </w:p>
        </w:tc>
        <w:tc>
          <w:tcPr>
            <w:tcW w:w="960" w:type="dxa"/>
            <w:tcBorders>
              <w:top w:val="nil"/>
              <w:left w:val="nil"/>
              <w:bottom w:val="nil"/>
              <w:right w:val="single" w:sz="8" w:space="0" w:color="auto"/>
            </w:tcBorders>
            <w:shd w:val="clear" w:color="auto" w:fill="auto"/>
            <w:vAlign w:val="center"/>
            <w:hideMark/>
          </w:tcPr>
          <w:p w14:paraId="2ACE5C07"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54 021.90</w:t>
            </w:r>
          </w:p>
        </w:tc>
        <w:tc>
          <w:tcPr>
            <w:tcW w:w="960" w:type="dxa"/>
            <w:tcBorders>
              <w:top w:val="nil"/>
              <w:left w:val="nil"/>
              <w:bottom w:val="nil"/>
              <w:right w:val="double" w:sz="6" w:space="0" w:color="auto"/>
            </w:tcBorders>
            <w:shd w:val="clear" w:color="auto" w:fill="auto"/>
            <w:vAlign w:val="center"/>
            <w:hideMark/>
          </w:tcPr>
          <w:p w14:paraId="49AD462B"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54 155.90</w:t>
            </w:r>
          </w:p>
        </w:tc>
      </w:tr>
      <w:tr w:rsidR="00DB00D7" w:rsidRPr="002B5206" w14:paraId="230F2659" w14:textId="77777777" w:rsidTr="00B36033">
        <w:trPr>
          <w:trHeight w:val="260"/>
        </w:trPr>
        <w:tc>
          <w:tcPr>
            <w:tcW w:w="2880" w:type="dxa"/>
            <w:tcBorders>
              <w:top w:val="nil"/>
              <w:left w:val="double" w:sz="6" w:space="0" w:color="auto"/>
              <w:bottom w:val="nil"/>
              <w:right w:val="single" w:sz="8" w:space="0" w:color="000000"/>
            </w:tcBorders>
            <w:shd w:val="clear" w:color="auto" w:fill="auto"/>
            <w:vAlign w:val="center"/>
            <w:hideMark/>
          </w:tcPr>
          <w:p w14:paraId="4F0529A4" w14:textId="77777777" w:rsidR="00DB00D7" w:rsidRPr="002B5206" w:rsidRDefault="00DB00D7" w:rsidP="00B36033">
            <w:pPr>
              <w:spacing w:after="0" w:line="240" w:lineRule="auto"/>
              <w:rPr>
                <w:rFonts w:ascii="Times New Roman" w:eastAsia="Times New Roman" w:hAnsi="Times New Roman" w:cs="Times New Roman"/>
                <w:noProof/>
                <w:sz w:val="20"/>
                <w:szCs w:val="20"/>
                <w:lang w:val="en-IE" w:eastAsia="en-IE"/>
              </w:rPr>
            </w:pPr>
            <w:r w:rsidRPr="002B5206">
              <w:rPr>
                <w:rFonts w:ascii="Times New Roman" w:eastAsia="Times New Roman" w:hAnsi="Times New Roman" w:cs="Times New Roman"/>
                <w:noProof/>
                <w:sz w:val="20"/>
                <w:szCs w:val="20"/>
                <w:lang w:eastAsia="en-IE"/>
              </w:rPr>
              <w:t>of which:</w:t>
            </w:r>
          </w:p>
        </w:tc>
        <w:tc>
          <w:tcPr>
            <w:tcW w:w="960" w:type="dxa"/>
            <w:tcBorders>
              <w:top w:val="nil"/>
              <w:left w:val="nil"/>
              <w:bottom w:val="nil"/>
              <w:right w:val="single" w:sz="8" w:space="0" w:color="auto"/>
            </w:tcBorders>
            <w:shd w:val="clear" w:color="auto" w:fill="auto"/>
            <w:vAlign w:val="center"/>
            <w:hideMark/>
          </w:tcPr>
          <w:p w14:paraId="141B5677"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 </w:t>
            </w:r>
          </w:p>
        </w:tc>
        <w:tc>
          <w:tcPr>
            <w:tcW w:w="960" w:type="dxa"/>
            <w:tcBorders>
              <w:top w:val="nil"/>
              <w:left w:val="nil"/>
              <w:bottom w:val="nil"/>
              <w:right w:val="single" w:sz="8" w:space="0" w:color="auto"/>
            </w:tcBorders>
            <w:shd w:val="clear" w:color="auto" w:fill="auto"/>
            <w:vAlign w:val="center"/>
            <w:hideMark/>
          </w:tcPr>
          <w:p w14:paraId="77D0DD8E"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 </w:t>
            </w:r>
          </w:p>
        </w:tc>
        <w:tc>
          <w:tcPr>
            <w:tcW w:w="960" w:type="dxa"/>
            <w:tcBorders>
              <w:top w:val="nil"/>
              <w:left w:val="nil"/>
              <w:bottom w:val="nil"/>
              <w:right w:val="single" w:sz="8" w:space="0" w:color="auto"/>
            </w:tcBorders>
            <w:shd w:val="clear" w:color="auto" w:fill="auto"/>
            <w:vAlign w:val="center"/>
            <w:hideMark/>
          </w:tcPr>
          <w:p w14:paraId="22D097FC"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 </w:t>
            </w:r>
          </w:p>
        </w:tc>
        <w:tc>
          <w:tcPr>
            <w:tcW w:w="960" w:type="dxa"/>
            <w:tcBorders>
              <w:top w:val="nil"/>
              <w:left w:val="nil"/>
              <w:bottom w:val="nil"/>
              <w:right w:val="single" w:sz="8" w:space="0" w:color="auto"/>
            </w:tcBorders>
            <w:shd w:val="clear" w:color="auto" w:fill="auto"/>
            <w:vAlign w:val="center"/>
            <w:hideMark/>
          </w:tcPr>
          <w:p w14:paraId="37635AB7"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 </w:t>
            </w:r>
          </w:p>
        </w:tc>
        <w:tc>
          <w:tcPr>
            <w:tcW w:w="960" w:type="dxa"/>
            <w:tcBorders>
              <w:top w:val="nil"/>
              <w:left w:val="nil"/>
              <w:bottom w:val="nil"/>
              <w:right w:val="single" w:sz="8" w:space="0" w:color="auto"/>
            </w:tcBorders>
            <w:shd w:val="clear" w:color="auto" w:fill="auto"/>
            <w:vAlign w:val="center"/>
            <w:hideMark/>
          </w:tcPr>
          <w:p w14:paraId="799BF2D9"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 </w:t>
            </w:r>
          </w:p>
        </w:tc>
        <w:tc>
          <w:tcPr>
            <w:tcW w:w="960" w:type="dxa"/>
            <w:tcBorders>
              <w:top w:val="nil"/>
              <w:left w:val="nil"/>
              <w:bottom w:val="nil"/>
              <w:right w:val="single" w:sz="8" w:space="0" w:color="auto"/>
            </w:tcBorders>
            <w:shd w:val="clear" w:color="auto" w:fill="auto"/>
            <w:vAlign w:val="center"/>
            <w:hideMark/>
          </w:tcPr>
          <w:p w14:paraId="6EC05CE6"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 </w:t>
            </w:r>
          </w:p>
        </w:tc>
        <w:tc>
          <w:tcPr>
            <w:tcW w:w="960" w:type="dxa"/>
            <w:tcBorders>
              <w:top w:val="nil"/>
              <w:left w:val="nil"/>
              <w:bottom w:val="nil"/>
              <w:right w:val="double" w:sz="6" w:space="0" w:color="auto"/>
            </w:tcBorders>
            <w:shd w:val="clear" w:color="auto" w:fill="auto"/>
            <w:vAlign w:val="center"/>
            <w:hideMark/>
          </w:tcPr>
          <w:p w14:paraId="64B8DD50"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 </w:t>
            </w:r>
          </w:p>
        </w:tc>
      </w:tr>
      <w:tr w:rsidR="00DB00D7" w:rsidRPr="002B5206" w14:paraId="0E75C15C" w14:textId="77777777" w:rsidTr="00B36033">
        <w:trPr>
          <w:trHeight w:val="630"/>
        </w:trPr>
        <w:tc>
          <w:tcPr>
            <w:tcW w:w="2880" w:type="dxa"/>
            <w:tcBorders>
              <w:top w:val="nil"/>
              <w:left w:val="double" w:sz="6" w:space="0" w:color="auto"/>
              <w:bottom w:val="nil"/>
              <w:right w:val="single" w:sz="8" w:space="0" w:color="000000"/>
            </w:tcBorders>
            <w:shd w:val="clear" w:color="auto" w:fill="auto"/>
            <w:vAlign w:val="center"/>
            <w:hideMark/>
          </w:tcPr>
          <w:p w14:paraId="173EE778" w14:textId="77777777" w:rsidR="00DB00D7" w:rsidRPr="002B5206" w:rsidRDefault="00DB00D7" w:rsidP="00B36033">
            <w:pPr>
              <w:spacing w:after="0" w:line="240" w:lineRule="auto"/>
              <w:rPr>
                <w:rFonts w:ascii="Times New Roman" w:eastAsia="Times New Roman" w:hAnsi="Times New Roman" w:cs="Times New Roman"/>
                <w:noProof/>
                <w:sz w:val="20"/>
                <w:szCs w:val="20"/>
                <w:lang w:val="en-IE" w:eastAsia="en-IE"/>
              </w:rPr>
            </w:pPr>
            <w:r w:rsidRPr="002B5206">
              <w:rPr>
                <w:rFonts w:ascii="Times New Roman" w:eastAsia="Times New Roman" w:hAnsi="Times New Roman" w:cs="Times New Roman"/>
                <w:noProof/>
                <w:sz w:val="20"/>
                <w:szCs w:val="20"/>
                <w:lang w:eastAsia="en-IE"/>
              </w:rPr>
              <w:t>- Market related expenditure and direct payments, a), b), c), d)</w:t>
            </w:r>
          </w:p>
        </w:tc>
        <w:tc>
          <w:tcPr>
            <w:tcW w:w="960" w:type="dxa"/>
            <w:tcBorders>
              <w:top w:val="nil"/>
              <w:left w:val="nil"/>
              <w:bottom w:val="nil"/>
              <w:right w:val="single" w:sz="8" w:space="0" w:color="auto"/>
            </w:tcBorders>
            <w:shd w:val="clear" w:color="auto" w:fill="auto"/>
            <w:vAlign w:val="center"/>
            <w:hideMark/>
          </w:tcPr>
          <w:p w14:paraId="6342B6D7"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40 368.00</w:t>
            </w:r>
          </w:p>
        </w:tc>
        <w:tc>
          <w:tcPr>
            <w:tcW w:w="960" w:type="dxa"/>
            <w:tcBorders>
              <w:top w:val="nil"/>
              <w:left w:val="nil"/>
              <w:bottom w:val="nil"/>
              <w:right w:val="single" w:sz="8" w:space="0" w:color="auto"/>
            </w:tcBorders>
            <w:shd w:val="clear" w:color="auto" w:fill="auto"/>
            <w:vAlign w:val="center"/>
            <w:hideMark/>
          </w:tcPr>
          <w:p w14:paraId="116D448E"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40 638.20</w:t>
            </w:r>
          </w:p>
        </w:tc>
        <w:tc>
          <w:tcPr>
            <w:tcW w:w="960" w:type="dxa"/>
            <w:tcBorders>
              <w:top w:val="nil"/>
              <w:left w:val="nil"/>
              <w:bottom w:val="nil"/>
              <w:right w:val="single" w:sz="8" w:space="0" w:color="auto"/>
            </w:tcBorders>
            <w:shd w:val="clear" w:color="auto" w:fill="auto"/>
            <w:vAlign w:val="center"/>
            <w:hideMark/>
          </w:tcPr>
          <w:p w14:paraId="27EBA506"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40 692.20</w:t>
            </w:r>
          </w:p>
        </w:tc>
        <w:tc>
          <w:tcPr>
            <w:tcW w:w="960" w:type="dxa"/>
            <w:tcBorders>
              <w:top w:val="nil"/>
              <w:left w:val="nil"/>
              <w:bottom w:val="nil"/>
              <w:right w:val="single" w:sz="8" w:space="0" w:color="auto"/>
            </w:tcBorders>
            <w:shd w:val="clear" w:color="auto" w:fill="auto"/>
            <w:vAlign w:val="center"/>
            <w:hideMark/>
          </w:tcPr>
          <w:p w14:paraId="16269BD1"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40 602.10</w:t>
            </w:r>
          </w:p>
        </w:tc>
        <w:tc>
          <w:tcPr>
            <w:tcW w:w="960" w:type="dxa"/>
            <w:tcBorders>
              <w:top w:val="nil"/>
              <w:left w:val="nil"/>
              <w:bottom w:val="nil"/>
              <w:right w:val="single" w:sz="8" w:space="0" w:color="auto"/>
            </w:tcBorders>
            <w:shd w:val="clear" w:color="auto" w:fill="auto"/>
            <w:vAlign w:val="center"/>
            <w:hideMark/>
          </w:tcPr>
          <w:p w14:paraId="62346316"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40 528.90</w:t>
            </w:r>
          </w:p>
        </w:tc>
        <w:tc>
          <w:tcPr>
            <w:tcW w:w="960" w:type="dxa"/>
            <w:tcBorders>
              <w:top w:val="nil"/>
              <w:left w:val="nil"/>
              <w:bottom w:val="nil"/>
              <w:right w:val="single" w:sz="8" w:space="0" w:color="auto"/>
            </w:tcBorders>
            <w:shd w:val="clear" w:color="auto" w:fill="auto"/>
            <w:vAlign w:val="center"/>
            <w:hideMark/>
          </w:tcPr>
          <w:p w14:paraId="0ECA2BBF"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40 541.20</w:t>
            </w:r>
          </w:p>
        </w:tc>
        <w:tc>
          <w:tcPr>
            <w:tcW w:w="960" w:type="dxa"/>
            <w:tcBorders>
              <w:top w:val="nil"/>
              <w:left w:val="nil"/>
              <w:bottom w:val="nil"/>
              <w:right w:val="double" w:sz="6" w:space="0" w:color="auto"/>
            </w:tcBorders>
            <w:shd w:val="clear" w:color="auto" w:fill="auto"/>
            <w:vAlign w:val="center"/>
            <w:hideMark/>
          </w:tcPr>
          <w:p w14:paraId="7CFCEF50"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40 495.80</w:t>
            </w:r>
          </w:p>
        </w:tc>
      </w:tr>
      <w:tr w:rsidR="00DB00D7" w:rsidRPr="002B5206" w14:paraId="1B5D7346" w14:textId="77777777" w:rsidTr="00B36033">
        <w:trPr>
          <w:trHeight w:val="620"/>
        </w:trPr>
        <w:tc>
          <w:tcPr>
            <w:tcW w:w="2880" w:type="dxa"/>
            <w:tcBorders>
              <w:top w:val="nil"/>
              <w:left w:val="double" w:sz="6" w:space="0" w:color="auto"/>
              <w:bottom w:val="double" w:sz="6" w:space="0" w:color="auto"/>
              <w:right w:val="single" w:sz="8" w:space="0" w:color="000000"/>
            </w:tcBorders>
            <w:shd w:val="clear" w:color="auto" w:fill="auto"/>
            <w:vAlign w:val="center"/>
            <w:hideMark/>
          </w:tcPr>
          <w:p w14:paraId="56878C1C" w14:textId="77777777" w:rsidR="00DB00D7" w:rsidRPr="002B5206" w:rsidRDefault="00DB00D7" w:rsidP="00B36033">
            <w:pPr>
              <w:spacing w:after="0" w:line="240" w:lineRule="auto"/>
              <w:rPr>
                <w:rFonts w:ascii="Times New Roman" w:eastAsia="Times New Roman" w:hAnsi="Times New Roman" w:cs="Times New Roman"/>
                <w:noProof/>
                <w:sz w:val="20"/>
                <w:szCs w:val="20"/>
                <w:lang w:val="en-IE" w:eastAsia="en-IE"/>
              </w:rPr>
            </w:pPr>
            <w:r w:rsidRPr="002B5206">
              <w:rPr>
                <w:rFonts w:ascii="Times New Roman" w:eastAsia="Times New Roman" w:hAnsi="Times New Roman" w:cs="Times New Roman"/>
                <w:noProof/>
                <w:sz w:val="20"/>
                <w:szCs w:val="20"/>
                <w:lang w:eastAsia="en-IE"/>
              </w:rPr>
              <w:t>- Rural development a), b), c)</w:t>
            </w:r>
          </w:p>
        </w:tc>
        <w:tc>
          <w:tcPr>
            <w:tcW w:w="960" w:type="dxa"/>
            <w:tcBorders>
              <w:top w:val="nil"/>
              <w:left w:val="nil"/>
              <w:bottom w:val="double" w:sz="6" w:space="0" w:color="auto"/>
              <w:right w:val="single" w:sz="8" w:space="0" w:color="auto"/>
            </w:tcBorders>
            <w:shd w:val="clear" w:color="auto" w:fill="auto"/>
            <w:vAlign w:val="center"/>
            <w:hideMark/>
          </w:tcPr>
          <w:p w14:paraId="2916F606"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15 345.0</w:t>
            </w:r>
          </w:p>
        </w:tc>
        <w:tc>
          <w:tcPr>
            <w:tcW w:w="960" w:type="dxa"/>
            <w:tcBorders>
              <w:top w:val="nil"/>
              <w:left w:val="nil"/>
              <w:bottom w:val="double" w:sz="6" w:space="0" w:color="auto"/>
              <w:right w:val="single" w:sz="8" w:space="0" w:color="auto"/>
            </w:tcBorders>
            <w:shd w:val="clear" w:color="auto" w:fill="auto"/>
            <w:vAlign w:val="center"/>
            <w:hideMark/>
          </w:tcPr>
          <w:p w14:paraId="70E91493"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12 727.70</w:t>
            </w:r>
          </w:p>
        </w:tc>
        <w:tc>
          <w:tcPr>
            <w:tcW w:w="960" w:type="dxa"/>
            <w:tcBorders>
              <w:top w:val="nil"/>
              <w:left w:val="nil"/>
              <w:bottom w:val="double" w:sz="6" w:space="0" w:color="auto"/>
              <w:right w:val="single" w:sz="8" w:space="0" w:color="auto"/>
            </w:tcBorders>
            <w:shd w:val="clear" w:color="auto" w:fill="auto"/>
            <w:vAlign w:val="center"/>
            <w:hideMark/>
          </w:tcPr>
          <w:p w14:paraId="38C747C9"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12 934.70</w:t>
            </w:r>
          </w:p>
        </w:tc>
        <w:tc>
          <w:tcPr>
            <w:tcW w:w="960" w:type="dxa"/>
            <w:tcBorders>
              <w:top w:val="nil"/>
              <w:left w:val="nil"/>
              <w:bottom w:val="double" w:sz="6" w:space="0" w:color="auto"/>
              <w:right w:val="single" w:sz="8" w:space="0" w:color="auto"/>
            </w:tcBorders>
            <w:shd w:val="clear" w:color="auto" w:fill="auto"/>
            <w:vAlign w:val="center"/>
            <w:hideMark/>
          </w:tcPr>
          <w:p w14:paraId="5019B193"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13 155.80</w:t>
            </w:r>
          </w:p>
        </w:tc>
        <w:tc>
          <w:tcPr>
            <w:tcW w:w="960" w:type="dxa"/>
            <w:tcBorders>
              <w:top w:val="nil"/>
              <w:left w:val="nil"/>
              <w:bottom w:val="double" w:sz="6" w:space="0" w:color="auto"/>
              <w:right w:val="single" w:sz="8" w:space="0" w:color="auto"/>
            </w:tcBorders>
            <w:shd w:val="clear" w:color="auto" w:fill="auto"/>
            <w:vAlign w:val="center"/>
            <w:hideMark/>
          </w:tcPr>
          <w:p w14:paraId="04BE4027"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13 226.00</w:t>
            </w:r>
          </w:p>
        </w:tc>
        <w:tc>
          <w:tcPr>
            <w:tcW w:w="960" w:type="dxa"/>
            <w:tcBorders>
              <w:top w:val="nil"/>
              <w:left w:val="nil"/>
              <w:bottom w:val="double" w:sz="6" w:space="0" w:color="auto"/>
              <w:right w:val="single" w:sz="8" w:space="0" w:color="auto"/>
            </w:tcBorders>
            <w:shd w:val="clear" w:color="auto" w:fill="auto"/>
            <w:vAlign w:val="center"/>
            <w:hideMark/>
          </w:tcPr>
          <w:p w14:paraId="11AFD34A"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13 331.70</w:t>
            </w:r>
          </w:p>
        </w:tc>
        <w:tc>
          <w:tcPr>
            <w:tcW w:w="960" w:type="dxa"/>
            <w:tcBorders>
              <w:top w:val="nil"/>
              <w:left w:val="nil"/>
              <w:bottom w:val="double" w:sz="6" w:space="0" w:color="auto"/>
              <w:right w:val="double" w:sz="6" w:space="0" w:color="auto"/>
            </w:tcBorders>
            <w:shd w:val="clear" w:color="auto" w:fill="auto"/>
            <w:vAlign w:val="center"/>
            <w:hideMark/>
          </w:tcPr>
          <w:p w14:paraId="21497D6D"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13 505.10</w:t>
            </w:r>
          </w:p>
        </w:tc>
      </w:tr>
      <w:tr w:rsidR="00DB00D7" w:rsidRPr="002B5206" w14:paraId="6F5CD7B6" w14:textId="77777777" w:rsidTr="00B36033">
        <w:trPr>
          <w:trHeight w:val="450"/>
        </w:trPr>
        <w:tc>
          <w:tcPr>
            <w:tcW w:w="2880" w:type="dxa"/>
            <w:tcBorders>
              <w:top w:val="double" w:sz="6" w:space="0" w:color="auto"/>
              <w:left w:val="double" w:sz="6" w:space="0" w:color="auto"/>
              <w:bottom w:val="single" w:sz="8" w:space="0" w:color="auto"/>
              <w:right w:val="single" w:sz="8" w:space="0" w:color="000000"/>
            </w:tcBorders>
            <w:shd w:val="clear" w:color="000000" w:fill="99CC00"/>
            <w:vAlign w:val="center"/>
            <w:hideMark/>
          </w:tcPr>
          <w:p w14:paraId="6B1C1281" w14:textId="77777777" w:rsidR="00DB00D7" w:rsidRPr="002B5206" w:rsidRDefault="00DB00D7" w:rsidP="00B36033">
            <w:pPr>
              <w:spacing w:after="0" w:line="240" w:lineRule="auto"/>
              <w:rPr>
                <w:rFonts w:ascii="Times New Roman" w:eastAsia="Times New Roman" w:hAnsi="Times New Roman" w:cs="Times New Roman"/>
                <w:b/>
                <w:bCs/>
                <w:noProof/>
                <w:color w:val="000000"/>
                <w:sz w:val="20"/>
                <w:szCs w:val="20"/>
                <w:lang w:val="en-IE" w:eastAsia="en-IE"/>
              </w:rPr>
            </w:pPr>
            <w:r w:rsidRPr="002B5206">
              <w:rPr>
                <w:rFonts w:ascii="Times New Roman" w:eastAsia="Times New Roman" w:hAnsi="Times New Roman" w:cs="Times New Roman"/>
                <w:b/>
                <w:bCs/>
                <w:noProof/>
                <w:color w:val="000000"/>
                <w:sz w:val="20"/>
                <w:szCs w:val="20"/>
                <w:lang w:eastAsia="en-IE"/>
              </w:rPr>
              <w:t xml:space="preserve">External Assigned Revenues </w:t>
            </w:r>
          </w:p>
        </w:tc>
        <w:tc>
          <w:tcPr>
            <w:tcW w:w="960" w:type="dxa"/>
            <w:tcBorders>
              <w:top w:val="nil"/>
              <w:left w:val="nil"/>
              <w:bottom w:val="single" w:sz="8" w:space="0" w:color="auto"/>
              <w:right w:val="single" w:sz="8" w:space="0" w:color="auto"/>
            </w:tcBorders>
            <w:shd w:val="clear" w:color="000000" w:fill="99CC00"/>
            <w:vAlign w:val="center"/>
            <w:hideMark/>
          </w:tcPr>
          <w:p w14:paraId="2EFEC30B"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lang w:val="en-IE" w:eastAsia="en-IE"/>
              </w:rPr>
            </w:pPr>
            <w:r w:rsidRPr="002B5206">
              <w:rPr>
                <w:rFonts w:ascii="Times New Roman" w:eastAsia="Times New Roman" w:hAnsi="Times New Roman" w:cs="Times New Roman"/>
                <w:noProof/>
                <w:color w:val="000000"/>
                <w:sz w:val="20"/>
                <w:szCs w:val="20"/>
                <w:lang w:eastAsia="en-IE"/>
              </w:rPr>
              <w:t>2021</w:t>
            </w:r>
          </w:p>
        </w:tc>
        <w:tc>
          <w:tcPr>
            <w:tcW w:w="960" w:type="dxa"/>
            <w:tcBorders>
              <w:top w:val="nil"/>
              <w:left w:val="nil"/>
              <w:bottom w:val="single" w:sz="8" w:space="0" w:color="auto"/>
              <w:right w:val="single" w:sz="8" w:space="0" w:color="auto"/>
            </w:tcBorders>
            <w:shd w:val="clear" w:color="000000" w:fill="99CC00"/>
            <w:vAlign w:val="center"/>
            <w:hideMark/>
          </w:tcPr>
          <w:p w14:paraId="7E8D5149"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lang w:val="en-IE" w:eastAsia="en-IE"/>
              </w:rPr>
            </w:pPr>
            <w:r w:rsidRPr="002B5206">
              <w:rPr>
                <w:rFonts w:ascii="Times New Roman" w:eastAsia="Times New Roman" w:hAnsi="Times New Roman" w:cs="Times New Roman"/>
                <w:noProof/>
                <w:color w:val="000000"/>
                <w:sz w:val="20"/>
                <w:szCs w:val="20"/>
                <w:lang w:eastAsia="en-IE"/>
              </w:rPr>
              <w:t>2022</w:t>
            </w:r>
          </w:p>
        </w:tc>
        <w:tc>
          <w:tcPr>
            <w:tcW w:w="960" w:type="dxa"/>
            <w:tcBorders>
              <w:top w:val="nil"/>
              <w:left w:val="nil"/>
              <w:bottom w:val="single" w:sz="8" w:space="0" w:color="auto"/>
              <w:right w:val="single" w:sz="8" w:space="0" w:color="auto"/>
            </w:tcBorders>
            <w:shd w:val="clear" w:color="000000" w:fill="99CC00"/>
            <w:vAlign w:val="center"/>
            <w:hideMark/>
          </w:tcPr>
          <w:p w14:paraId="0E746AFD"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lang w:val="en-IE" w:eastAsia="en-IE"/>
              </w:rPr>
            </w:pPr>
            <w:r w:rsidRPr="002B5206">
              <w:rPr>
                <w:rFonts w:ascii="Times New Roman" w:eastAsia="Times New Roman" w:hAnsi="Times New Roman" w:cs="Times New Roman"/>
                <w:noProof/>
                <w:color w:val="000000"/>
                <w:sz w:val="20"/>
                <w:szCs w:val="20"/>
                <w:lang w:eastAsia="en-IE"/>
              </w:rPr>
              <w:t>2023</w:t>
            </w:r>
          </w:p>
        </w:tc>
        <w:tc>
          <w:tcPr>
            <w:tcW w:w="960" w:type="dxa"/>
            <w:tcBorders>
              <w:top w:val="nil"/>
              <w:left w:val="nil"/>
              <w:bottom w:val="single" w:sz="8" w:space="0" w:color="auto"/>
              <w:right w:val="single" w:sz="8" w:space="0" w:color="auto"/>
            </w:tcBorders>
            <w:shd w:val="clear" w:color="000000" w:fill="99CC00"/>
            <w:vAlign w:val="center"/>
            <w:hideMark/>
          </w:tcPr>
          <w:p w14:paraId="23391CFE"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lang w:val="en-IE" w:eastAsia="en-IE"/>
              </w:rPr>
            </w:pPr>
            <w:r w:rsidRPr="002B5206">
              <w:rPr>
                <w:rFonts w:ascii="Times New Roman" w:eastAsia="Times New Roman" w:hAnsi="Times New Roman" w:cs="Times New Roman"/>
                <w:noProof/>
                <w:color w:val="000000"/>
                <w:sz w:val="20"/>
                <w:szCs w:val="20"/>
                <w:lang w:eastAsia="en-IE"/>
              </w:rPr>
              <w:t>2024</w:t>
            </w:r>
          </w:p>
        </w:tc>
        <w:tc>
          <w:tcPr>
            <w:tcW w:w="960" w:type="dxa"/>
            <w:tcBorders>
              <w:top w:val="nil"/>
              <w:left w:val="nil"/>
              <w:bottom w:val="single" w:sz="8" w:space="0" w:color="auto"/>
              <w:right w:val="single" w:sz="8" w:space="0" w:color="auto"/>
            </w:tcBorders>
            <w:shd w:val="clear" w:color="000000" w:fill="99CC00"/>
            <w:vAlign w:val="center"/>
            <w:hideMark/>
          </w:tcPr>
          <w:p w14:paraId="6119EEC6"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lang w:val="en-IE" w:eastAsia="en-IE"/>
              </w:rPr>
            </w:pPr>
            <w:r w:rsidRPr="002B5206">
              <w:rPr>
                <w:rFonts w:ascii="Times New Roman" w:eastAsia="Times New Roman" w:hAnsi="Times New Roman" w:cs="Times New Roman"/>
                <w:noProof/>
                <w:color w:val="000000"/>
                <w:sz w:val="20"/>
                <w:szCs w:val="20"/>
                <w:lang w:eastAsia="en-IE"/>
              </w:rPr>
              <w:t>2025</w:t>
            </w:r>
          </w:p>
        </w:tc>
        <w:tc>
          <w:tcPr>
            <w:tcW w:w="960" w:type="dxa"/>
            <w:tcBorders>
              <w:top w:val="nil"/>
              <w:left w:val="nil"/>
              <w:bottom w:val="single" w:sz="8" w:space="0" w:color="auto"/>
              <w:right w:val="single" w:sz="8" w:space="0" w:color="auto"/>
            </w:tcBorders>
            <w:shd w:val="clear" w:color="000000" w:fill="99CC00"/>
            <w:vAlign w:val="center"/>
            <w:hideMark/>
          </w:tcPr>
          <w:p w14:paraId="3AEA0C1B"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lang w:val="en-IE" w:eastAsia="en-IE"/>
              </w:rPr>
            </w:pPr>
            <w:r w:rsidRPr="002B5206">
              <w:rPr>
                <w:rFonts w:ascii="Times New Roman" w:eastAsia="Times New Roman" w:hAnsi="Times New Roman" w:cs="Times New Roman"/>
                <w:noProof/>
                <w:color w:val="000000"/>
                <w:sz w:val="20"/>
                <w:szCs w:val="20"/>
                <w:lang w:eastAsia="en-IE"/>
              </w:rPr>
              <w:t>2026</w:t>
            </w:r>
          </w:p>
        </w:tc>
        <w:tc>
          <w:tcPr>
            <w:tcW w:w="960" w:type="dxa"/>
            <w:tcBorders>
              <w:top w:val="nil"/>
              <w:left w:val="nil"/>
              <w:bottom w:val="single" w:sz="8" w:space="0" w:color="auto"/>
              <w:right w:val="double" w:sz="6" w:space="0" w:color="auto"/>
            </w:tcBorders>
            <w:shd w:val="clear" w:color="000000" w:fill="99CC00"/>
            <w:vAlign w:val="center"/>
            <w:hideMark/>
          </w:tcPr>
          <w:p w14:paraId="3FDF2A0C" w14:textId="77777777" w:rsidR="00DB00D7" w:rsidRPr="002B5206" w:rsidRDefault="00DB00D7" w:rsidP="00B36033">
            <w:pPr>
              <w:spacing w:after="0" w:line="240" w:lineRule="auto"/>
              <w:jc w:val="center"/>
              <w:rPr>
                <w:rFonts w:ascii="Times New Roman" w:eastAsia="Times New Roman" w:hAnsi="Times New Roman" w:cs="Times New Roman"/>
                <w:noProof/>
                <w:color w:val="000000"/>
                <w:sz w:val="20"/>
                <w:szCs w:val="20"/>
                <w:lang w:val="en-IE" w:eastAsia="en-IE"/>
              </w:rPr>
            </w:pPr>
            <w:r w:rsidRPr="002B5206">
              <w:rPr>
                <w:rFonts w:ascii="Times New Roman" w:eastAsia="Times New Roman" w:hAnsi="Times New Roman" w:cs="Times New Roman"/>
                <w:noProof/>
                <w:color w:val="000000"/>
                <w:sz w:val="20"/>
                <w:szCs w:val="20"/>
                <w:lang w:eastAsia="en-IE"/>
              </w:rPr>
              <w:t>2027</w:t>
            </w:r>
          </w:p>
        </w:tc>
      </w:tr>
      <w:tr w:rsidR="00DB00D7" w:rsidRPr="002B5206" w14:paraId="79069EE8" w14:textId="77777777" w:rsidTr="00B36033">
        <w:trPr>
          <w:trHeight w:val="430"/>
        </w:trPr>
        <w:tc>
          <w:tcPr>
            <w:tcW w:w="2880" w:type="dxa"/>
            <w:tcBorders>
              <w:top w:val="single" w:sz="8" w:space="0" w:color="auto"/>
              <w:left w:val="double" w:sz="6" w:space="0" w:color="auto"/>
              <w:bottom w:val="double" w:sz="6" w:space="0" w:color="auto"/>
              <w:right w:val="single" w:sz="8" w:space="0" w:color="000000"/>
            </w:tcBorders>
            <w:shd w:val="clear" w:color="auto" w:fill="auto"/>
            <w:vAlign w:val="center"/>
            <w:hideMark/>
          </w:tcPr>
          <w:p w14:paraId="57CC5AA6" w14:textId="77777777" w:rsidR="00DB00D7" w:rsidRPr="002B5206" w:rsidRDefault="00DB00D7" w:rsidP="00B36033">
            <w:pPr>
              <w:spacing w:after="0" w:line="240" w:lineRule="auto"/>
              <w:rPr>
                <w:rFonts w:ascii="Times New Roman" w:eastAsia="Times New Roman" w:hAnsi="Times New Roman" w:cs="Times New Roman"/>
                <w:noProof/>
                <w:sz w:val="20"/>
                <w:szCs w:val="20"/>
                <w:lang w:val="en-IE" w:eastAsia="en-IE"/>
              </w:rPr>
            </w:pPr>
            <w:r w:rsidRPr="002B5206">
              <w:rPr>
                <w:rFonts w:ascii="Times New Roman" w:eastAsia="Times New Roman" w:hAnsi="Times New Roman" w:cs="Times New Roman"/>
                <w:noProof/>
                <w:sz w:val="20"/>
                <w:szCs w:val="20"/>
                <w:lang w:eastAsia="en-IE"/>
              </w:rPr>
              <w:t>NGEU</w:t>
            </w:r>
            <w:r>
              <w:rPr>
                <w:rFonts w:ascii="Times New Roman" w:eastAsia="Times New Roman" w:hAnsi="Times New Roman" w:cs="Times New Roman"/>
                <w:noProof/>
                <w:sz w:val="20"/>
                <w:szCs w:val="20"/>
                <w:lang w:eastAsia="en-IE"/>
              </w:rPr>
              <w:t xml:space="preserve"> e)</w:t>
            </w:r>
          </w:p>
        </w:tc>
        <w:tc>
          <w:tcPr>
            <w:tcW w:w="960" w:type="dxa"/>
            <w:tcBorders>
              <w:top w:val="nil"/>
              <w:left w:val="nil"/>
              <w:bottom w:val="double" w:sz="6" w:space="0" w:color="auto"/>
              <w:right w:val="single" w:sz="8" w:space="0" w:color="auto"/>
            </w:tcBorders>
            <w:shd w:val="clear" w:color="auto" w:fill="auto"/>
            <w:vAlign w:val="center"/>
            <w:hideMark/>
          </w:tcPr>
          <w:p w14:paraId="55BE841F"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2 387.70</w:t>
            </w:r>
          </w:p>
        </w:tc>
        <w:tc>
          <w:tcPr>
            <w:tcW w:w="960" w:type="dxa"/>
            <w:tcBorders>
              <w:top w:val="nil"/>
              <w:left w:val="nil"/>
              <w:bottom w:val="double" w:sz="6" w:space="0" w:color="auto"/>
              <w:right w:val="single" w:sz="8" w:space="0" w:color="auto"/>
            </w:tcBorders>
            <w:shd w:val="clear" w:color="auto" w:fill="auto"/>
            <w:vAlign w:val="center"/>
            <w:hideMark/>
          </w:tcPr>
          <w:p w14:paraId="08DF6FBC"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5 682.80</w:t>
            </w:r>
          </w:p>
        </w:tc>
        <w:tc>
          <w:tcPr>
            <w:tcW w:w="960" w:type="dxa"/>
            <w:tcBorders>
              <w:top w:val="nil"/>
              <w:left w:val="nil"/>
              <w:bottom w:val="double" w:sz="6" w:space="0" w:color="auto"/>
              <w:right w:val="single" w:sz="8" w:space="0" w:color="auto"/>
            </w:tcBorders>
            <w:shd w:val="clear" w:color="auto" w:fill="auto"/>
            <w:vAlign w:val="center"/>
            <w:hideMark/>
          </w:tcPr>
          <w:p w14:paraId="7ECE23EF"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 </w:t>
            </w:r>
          </w:p>
        </w:tc>
        <w:tc>
          <w:tcPr>
            <w:tcW w:w="960" w:type="dxa"/>
            <w:tcBorders>
              <w:top w:val="nil"/>
              <w:left w:val="nil"/>
              <w:bottom w:val="double" w:sz="6" w:space="0" w:color="auto"/>
              <w:right w:val="single" w:sz="8" w:space="0" w:color="auto"/>
            </w:tcBorders>
            <w:shd w:val="clear" w:color="auto" w:fill="auto"/>
            <w:vAlign w:val="center"/>
            <w:hideMark/>
          </w:tcPr>
          <w:p w14:paraId="45458135"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 </w:t>
            </w:r>
          </w:p>
        </w:tc>
        <w:tc>
          <w:tcPr>
            <w:tcW w:w="960" w:type="dxa"/>
            <w:tcBorders>
              <w:top w:val="nil"/>
              <w:left w:val="nil"/>
              <w:bottom w:val="double" w:sz="6" w:space="0" w:color="auto"/>
              <w:right w:val="single" w:sz="8" w:space="0" w:color="auto"/>
            </w:tcBorders>
            <w:shd w:val="clear" w:color="auto" w:fill="auto"/>
            <w:vAlign w:val="center"/>
            <w:hideMark/>
          </w:tcPr>
          <w:p w14:paraId="167AB1FC"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 </w:t>
            </w:r>
          </w:p>
        </w:tc>
        <w:tc>
          <w:tcPr>
            <w:tcW w:w="960" w:type="dxa"/>
            <w:tcBorders>
              <w:top w:val="nil"/>
              <w:left w:val="nil"/>
              <w:bottom w:val="double" w:sz="6" w:space="0" w:color="auto"/>
              <w:right w:val="single" w:sz="8" w:space="0" w:color="auto"/>
            </w:tcBorders>
            <w:shd w:val="clear" w:color="auto" w:fill="auto"/>
            <w:vAlign w:val="center"/>
            <w:hideMark/>
          </w:tcPr>
          <w:p w14:paraId="7C0AE151"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 </w:t>
            </w:r>
          </w:p>
        </w:tc>
        <w:tc>
          <w:tcPr>
            <w:tcW w:w="960" w:type="dxa"/>
            <w:tcBorders>
              <w:top w:val="nil"/>
              <w:left w:val="nil"/>
              <w:bottom w:val="double" w:sz="6" w:space="0" w:color="auto"/>
              <w:right w:val="double" w:sz="6" w:space="0" w:color="auto"/>
            </w:tcBorders>
            <w:shd w:val="clear" w:color="auto" w:fill="auto"/>
            <w:vAlign w:val="center"/>
            <w:hideMark/>
          </w:tcPr>
          <w:p w14:paraId="4872D949" w14:textId="77777777" w:rsidR="00DB00D7" w:rsidRPr="002B5206" w:rsidRDefault="00DB00D7" w:rsidP="00B36033">
            <w:pPr>
              <w:spacing w:after="0" w:line="240" w:lineRule="auto"/>
              <w:jc w:val="center"/>
              <w:rPr>
                <w:rFonts w:ascii="Times New Roman" w:eastAsia="Times New Roman" w:hAnsi="Times New Roman" w:cs="Times New Roman"/>
                <w:b/>
                <w:bCs/>
                <w:noProof/>
                <w:sz w:val="18"/>
                <w:szCs w:val="18"/>
                <w:lang w:val="en-IE" w:eastAsia="en-IE"/>
              </w:rPr>
            </w:pPr>
            <w:r w:rsidRPr="002B5206">
              <w:rPr>
                <w:rFonts w:ascii="Times New Roman" w:eastAsia="Times New Roman" w:hAnsi="Times New Roman" w:cs="Times New Roman"/>
                <w:b/>
                <w:bCs/>
                <w:noProof/>
                <w:sz w:val="18"/>
                <w:szCs w:val="18"/>
                <w:lang w:eastAsia="en-IE"/>
              </w:rPr>
              <w:t> </w:t>
            </w:r>
          </w:p>
        </w:tc>
      </w:tr>
      <w:tr w:rsidR="00DB00D7" w:rsidRPr="002B5206" w14:paraId="5BAC1CC3" w14:textId="77777777" w:rsidTr="00B36033">
        <w:trPr>
          <w:trHeight w:val="500"/>
        </w:trPr>
        <w:tc>
          <w:tcPr>
            <w:tcW w:w="9600" w:type="dxa"/>
            <w:gridSpan w:val="8"/>
            <w:tcBorders>
              <w:top w:val="double" w:sz="6" w:space="0" w:color="auto"/>
              <w:left w:val="nil"/>
              <w:bottom w:val="nil"/>
              <w:right w:val="nil"/>
            </w:tcBorders>
            <w:shd w:val="clear" w:color="auto" w:fill="auto"/>
            <w:noWrap/>
            <w:vAlign w:val="center"/>
            <w:hideMark/>
          </w:tcPr>
          <w:p w14:paraId="0E0B1EDF" w14:textId="77777777" w:rsidR="00DB00D7" w:rsidRPr="002B5206" w:rsidRDefault="00DB00D7" w:rsidP="00B36033">
            <w:pPr>
              <w:spacing w:after="0" w:line="240" w:lineRule="auto"/>
              <w:rPr>
                <w:rFonts w:ascii="Times New Roman" w:eastAsia="Times New Roman" w:hAnsi="Times New Roman" w:cs="Times New Roman"/>
                <w:noProof/>
                <w:sz w:val="18"/>
                <w:szCs w:val="18"/>
                <w:lang w:val="en-IE" w:eastAsia="en-IE"/>
              </w:rPr>
            </w:pPr>
            <w:r w:rsidRPr="002B5206">
              <w:rPr>
                <w:rFonts w:ascii="Times New Roman" w:eastAsia="Times New Roman" w:hAnsi="Times New Roman" w:cs="Times New Roman"/>
                <w:noProof/>
                <w:sz w:val="18"/>
                <w:szCs w:val="18"/>
                <w:lang w:eastAsia="en-GB"/>
              </w:rPr>
              <w:t xml:space="preserve">* Natural Resources and Environment related to the CAP </w:t>
            </w:r>
          </w:p>
        </w:tc>
      </w:tr>
      <w:tr w:rsidR="00DB00D7" w:rsidRPr="00687990" w14:paraId="2A956098" w14:textId="77777777" w:rsidTr="00B36033">
        <w:trPr>
          <w:trHeight w:val="568"/>
        </w:trPr>
        <w:tc>
          <w:tcPr>
            <w:tcW w:w="9600" w:type="dxa"/>
            <w:gridSpan w:val="8"/>
            <w:tcBorders>
              <w:top w:val="nil"/>
              <w:left w:val="nil"/>
              <w:bottom w:val="nil"/>
              <w:right w:val="nil"/>
            </w:tcBorders>
            <w:shd w:val="clear" w:color="auto" w:fill="auto"/>
            <w:hideMark/>
          </w:tcPr>
          <w:p w14:paraId="02883683" w14:textId="14950BCC" w:rsidR="0083700E" w:rsidRDefault="00DB00D7" w:rsidP="00B36033">
            <w:pPr>
              <w:spacing w:after="120" w:line="240" w:lineRule="auto"/>
              <w:rPr>
                <w:rFonts w:ascii="Times New Roman" w:eastAsia="Times New Roman" w:hAnsi="Times New Roman" w:cs="Times New Roman"/>
                <w:noProof/>
                <w:sz w:val="18"/>
                <w:szCs w:val="18"/>
                <w:lang w:eastAsia="en-GB"/>
              </w:rPr>
            </w:pPr>
            <w:r w:rsidRPr="002B5206">
              <w:rPr>
                <w:rFonts w:ascii="Times New Roman" w:eastAsia="Times New Roman" w:hAnsi="Times New Roman" w:cs="Times New Roman"/>
                <w:noProof/>
                <w:sz w:val="18"/>
                <w:szCs w:val="18"/>
                <w:lang w:eastAsia="en-GB"/>
              </w:rPr>
              <w:t>a) After annual transfers from EAGF to EAFRD for the financial years 2021-2023 total</w:t>
            </w:r>
            <w:r w:rsidR="00ED654B">
              <w:rPr>
                <w:rFonts w:ascii="Times New Roman" w:eastAsia="Times New Roman" w:hAnsi="Times New Roman" w:cs="Times New Roman"/>
                <w:noProof/>
                <w:sz w:val="18"/>
                <w:szCs w:val="18"/>
                <w:lang w:eastAsia="en-GB"/>
              </w:rPr>
              <w:t>l</w:t>
            </w:r>
            <w:r w:rsidRPr="002B5206">
              <w:rPr>
                <w:rFonts w:ascii="Times New Roman" w:eastAsia="Times New Roman" w:hAnsi="Times New Roman" w:cs="Times New Roman"/>
                <w:noProof/>
                <w:sz w:val="18"/>
                <w:szCs w:val="18"/>
                <w:lang w:eastAsia="en-GB"/>
              </w:rPr>
              <w:t>ing EUR 3 463.1 million on the basis of article 14(1) of Regulation (EU) No 1307/2013, and for the financial years 2024-2027 tota</w:t>
            </w:r>
            <w:r w:rsidR="00ED654B">
              <w:rPr>
                <w:rFonts w:ascii="Times New Roman" w:eastAsia="Times New Roman" w:hAnsi="Times New Roman" w:cs="Times New Roman"/>
                <w:noProof/>
                <w:sz w:val="18"/>
                <w:szCs w:val="18"/>
                <w:lang w:eastAsia="en-GB"/>
              </w:rPr>
              <w:t>l</w:t>
            </w:r>
            <w:r w:rsidRPr="002B5206">
              <w:rPr>
                <w:rFonts w:ascii="Times New Roman" w:eastAsia="Times New Roman" w:hAnsi="Times New Roman" w:cs="Times New Roman"/>
                <w:noProof/>
                <w:sz w:val="18"/>
                <w:szCs w:val="18"/>
                <w:lang w:eastAsia="en-GB"/>
              </w:rPr>
              <w:t xml:space="preserve">ling 7 123.8 million on the basis of Article 103(1)(a) and 103(2) of Regulation (EU) </w:t>
            </w:r>
            <w:r w:rsidR="00772191" w:rsidRPr="002B5206">
              <w:rPr>
                <w:rFonts w:ascii="Times New Roman" w:eastAsia="Times New Roman" w:hAnsi="Times New Roman" w:cs="Times New Roman"/>
                <w:noProof/>
                <w:sz w:val="18"/>
                <w:szCs w:val="18"/>
                <w:lang w:eastAsia="en-GB"/>
              </w:rPr>
              <w:t>2021/2115.</w:t>
            </w:r>
            <w:r w:rsidR="0083700E" w:rsidRPr="002B5206">
              <w:rPr>
                <w:rFonts w:ascii="Times New Roman" w:eastAsia="Times New Roman" w:hAnsi="Times New Roman" w:cs="Times New Roman"/>
                <w:noProof/>
                <w:sz w:val="18"/>
                <w:szCs w:val="18"/>
                <w:lang w:eastAsia="en-GB"/>
              </w:rPr>
              <w:t xml:space="preserve"> </w:t>
            </w:r>
          </w:p>
          <w:p w14:paraId="20ADF941" w14:textId="4F68C734" w:rsidR="0083700E" w:rsidRDefault="0083700E" w:rsidP="00B36033">
            <w:pPr>
              <w:spacing w:after="120" w:line="240" w:lineRule="auto"/>
              <w:rPr>
                <w:rFonts w:ascii="Times New Roman" w:eastAsia="Times New Roman" w:hAnsi="Times New Roman" w:cs="Times New Roman"/>
                <w:noProof/>
                <w:sz w:val="18"/>
                <w:szCs w:val="18"/>
                <w:lang w:eastAsia="en-GB"/>
              </w:rPr>
            </w:pPr>
            <w:r w:rsidRPr="002B5206">
              <w:rPr>
                <w:rFonts w:ascii="Times New Roman" w:eastAsia="Times New Roman" w:hAnsi="Times New Roman" w:cs="Times New Roman"/>
                <w:noProof/>
                <w:sz w:val="18"/>
                <w:szCs w:val="18"/>
                <w:lang w:eastAsia="en-GB"/>
              </w:rPr>
              <w:t>b) After annual transfers from EAFRD to EAGF for the financial years 2021-2023 total</w:t>
            </w:r>
            <w:r w:rsidR="00ED654B">
              <w:rPr>
                <w:rFonts w:ascii="Times New Roman" w:eastAsia="Times New Roman" w:hAnsi="Times New Roman" w:cs="Times New Roman"/>
                <w:noProof/>
                <w:sz w:val="18"/>
                <w:szCs w:val="18"/>
                <w:lang w:eastAsia="en-GB"/>
              </w:rPr>
              <w:t>l</w:t>
            </w:r>
            <w:r w:rsidRPr="002B5206">
              <w:rPr>
                <w:rFonts w:ascii="Times New Roman" w:eastAsia="Times New Roman" w:hAnsi="Times New Roman" w:cs="Times New Roman"/>
                <w:noProof/>
                <w:sz w:val="18"/>
                <w:szCs w:val="18"/>
                <w:lang w:eastAsia="en-GB"/>
              </w:rPr>
              <w:t>ing EUR 1 633.4 million on the basis of article 14(2) of Regulation (EU) No 1307/2013, and for the financial years 2024-2027 total</w:t>
            </w:r>
            <w:r w:rsidR="00ED654B">
              <w:rPr>
                <w:rFonts w:ascii="Times New Roman" w:eastAsia="Times New Roman" w:hAnsi="Times New Roman" w:cs="Times New Roman"/>
                <w:noProof/>
                <w:sz w:val="18"/>
                <w:szCs w:val="18"/>
                <w:lang w:eastAsia="en-GB"/>
              </w:rPr>
              <w:t>l</w:t>
            </w:r>
            <w:r w:rsidRPr="002B5206">
              <w:rPr>
                <w:rFonts w:ascii="Times New Roman" w:eastAsia="Times New Roman" w:hAnsi="Times New Roman" w:cs="Times New Roman"/>
                <w:noProof/>
                <w:sz w:val="18"/>
                <w:szCs w:val="18"/>
                <w:lang w:eastAsia="en-GB"/>
              </w:rPr>
              <w:t>ing 2 360.9 million on the basis of Article 103(1)(b) and 103(3) of Regulation (EU) 2021/2115</w:t>
            </w:r>
            <w:r w:rsidR="00772191">
              <w:rPr>
                <w:rFonts w:ascii="Times New Roman" w:eastAsia="Times New Roman" w:hAnsi="Times New Roman" w:cs="Times New Roman"/>
                <w:noProof/>
                <w:sz w:val="18"/>
                <w:szCs w:val="18"/>
                <w:lang w:eastAsia="en-GB"/>
              </w:rPr>
              <w:t>.</w:t>
            </w:r>
          </w:p>
          <w:p w14:paraId="6FDDB684" w14:textId="77777777" w:rsidR="00ED654B" w:rsidRDefault="00ED654B" w:rsidP="00B36033">
            <w:pPr>
              <w:pStyle w:val="paragraph"/>
              <w:spacing w:before="0" w:beforeAutospacing="0" w:after="120" w:afterAutospacing="0"/>
              <w:textAlignment w:val="baseline"/>
              <w:rPr>
                <w:noProof/>
              </w:rPr>
            </w:pPr>
            <w:r>
              <w:rPr>
                <w:rStyle w:val="normaltextrun"/>
                <w:rFonts w:eastAsiaTheme="majorEastAsia"/>
                <w:noProof/>
                <w:sz w:val="18"/>
                <w:szCs w:val="18"/>
                <w:lang w:val="en-US"/>
              </w:rPr>
              <w:t>c) After annual transfers from EAGF to EAFRD for the financial years 2021-2023 totalling EUR 171.9 million on the basis of Article 7(2) of Regulation (EU) No 1307/2013, and for the financial years 2024-2027 totalling 20 million on the basis of article Article 17(5) of Regulation (EU) 2021/2115.</w:t>
            </w:r>
            <w:r>
              <w:rPr>
                <w:rStyle w:val="eop"/>
                <w:rFonts w:eastAsiaTheme="majorEastAsia"/>
                <w:noProof/>
                <w:sz w:val="18"/>
                <w:szCs w:val="18"/>
              </w:rPr>
              <w:t> </w:t>
            </w:r>
          </w:p>
          <w:p w14:paraId="2DB28951" w14:textId="01AEF98D" w:rsidR="0083700E" w:rsidRDefault="0083700E" w:rsidP="00B36033">
            <w:pPr>
              <w:spacing w:after="120" w:line="240" w:lineRule="auto"/>
              <w:rPr>
                <w:rFonts w:ascii="Times New Roman" w:eastAsia="Times New Roman" w:hAnsi="Times New Roman" w:cs="Times New Roman"/>
                <w:noProof/>
                <w:sz w:val="18"/>
                <w:szCs w:val="18"/>
                <w:lang w:eastAsia="en-GB"/>
              </w:rPr>
            </w:pPr>
            <w:r w:rsidRPr="002B5206">
              <w:rPr>
                <w:rFonts w:ascii="Times New Roman" w:eastAsia="Times New Roman" w:hAnsi="Times New Roman" w:cs="Times New Roman"/>
                <w:noProof/>
                <w:sz w:val="18"/>
                <w:szCs w:val="18"/>
                <w:lang w:eastAsia="en-GB"/>
              </w:rPr>
              <w:t>d) After a reduction total</w:t>
            </w:r>
            <w:r w:rsidR="00ED654B">
              <w:rPr>
                <w:rFonts w:ascii="Times New Roman" w:eastAsia="Times New Roman" w:hAnsi="Times New Roman" w:cs="Times New Roman"/>
                <w:noProof/>
                <w:sz w:val="18"/>
                <w:szCs w:val="18"/>
                <w:lang w:eastAsia="en-GB"/>
              </w:rPr>
              <w:t>l</w:t>
            </w:r>
            <w:r w:rsidRPr="002B5206">
              <w:rPr>
                <w:rFonts w:ascii="Times New Roman" w:eastAsia="Times New Roman" w:hAnsi="Times New Roman" w:cs="Times New Roman"/>
                <w:noProof/>
                <w:sz w:val="18"/>
                <w:szCs w:val="18"/>
                <w:lang w:eastAsia="en-GB"/>
              </w:rPr>
              <w:t>ing EUR 440 million for years 2025-2027 following the MFF mid-term revision.</w:t>
            </w:r>
          </w:p>
          <w:p w14:paraId="74D8572D" w14:textId="0639FD3E" w:rsidR="00DB00D7" w:rsidRPr="00772191" w:rsidRDefault="0083700E" w:rsidP="00B36033">
            <w:pPr>
              <w:spacing w:after="120" w:line="240" w:lineRule="auto"/>
              <w:rPr>
                <w:rFonts w:ascii="Times New Roman" w:eastAsia="Times New Roman" w:hAnsi="Times New Roman" w:cs="Times New Roman"/>
                <w:noProof/>
                <w:sz w:val="18"/>
                <w:szCs w:val="18"/>
                <w:lang w:val="pt-PT" w:eastAsia="en-IE"/>
              </w:rPr>
            </w:pPr>
            <w:r w:rsidRPr="006C4CED">
              <w:rPr>
                <w:rFonts w:ascii="Times New Roman" w:eastAsia="Times New Roman" w:hAnsi="Times New Roman" w:cs="Times New Roman"/>
                <w:noProof/>
                <w:sz w:val="18"/>
                <w:szCs w:val="18"/>
                <w:lang w:val="pt-PT" w:eastAsia="en-GB"/>
              </w:rPr>
              <w:t>e) Article 58(a) Reg</w:t>
            </w:r>
            <w:r>
              <w:rPr>
                <w:rFonts w:ascii="Times New Roman" w:eastAsia="Times New Roman" w:hAnsi="Times New Roman" w:cs="Times New Roman"/>
                <w:noProof/>
                <w:sz w:val="18"/>
                <w:szCs w:val="18"/>
                <w:lang w:val="pt-PT" w:eastAsia="en-GB"/>
              </w:rPr>
              <w:t>ulation</w:t>
            </w:r>
            <w:r w:rsidRPr="006C4CED">
              <w:rPr>
                <w:rFonts w:ascii="Times New Roman" w:eastAsia="Times New Roman" w:hAnsi="Times New Roman" w:cs="Times New Roman"/>
                <w:noProof/>
                <w:sz w:val="18"/>
                <w:szCs w:val="18"/>
                <w:lang w:val="pt-PT" w:eastAsia="en-GB"/>
              </w:rPr>
              <w:t xml:space="preserve"> </w:t>
            </w:r>
            <w:r>
              <w:rPr>
                <w:rFonts w:ascii="Times New Roman" w:eastAsia="Times New Roman" w:hAnsi="Times New Roman" w:cs="Times New Roman"/>
                <w:noProof/>
                <w:sz w:val="18"/>
                <w:szCs w:val="18"/>
                <w:lang w:val="pt-PT" w:eastAsia="en-GB"/>
              </w:rPr>
              <w:t>(</w:t>
            </w:r>
            <w:r w:rsidRPr="006C4CED">
              <w:rPr>
                <w:rFonts w:ascii="Times New Roman" w:eastAsia="Times New Roman" w:hAnsi="Times New Roman" w:cs="Times New Roman"/>
                <w:noProof/>
                <w:sz w:val="18"/>
                <w:szCs w:val="18"/>
                <w:lang w:val="pt-PT" w:eastAsia="en-GB"/>
              </w:rPr>
              <w:t>EU</w:t>
            </w:r>
            <w:r>
              <w:rPr>
                <w:rFonts w:ascii="Times New Roman" w:eastAsia="Times New Roman" w:hAnsi="Times New Roman" w:cs="Times New Roman"/>
                <w:noProof/>
                <w:sz w:val="18"/>
                <w:szCs w:val="18"/>
                <w:lang w:val="pt-PT" w:eastAsia="en-GB"/>
              </w:rPr>
              <w:t>) No 1305/2013</w:t>
            </w:r>
            <w:r w:rsidR="00772191">
              <w:rPr>
                <w:rFonts w:ascii="Times New Roman" w:eastAsia="Times New Roman" w:hAnsi="Times New Roman" w:cs="Times New Roman"/>
                <w:noProof/>
                <w:sz w:val="18"/>
                <w:szCs w:val="18"/>
                <w:lang w:val="pt-PT" w:eastAsia="en-GB"/>
              </w:rPr>
              <w:t>.</w:t>
            </w:r>
          </w:p>
        </w:tc>
      </w:tr>
    </w:tbl>
    <w:p w14:paraId="53822CB5" w14:textId="2DF33882" w:rsidR="4A804922" w:rsidRPr="003742A7" w:rsidRDefault="4A804922">
      <w:pPr>
        <w:rPr>
          <w:noProof/>
          <w:lang w:val="pt-PT"/>
        </w:rPr>
      </w:pPr>
    </w:p>
    <w:p w14:paraId="55A38B23" w14:textId="39E0C502" w:rsidR="00421B55" w:rsidRDefault="1BFC6801" w:rsidP="00990270">
      <w:pPr>
        <w:pStyle w:val="ManualHeading2"/>
        <w:spacing w:before="360" w:after="160"/>
        <w:ind w:left="851" w:hanging="851"/>
        <w:rPr>
          <w:noProof/>
        </w:rPr>
      </w:pPr>
      <w:bookmarkStart w:id="10" w:name="_Toc393364826"/>
      <w:bookmarkStart w:id="11" w:name="_Toc102661830"/>
      <w:bookmarkStart w:id="12" w:name="_Toc105773178"/>
      <w:bookmarkStart w:id="13" w:name="_Toc173181046"/>
      <w:bookmarkStart w:id="14" w:name="_Toc322938555"/>
      <w:r>
        <w:rPr>
          <w:noProof/>
        </w:rPr>
        <w:t>1.2.</w:t>
      </w:r>
      <w:r w:rsidR="00A44A15">
        <w:rPr>
          <w:noProof/>
        </w:rPr>
        <w:tab/>
      </w:r>
      <w:r>
        <w:rPr>
          <w:noProof/>
        </w:rPr>
        <w:t xml:space="preserve">Draft Budget </w:t>
      </w:r>
      <w:r w:rsidR="699C400F">
        <w:rPr>
          <w:noProof/>
        </w:rPr>
        <w:t>202</w:t>
      </w:r>
      <w:r w:rsidR="664BDADC">
        <w:rPr>
          <w:noProof/>
        </w:rPr>
        <w:t>3</w:t>
      </w:r>
      <w:r w:rsidR="13224524">
        <w:rPr>
          <w:noProof/>
        </w:rPr>
        <w:t>,</w:t>
      </w:r>
      <w:r>
        <w:rPr>
          <w:noProof/>
        </w:rPr>
        <w:t xml:space="preserve"> Amending Letter 1/</w:t>
      </w:r>
      <w:bookmarkEnd w:id="10"/>
      <w:bookmarkEnd w:id="11"/>
      <w:bookmarkEnd w:id="12"/>
      <w:r w:rsidR="699C400F">
        <w:rPr>
          <w:noProof/>
        </w:rPr>
        <w:t>202</w:t>
      </w:r>
      <w:r w:rsidR="4900EC21">
        <w:rPr>
          <w:noProof/>
        </w:rPr>
        <w:t>3</w:t>
      </w:r>
      <w:r w:rsidR="657515E2">
        <w:rPr>
          <w:noProof/>
        </w:rPr>
        <w:t xml:space="preserve"> and</w:t>
      </w:r>
      <w:r w:rsidR="4E1F7B8A">
        <w:rPr>
          <w:noProof/>
        </w:rPr>
        <w:t xml:space="preserve"> </w:t>
      </w:r>
      <w:r w:rsidR="50CBE336">
        <w:rPr>
          <w:noProof/>
        </w:rPr>
        <w:t>adoption of the 202</w:t>
      </w:r>
      <w:r w:rsidR="64A0FCC2">
        <w:rPr>
          <w:noProof/>
        </w:rPr>
        <w:t>3</w:t>
      </w:r>
      <w:r w:rsidR="4E1F7B8A">
        <w:rPr>
          <w:noProof/>
        </w:rPr>
        <w:t xml:space="preserve"> </w:t>
      </w:r>
      <w:r w:rsidR="00772191">
        <w:rPr>
          <w:noProof/>
        </w:rPr>
        <w:t>Budget</w:t>
      </w:r>
      <w:bookmarkEnd w:id="13"/>
    </w:p>
    <w:p w14:paraId="446157C1" w14:textId="45462D3F" w:rsidR="002E58A6" w:rsidRDefault="00A44A15" w:rsidP="00384438">
      <w:pPr>
        <w:pStyle w:val="Text1"/>
      </w:pPr>
      <w:bookmarkStart w:id="15" w:name="_Toc393364829"/>
      <w:bookmarkEnd w:id="14"/>
      <w:r w:rsidRPr="001C1B70">
        <w:t xml:space="preserve">The initial Draft Budget </w:t>
      </w:r>
      <w:r w:rsidR="001F552C" w:rsidRPr="00395F72">
        <w:t>202</w:t>
      </w:r>
      <w:r w:rsidR="001F552C">
        <w:t>3</w:t>
      </w:r>
      <w:r w:rsidR="001F552C" w:rsidRPr="00395F72">
        <w:t xml:space="preserve"> </w:t>
      </w:r>
      <w:r w:rsidRPr="001C1B70">
        <w:t xml:space="preserve">was adopted by the Commission and proposed to the Budgetary Authority on </w:t>
      </w:r>
      <w:r w:rsidR="000F72AD">
        <w:t>1</w:t>
      </w:r>
      <w:r w:rsidR="000F72AD" w:rsidRPr="00395F72">
        <w:t xml:space="preserve"> </w:t>
      </w:r>
      <w:r w:rsidRPr="001C1B70">
        <w:t xml:space="preserve">July </w:t>
      </w:r>
      <w:r w:rsidR="000F72AD" w:rsidRPr="00395F72">
        <w:t>202</w:t>
      </w:r>
      <w:r w:rsidR="000F72AD">
        <w:t>2</w:t>
      </w:r>
      <w:r w:rsidR="00FF0AC4">
        <w:t>.</w:t>
      </w:r>
      <w:r w:rsidRPr="001C1B70">
        <w:t xml:space="preserve"> The Council adopted its position on the Draft Budget </w:t>
      </w:r>
      <w:r w:rsidR="00395F72" w:rsidRPr="00395F72">
        <w:t>202</w:t>
      </w:r>
      <w:r w:rsidR="00F43387">
        <w:t>3</w:t>
      </w:r>
      <w:r w:rsidR="00395F72" w:rsidRPr="00395F72">
        <w:t xml:space="preserve"> </w:t>
      </w:r>
      <w:r w:rsidRPr="001C1B70">
        <w:t xml:space="preserve">on </w:t>
      </w:r>
      <w:r w:rsidR="00FF0AC4">
        <w:t>6</w:t>
      </w:r>
      <w:r w:rsidR="00D05B1F">
        <w:t xml:space="preserve"> </w:t>
      </w:r>
      <w:r w:rsidRPr="001C1B70">
        <w:t xml:space="preserve">September </w:t>
      </w:r>
      <w:r w:rsidR="00DF771B" w:rsidRPr="00395F72">
        <w:t>202</w:t>
      </w:r>
      <w:r w:rsidR="00DF771B">
        <w:t>2</w:t>
      </w:r>
      <w:r w:rsidR="00137CBE">
        <w:t>. The Commission presented the Letter of Amendment No 1/202</w:t>
      </w:r>
      <w:r w:rsidR="007634A3">
        <w:t>3</w:t>
      </w:r>
      <w:r w:rsidR="00137CBE">
        <w:t xml:space="preserve"> to the draft general budget of the European Union on </w:t>
      </w:r>
      <w:r w:rsidR="00505AB7">
        <w:t xml:space="preserve">5 </w:t>
      </w:r>
      <w:r w:rsidR="00137CBE">
        <w:t xml:space="preserve">October </w:t>
      </w:r>
      <w:r w:rsidR="00505AB7">
        <w:t>2022</w:t>
      </w:r>
      <w:r w:rsidR="00137CBE">
        <w:t>,</w:t>
      </w:r>
      <w:r w:rsidR="00D05B1F">
        <w:t xml:space="preserve"> whereas</w:t>
      </w:r>
      <w:r w:rsidR="00137CBE">
        <w:t xml:space="preserve"> </w:t>
      </w:r>
      <w:r w:rsidR="00395F72">
        <w:t>t</w:t>
      </w:r>
      <w:r w:rsidRPr="001C1B70">
        <w:t xml:space="preserve">he European Parliament adopted its position on </w:t>
      </w:r>
      <w:r w:rsidR="00E671B6">
        <w:t>19</w:t>
      </w:r>
      <w:r w:rsidR="00E671B6" w:rsidRPr="00395F72">
        <w:t xml:space="preserve"> </w:t>
      </w:r>
      <w:r w:rsidR="00D05B1F">
        <w:t>October</w:t>
      </w:r>
      <w:r w:rsidR="00D05B1F" w:rsidRPr="00395F72">
        <w:t xml:space="preserve"> </w:t>
      </w:r>
      <w:r w:rsidR="00E671B6" w:rsidRPr="00395F72">
        <w:t>202</w:t>
      </w:r>
      <w:r w:rsidR="00E671B6">
        <w:t>2</w:t>
      </w:r>
      <w:r w:rsidR="00137CBE">
        <w:t xml:space="preserve">. </w:t>
      </w:r>
    </w:p>
    <w:p w14:paraId="657050D7" w14:textId="3BC98312" w:rsidR="002E58A6" w:rsidRDefault="002E58A6" w:rsidP="00D05B1F">
      <w:pPr>
        <w:pStyle w:val="Text1"/>
      </w:pPr>
      <w:r>
        <w:t xml:space="preserve">The President of the Council convened the Conciliation Committee on </w:t>
      </w:r>
      <w:r w:rsidR="00BA3EC6">
        <w:t xml:space="preserve">24 </w:t>
      </w:r>
      <w:r>
        <w:t xml:space="preserve">October </w:t>
      </w:r>
      <w:r w:rsidR="00BA3EC6">
        <w:t>2022</w:t>
      </w:r>
      <w:r>
        <w:t xml:space="preserve">. The Conciliation Committee agreed on a joint text that was approved by the Council </w:t>
      </w:r>
      <w:r w:rsidR="00D66C8D" w:rsidRPr="00D66C8D">
        <w:t>on 2</w:t>
      </w:r>
      <w:r w:rsidR="00D66C8D">
        <w:t>2</w:t>
      </w:r>
      <w:r w:rsidR="00D66C8D" w:rsidRPr="00D66C8D">
        <w:t xml:space="preserve"> November 202</w:t>
      </w:r>
      <w:r w:rsidR="0020169D">
        <w:t>2</w:t>
      </w:r>
      <w:r w:rsidR="00D66C8D">
        <w:t xml:space="preserve"> </w:t>
      </w:r>
      <w:r>
        <w:t xml:space="preserve">and by the Parliament on </w:t>
      </w:r>
      <w:r w:rsidR="00B37BC8">
        <w:t xml:space="preserve">23 </w:t>
      </w:r>
      <w:r>
        <w:t xml:space="preserve">November </w:t>
      </w:r>
      <w:r w:rsidR="00B37BC8">
        <w:t>202</w:t>
      </w:r>
      <w:r w:rsidR="0020169D">
        <w:t>2</w:t>
      </w:r>
      <w:r>
        <w:t>.</w:t>
      </w:r>
    </w:p>
    <w:p w14:paraId="20DA3E1F" w14:textId="1618EB3F" w:rsidR="00155986" w:rsidRDefault="00155986" w:rsidP="00155986">
      <w:pPr>
        <w:pStyle w:val="Text1"/>
      </w:pPr>
      <w:r>
        <w:t>The budget's total commitment appropriations for the EAGF amounted to EUR 40 </w:t>
      </w:r>
      <w:r w:rsidR="00E970D9">
        <w:t>692</w:t>
      </w:r>
      <w:r>
        <w:t>.</w:t>
      </w:r>
      <w:r w:rsidR="00D67967">
        <w:t xml:space="preserve">2 </w:t>
      </w:r>
      <w:r>
        <w:t xml:space="preserve">million and its payment appropriations amounted to EUR 40 </w:t>
      </w:r>
      <w:r w:rsidR="00D67967">
        <w:t>698</w:t>
      </w:r>
      <w:r>
        <w:t>.</w:t>
      </w:r>
      <w:r w:rsidR="00D67967">
        <w:t xml:space="preserve">2 </w:t>
      </w:r>
      <w:r>
        <w:t>million.</w:t>
      </w:r>
    </w:p>
    <w:p w14:paraId="055D6F6D" w14:textId="5C843694" w:rsidR="00F144CA" w:rsidRDefault="00F834A4" w:rsidP="00155986">
      <w:pPr>
        <w:pStyle w:val="Text1"/>
      </w:pPr>
      <w:r>
        <w:t>The budget's total commitment appropriations for the EAFRD amounted to EUR </w:t>
      </w:r>
      <w:r w:rsidR="009269CD">
        <w:t>12</w:t>
      </w:r>
      <w:r>
        <w:t> </w:t>
      </w:r>
      <w:r w:rsidR="009269CD">
        <w:t>934</w:t>
      </w:r>
      <w:r>
        <w:t>.</w:t>
      </w:r>
      <w:r w:rsidR="009269CD">
        <w:t>7</w:t>
      </w:r>
      <w:r>
        <w:t xml:space="preserve"> million and its payment appropriations amounted to EUR</w:t>
      </w:r>
      <w:r w:rsidR="00B060BD">
        <w:t> </w:t>
      </w:r>
      <w:r w:rsidR="002637FF">
        <w:t>15</w:t>
      </w:r>
      <w:r w:rsidR="00B060BD">
        <w:t> </w:t>
      </w:r>
      <w:r w:rsidR="002637FF">
        <w:t>087</w:t>
      </w:r>
      <w:r>
        <w:t>.2 million.</w:t>
      </w:r>
      <w:r w:rsidR="00F25B27">
        <w:t xml:space="preserve"> </w:t>
      </w:r>
    </w:p>
    <w:p w14:paraId="6F8DE1F5" w14:textId="2AAB6B4F" w:rsidR="00155986" w:rsidRPr="00155986" w:rsidRDefault="791D8D88" w:rsidP="00155986">
      <w:pPr>
        <w:pStyle w:val="Text1"/>
      </w:pPr>
      <w:r>
        <w:t>Further details on the amounts related to the Commission</w:t>
      </w:r>
      <w:r w:rsidR="021523D1">
        <w:t>’s</w:t>
      </w:r>
      <w:r>
        <w:t xml:space="preserve"> Draft Budget </w:t>
      </w:r>
      <w:r w:rsidR="5BB1E4CB">
        <w:t xml:space="preserve">2023 </w:t>
      </w:r>
      <w:r>
        <w:t>as well as the Council</w:t>
      </w:r>
      <w:r w:rsidR="0869DBEB">
        <w:t>’s</w:t>
      </w:r>
      <w:r>
        <w:t xml:space="preserve"> and European Parliament</w:t>
      </w:r>
      <w:r w:rsidR="0869DBEB">
        <w:t>’s position</w:t>
      </w:r>
      <w:r w:rsidR="021523D1">
        <w:t>s</w:t>
      </w:r>
      <w:r w:rsidR="1F587ABE">
        <w:t xml:space="preserve">, the Amending Letter and the approved </w:t>
      </w:r>
      <w:r w:rsidR="003B1662">
        <w:t>b</w:t>
      </w:r>
      <w:r w:rsidR="1F587ABE">
        <w:t>udget</w:t>
      </w:r>
      <w:r>
        <w:t xml:space="preserve"> are provided in annex 1.</w:t>
      </w:r>
    </w:p>
    <w:p w14:paraId="312264C6" w14:textId="4E8AE7FA" w:rsidR="00155986" w:rsidRPr="001C1B70" w:rsidRDefault="00453242" w:rsidP="00155986">
      <w:pPr>
        <w:pStyle w:val="Text1"/>
      </w:pPr>
      <w:r>
        <w:t>As regards assigned revenue, at the time of establishing the 202</w:t>
      </w:r>
      <w:r w:rsidR="55B2397B">
        <w:t>3</w:t>
      </w:r>
      <w:r>
        <w:t xml:space="preserve"> </w:t>
      </w:r>
      <w:r w:rsidR="003B1662">
        <w:t>budget</w:t>
      </w:r>
      <w:r>
        <w:t>, the amount expected to be collected in the course of the 202</w:t>
      </w:r>
      <w:r w:rsidR="52E0ECC0">
        <w:t>3</w:t>
      </w:r>
      <w:r>
        <w:t xml:space="preserve"> budget year was estimated at EUR</w:t>
      </w:r>
      <w:r w:rsidR="00B060BD">
        <w:t> </w:t>
      </w:r>
      <w:r w:rsidR="00B5FF65">
        <w:t>632</w:t>
      </w:r>
      <w:r>
        <w:t xml:space="preserve"> million</w:t>
      </w:r>
      <w:r w:rsidR="001D5253">
        <w:t xml:space="preserve"> for the EAGF</w:t>
      </w:r>
      <w:r w:rsidR="0080741F">
        <w:t xml:space="preserve"> and</w:t>
      </w:r>
      <w:r w:rsidR="00FC477B">
        <w:t xml:space="preserve"> </w:t>
      </w:r>
      <w:r w:rsidR="0065380E">
        <w:t>EUR</w:t>
      </w:r>
      <w:r w:rsidR="00B060BD">
        <w:t> </w:t>
      </w:r>
      <w:r w:rsidR="0065380E">
        <w:t>50 million for the EAFRD.</w:t>
      </w:r>
    </w:p>
    <w:p w14:paraId="0F80C1A5" w14:textId="139BF292" w:rsidR="00A44A15" w:rsidRDefault="00453242" w:rsidP="006827A2">
      <w:pPr>
        <w:pStyle w:val="Text1"/>
        <w:spacing w:before="0" w:after="0"/>
        <w:ind w:left="851"/>
      </w:pPr>
      <w:r>
        <w:t xml:space="preserve">The estimated assigned revenue </w:t>
      </w:r>
      <w:r w:rsidR="00EE3E31">
        <w:t xml:space="preserve">from EAGF </w:t>
      </w:r>
      <w:r>
        <w:t>was taken into account for the financing needs of the basic payment scheme when the Budgetary Authority adopted the 202</w:t>
      </w:r>
      <w:r w:rsidR="5A03DFAF">
        <w:t>3</w:t>
      </w:r>
      <w:r>
        <w:t xml:space="preserve"> budget. For details on the cashing, use and eventual carryover of the assigned revenue please consult annexes </w:t>
      </w:r>
      <w:r w:rsidR="00055C92">
        <w:t xml:space="preserve">2 </w:t>
      </w:r>
      <w:r>
        <w:t xml:space="preserve">and </w:t>
      </w:r>
      <w:bookmarkEnd w:id="15"/>
      <w:r w:rsidR="00055C92">
        <w:t>3</w:t>
      </w:r>
      <w:r w:rsidR="68D84184">
        <w:t>.</w:t>
      </w:r>
    </w:p>
    <w:p w14:paraId="3F7A85A7" w14:textId="321EE639" w:rsidR="00D23917" w:rsidRDefault="1BFC6801" w:rsidP="00B36033">
      <w:pPr>
        <w:pStyle w:val="ManualHeading1"/>
        <w:spacing w:after="160"/>
        <w:ind w:left="851" w:hanging="851"/>
        <w:rPr>
          <w:noProof/>
        </w:rPr>
      </w:pPr>
      <w:bookmarkStart w:id="16" w:name="_Toc102661833"/>
      <w:bookmarkStart w:id="17" w:name="_Toc105773181"/>
      <w:bookmarkStart w:id="18" w:name="_Toc322938559"/>
      <w:bookmarkStart w:id="19" w:name="_Toc173181047"/>
      <w:r w:rsidRPr="57DE3101">
        <w:rPr>
          <w:noProof/>
        </w:rPr>
        <w:t>2.</w:t>
      </w:r>
      <w:bookmarkEnd w:id="16"/>
      <w:bookmarkEnd w:id="17"/>
      <w:bookmarkEnd w:id="18"/>
      <w:r w:rsidR="00772191">
        <w:rPr>
          <w:noProof/>
        </w:rPr>
        <w:tab/>
      </w:r>
      <w:r w:rsidR="00772191" w:rsidRPr="57DE3101">
        <w:rPr>
          <w:noProof/>
        </w:rPr>
        <w:t>IMPLEMENTATION</w:t>
      </w:r>
      <w:r w:rsidR="58CEC691" w:rsidRPr="57DE3101">
        <w:rPr>
          <w:noProof/>
        </w:rPr>
        <w:t xml:space="preserve"> OF </w:t>
      </w:r>
      <w:r w:rsidR="4A061B81" w:rsidRPr="57DE3101">
        <w:rPr>
          <w:noProof/>
        </w:rPr>
        <w:t xml:space="preserve">THE 2023 </w:t>
      </w:r>
      <w:r w:rsidR="58CEC691" w:rsidRPr="57DE3101">
        <w:rPr>
          <w:noProof/>
        </w:rPr>
        <w:t xml:space="preserve">BUDGET  FOR </w:t>
      </w:r>
      <w:r w:rsidR="05A33EA4" w:rsidRPr="57DE3101">
        <w:rPr>
          <w:noProof/>
        </w:rPr>
        <w:t xml:space="preserve">EAGF </w:t>
      </w:r>
      <w:r w:rsidR="58CEC691" w:rsidRPr="57DE3101">
        <w:rPr>
          <w:noProof/>
        </w:rPr>
        <w:t xml:space="preserve">AND </w:t>
      </w:r>
      <w:r w:rsidR="05A33EA4" w:rsidRPr="57DE3101">
        <w:rPr>
          <w:noProof/>
        </w:rPr>
        <w:t>EAFRD</w:t>
      </w:r>
      <w:bookmarkEnd w:id="19"/>
    </w:p>
    <w:p w14:paraId="2439AFF4" w14:textId="73AFEF41" w:rsidR="00204F06" w:rsidRDefault="00204F06" w:rsidP="00990270">
      <w:pPr>
        <w:pStyle w:val="ManualHeading2"/>
        <w:spacing w:before="360" w:after="160"/>
        <w:ind w:left="851" w:hanging="851"/>
        <w:rPr>
          <w:noProof/>
        </w:rPr>
      </w:pPr>
      <w:bookmarkStart w:id="20" w:name="_Toc173181048"/>
      <w:r w:rsidRPr="6AF0C460">
        <w:rPr>
          <w:noProof/>
        </w:rPr>
        <w:t>2.1.</w:t>
      </w:r>
      <w:r>
        <w:rPr>
          <w:noProof/>
        </w:rPr>
        <w:tab/>
      </w:r>
      <w:r w:rsidR="00D23917" w:rsidRPr="6AF0C460">
        <w:rPr>
          <w:noProof/>
        </w:rPr>
        <w:t>European Agricultural Guarantee Fund (EAGF)</w:t>
      </w:r>
      <w:bookmarkEnd w:id="20"/>
    </w:p>
    <w:p w14:paraId="412FC8C2" w14:textId="06947D8F" w:rsidR="00A44A15" w:rsidRDefault="00A44A15" w:rsidP="00A44A15">
      <w:pPr>
        <w:pStyle w:val="Text1"/>
      </w:pPr>
      <w:r>
        <w:t xml:space="preserve">Article </w:t>
      </w:r>
      <w:r w:rsidR="1C7FDD01">
        <w:t>21</w:t>
      </w:r>
      <w:r>
        <w:t>(1) of Regulation (EU) </w:t>
      </w:r>
      <w:r w:rsidR="00CC5B11">
        <w:t>2</w:t>
      </w:r>
      <w:r w:rsidR="004C28FD">
        <w:t>021</w:t>
      </w:r>
      <w:r>
        <w:t>/</w:t>
      </w:r>
      <w:r w:rsidR="004C28FD">
        <w:t>2116</w:t>
      </w:r>
      <w:r w:rsidR="008C4302" w:rsidRPr="008C4302">
        <w:rPr>
          <w:rFonts w:asciiTheme="minorHAnsi" w:eastAsiaTheme="minorEastAsia" w:hAnsiTheme="minorHAnsi" w:cstheme="minorBidi"/>
          <w:sz w:val="22"/>
          <w:szCs w:val="22"/>
          <w:vertAlign w:val="superscript"/>
        </w:rPr>
        <w:footnoteReference w:id="5"/>
      </w:r>
      <w:r>
        <w:t xml:space="preserve"> states that </w:t>
      </w:r>
      <w:r w:rsidRPr="005B20A8">
        <w:rPr>
          <w:iCs/>
        </w:rPr>
        <w:t>monthly payments shall be made by the Commission for expenditure effected by Member States' accredited paying agencies during the reference month</w:t>
      </w:r>
      <w:r>
        <w:t>.</w:t>
      </w:r>
      <w:r>
        <w:rPr>
          <w:lang w:val="en"/>
        </w:rPr>
        <w:t xml:space="preserve"> </w:t>
      </w:r>
      <w:r>
        <w:t xml:space="preserve">Monthly payments shall be made to each Member State at the latest on the third working day of the second month following that in which the expenditure is </w:t>
      </w:r>
      <w:r w:rsidR="008230E4">
        <w:t>effected</w:t>
      </w:r>
      <w:r>
        <w:t>.</w:t>
      </w:r>
    </w:p>
    <w:p w14:paraId="61358328" w14:textId="67281D6D" w:rsidR="00A44A15" w:rsidRDefault="1BFC6801" w:rsidP="00A44A15">
      <w:pPr>
        <w:pStyle w:val="Text1"/>
      </w:pPr>
      <w:r>
        <w:t xml:space="preserve">The monthly payments are a reimbursement of net expenditure (after deduction of revenue) which has </w:t>
      </w:r>
      <w:r w:rsidR="00B060BD">
        <w:t xml:space="preserve">already </w:t>
      </w:r>
      <w:r>
        <w:t xml:space="preserve">been carried out and are made available on the basis of the monthly declarations </w:t>
      </w:r>
      <w:r w:rsidR="02E3A8CE">
        <w:t xml:space="preserve">submitted </w:t>
      </w:r>
      <w:r>
        <w:t>by the Member States</w:t>
      </w:r>
      <w:r w:rsidR="00A44A15">
        <w:rPr>
          <w:vertAlign w:val="superscript"/>
        </w:rPr>
        <w:footnoteReference w:id="6"/>
      </w:r>
      <w:r>
        <w:t>. The monthly booking of expenditure and revenue is subject to checks and corrections on the basis of these declarations. Moreover, these payments become final following the Commission's verifications under the clearance of accounts procedure.</w:t>
      </w:r>
    </w:p>
    <w:p w14:paraId="5CF576B6" w14:textId="6855375E" w:rsidR="00A44A15" w:rsidRDefault="00A44A15" w:rsidP="00A44A15">
      <w:pPr>
        <w:pStyle w:val="Text1"/>
      </w:pPr>
      <w:r>
        <w:t xml:space="preserve">Payments made by the Member States from 16 October </w:t>
      </w:r>
      <w:r w:rsidR="008F43CE">
        <w:t xml:space="preserve">2022 </w:t>
      </w:r>
      <w:r>
        <w:t xml:space="preserve">to 15 October </w:t>
      </w:r>
      <w:r w:rsidR="008F43CE">
        <w:t xml:space="preserve">2023 </w:t>
      </w:r>
      <w:r>
        <w:t xml:space="preserve">are covered by the system for monthly payments. </w:t>
      </w:r>
    </w:p>
    <w:p w14:paraId="4FD81482" w14:textId="3840FB9B" w:rsidR="00A44A15" w:rsidRDefault="00A44A15" w:rsidP="3B469FC1">
      <w:pPr>
        <w:pStyle w:val="Text1"/>
      </w:pPr>
      <w:r>
        <w:t>For the whole financial year, the total of the decided amounts of monthly payments was EUR</w:t>
      </w:r>
      <w:r w:rsidR="00B060BD">
        <w:t> </w:t>
      </w:r>
      <w:r w:rsidR="007563E1">
        <w:t>40</w:t>
      </w:r>
      <w:r w:rsidR="00350C28">
        <w:t> </w:t>
      </w:r>
      <w:r w:rsidR="007563E1">
        <w:t>8</w:t>
      </w:r>
      <w:r w:rsidR="4CEC134F">
        <w:t>35.0</w:t>
      </w:r>
      <w:r>
        <w:t xml:space="preserve"> million. Taking into account</w:t>
      </w:r>
      <w:r w:rsidR="0B6D8D25">
        <w:t xml:space="preserve"> </w:t>
      </w:r>
      <w:r>
        <w:t xml:space="preserve">recovered </w:t>
      </w:r>
      <w:r w:rsidR="00424941">
        <w:t xml:space="preserve">amounts </w:t>
      </w:r>
      <w:r>
        <w:t xml:space="preserve">from clearance decisions, </w:t>
      </w:r>
      <w:r w:rsidR="48816E99">
        <w:t xml:space="preserve">a total of </w:t>
      </w:r>
      <w:r w:rsidR="00B83687">
        <w:t>EUR</w:t>
      </w:r>
      <w:r w:rsidR="00B060BD">
        <w:t> </w:t>
      </w:r>
      <w:r w:rsidR="000500C1">
        <w:t>40</w:t>
      </w:r>
      <w:r w:rsidR="00B060BD">
        <w:t> </w:t>
      </w:r>
      <w:r w:rsidR="4456C75A">
        <w:t>34</w:t>
      </w:r>
      <w:r w:rsidR="00C22E17">
        <w:t>9</w:t>
      </w:r>
      <w:r w:rsidR="4456C75A">
        <w:t>.6</w:t>
      </w:r>
      <w:r w:rsidR="00B83687">
        <w:t xml:space="preserve"> </w:t>
      </w:r>
      <w:r>
        <w:t>million ha</w:t>
      </w:r>
      <w:r w:rsidR="00B060BD">
        <w:t>s</w:t>
      </w:r>
      <w:r>
        <w:t xml:space="preserve"> effectively been paid to Member States.</w:t>
      </w:r>
    </w:p>
    <w:p w14:paraId="2F97AAC0" w14:textId="360BC6D7" w:rsidR="00A44A15" w:rsidRPr="00FC6CD6" w:rsidRDefault="2E3DC063" w:rsidP="00990270">
      <w:pPr>
        <w:pStyle w:val="ManualHeading2"/>
        <w:spacing w:before="360" w:after="160"/>
        <w:ind w:left="851" w:hanging="851"/>
        <w:rPr>
          <w:noProof/>
        </w:rPr>
      </w:pPr>
      <w:bookmarkStart w:id="21" w:name="_Toc7010706"/>
      <w:bookmarkStart w:id="22" w:name="_Toc102661846"/>
      <w:bookmarkStart w:id="23" w:name="_Toc105773194"/>
      <w:bookmarkStart w:id="24" w:name="_Toc173181049"/>
      <w:r w:rsidRPr="00FC6CD6">
        <w:rPr>
          <w:noProof/>
        </w:rPr>
        <w:t>2.1.1.</w:t>
      </w:r>
      <w:r w:rsidR="003B1662">
        <w:rPr>
          <w:noProof/>
        </w:rPr>
        <w:tab/>
      </w:r>
      <w:r w:rsidR="3B9EE69F" w:rsidRPr="00FC6CD6">
        <w:rPr>
          <w:noProof/>
        </w:rPr>
        <w:t>M</w:t>
      </w:r>
      <w:r w:rsidR="1BFC6801" w:rsidRPr="00FC6CD6">
        <w:rPr>
          <w:noProof/>
        </w:rPr>
        <w:t>onthly payments</w:t>
      </w:r>
      <w:bookmarkEnd w:id="21"/>
      <w:bookmarkEnd w:id="22"/>
      <w:bookmarkEnd w:id="23"/>
      <w:bookmarkEnd w:id="24"/>
    </w:p>
    <w:p w14:paraId="687E5453" w14:textId="55C8E4D9" w:rsidR="00A44A15" w:rsidRDefault="00A44A15" w:rsidP="00A44A15">
      <w:pPr>
        <w:pStyle w:val="Text1"/>
      </w:pPr>
      <w:r>
        <w:t>The Commission adopted a payment decision for each of the twelve periods of the financial year. Furthermore, an additional decision was adopted in December, adjusting the total expenditure chargeable to the year.</w:t>
      </w:r>
    </w:p>
    <w:p w14:paraId="5175E66B" w14:textId="78FEBE6C" w:rsidR="00A44A15" w:rsidRDefault="1BFC6801" w:rsidP="00A44A15">
      <w:pPr>
        <w:pStyle w:val="Text1"/>
      </w:pPr>
      <w:r>
        <w:t xml:space="preserve">For details, see annex </w:t>
      </w:r>
      <w:r w:rsidR="4E8CC118">
        <w:t>4</w:t>
      </w:r>
      <w:r>
        <w:t>.</w:t>
      </w:r>
    </w:p>
    <w:p w14:paraId="331570C9" w14:textId="0576BE52" w:rsidR="00A44A15" w:rsidRPr="003B1662" w:rsidRDefault="00A44A15" w:rsidP="00990270">
      <w:pPr>
        <w:pStyle w:val="ManualHeading2"/>
        <w:spacing w:before="360" w:after="160"/>
        <w:ind w:left="851" w:hanging="851"/>
        <w:rPr>
          <w:noProof/>
        </w:rPr>
      </w:pPr>
      <w:bookmarkStart w:id="25" w:name="_Toc7010707"/>
      <w:bookmarkStart w:id="26" w:name="_Toc102661847"/>
      <w:bookmarkStart w:id="27" w:name="_Toc105773195"/>
      <w:bookmarkStart w:id="28" w:name="_Toc173181050"/>
      <w:r w:rsidRPr="003B1662">
        <w:rPr>
          <w:noProof/>
        </w:rPr>
        <w:t>2.</w:t>
      </w:r>
      <w:r w:rsidR="00B5573E" w:rsidRPr="003B1662">
        <w:rPr>
          <w:noProof/>
        </w:rPr>
        <w:t>1</w:t>
      </w:r>
      <w:r w:rsidRPr="003B1662">
        <w:rPr>
          <w:noProof/>
        </w:rPr>
        <w:t>.</w:t>
      </w:r>
      <w:r w:rsidR="00D23917" w:rsidRPr="003B1662">
        <w:rPr>
          <w:noProof/>
        </w:rPr>
        <w:t>2</w:t>
      </w:r>
      <w:r w:rsidRPr="003B1662">
        <w:rPr>
          <w:noProof/>
        </w:rPr>
        <w:t>.</w:t>
      </w:r>
      <w:r>
        <w:rPr>
          <w:noProof/>
        </w:rPr>
        <w:tab/>
      </w:r>
      <w:r w:rsidRPr="003B1662">
        <w:rPr>
          <w:noProof/>
        </w:rPr>
        <w:t>Reductions of monthly payments</w:t>
      </w:r>
      <w:bookmarkEnd w:id="25"/>
      <w:bookmarkEnd w:id="26"/>
      <w:bookmarkEnd w:id="27"/>
      <w:bookmarkEnd w:id="28"/>
    </w:p>
    <w:p w14:paraId="5894A7A9" w14:textId="3CC74B7A" w:rsidR="00A44A15" w:rsidRDefault="00A44A15" w:rsidP="001C1B70">
      <w:pPr>
        <w:pStyle w:val="Text1"/>
        <w:spacing w:before="60"/>
      </w:pPr>
      <w:r>
        <w:t xml:space="preserve">In </w:t>
      </w:r>
      <w:r w:rsidR="00440920">
        <w:t>2023</w:t>
      </w:r>
      <w:r w:rsidRPr="00EC425F">
        <w:t xml:space="preserve">, reductions for a net amount </w:t>
      </w:r>
      <w:r w:rsidRPr="00934EDA">
        <w:t xml:space="preserve">of </w:t>
      </w:r>
      <w:r w:rsidRPr="003B1662">
        <w:t>EUR</w:t>
      </w:r>
      <w:r w:rsidR="00B060BD">
        <w:t> </w:t>
      </w:r>
      <w:r w:rsidR="003F6232" w:rsidRPr="003B1662">
        <w:t>1</w:t>
      </w:r>
      <w:r w:rsidR="00934EDA" w:rsidRPr="003B1662">
        <w:t>6</w:t>
      </w:r>
      <w:r w:rsidR="003F6232" w:rsidRPr="003B1662">
        <w:t>.</w:t>
      </w:r>
      <w:r w:rsidR="00934EDA" w:rsidRPr="00934EDA">
        <w:t>9</w:t>
      </w:r>
      <w:r w:rsidRPr="00934EDA">
        <w:t xml:space="preserve"> million</w:t>
      </w:r>
      <w:r>
        <w:t xml:space="preserve"> were made to the monthly</w:t>
      </w:r>
      <w:r w:rsidR="008D6AEA">
        <w:t xml:space="preserve"> </w:t>
      </w:r>
      <w:r>
        <w:t>payments effected to the Member States. For some measures financed by the EAGF, financial ceilings are determined in the sectoral regulations. Expenditure exceeding these ceilings is considered as "non eligible expenditure" and lead</w:t>
      </w:r>
      <w:r w:rsidR="0030429E">
        <w:t>s</w:t>
      </w:r>
      <w:r>
        <w:t xml:space="preserve"> to reductions of the monthly payments. </w:t>
      </w:r>
    </w:p>
    <w:p w14:paraId="59F0D3A9" w14:textId="45E74DFF" w:rsidR="00A44A15" w:rsidRPr="00C84E21" w:rsidRDefault="00A44A15" w:rsidP="00990270">
      <w:pPr>
        <w:pStyle w:val="ManualHeading2"/>
        <w:spacing w:before="360" w:after="160"/>
        <w:ind w:left="851" w:hanging="851"/>
        <w:rPr>
          <w:noProof/>
        </w:rPr>
      </w:pPr>
      <w:bookmarkStart w:id="29" w:name="_Toc7010708"/>
      <w:bookmarkStart w:id="30" w:name="_Toc102661848"/>
      <w:bookmarkStart w:id="31" w:name="_Toc105773196"/>
      <w:bookmarkStart w:id="32" w:name="_Toc173181051"/>
      <w:r w:rsidRPr="6AF0C460">
        <w:rPr>
          <w:noProof/>
        </w:rPr>
        <w:t>2.1.</w:t>
      </w:r>
      <w:r w:rsidR="00D23917" w:rsidRPr="6AF0C460">
        <w:rPr>
          <w:noProof/>
        </w:rPr>
        <w:t>3</w:t>
      </w:r>
      <w:r w:rsidRPr="6AF0C460">
        <w:rPr>
          <w:noProof/>
        </w:rPr>
        <w:t>.</w:t>
      </w:r>
      <w:r>
        <w:rPr>
          <w:noProof/>
        </w:rPr>
        <w:tab/>
      </w:r>
      <w:r w:rsidRPr="6AF0C460">
        <w:rPr>
          <w:noProof/>
        </w:rPr>
        <w:t>Direct management expenditure by the Commission</w:t>
      </w:r>
      <w:bookmarkEnd w:id="29"/>
      <w:bookmarkEnd w:id="30"/>
      <w:bookmarkEnd w:id="31"/>
      <w:bookmarkEnd w:id="32"/>
    </w:p>
    <w:p w14:paraId="5213A4EB" w14:textId="6EAC5B48" w:rsidR="00226591" w:rsidRDefault="49E10B03" w:rsidP="00990270">
      <w:pPr>
        <w:pStyle w:val="Text1"/>
        <w:spacing w:after="160"/>
        <w:ind w:left="851"/>
      </w:pPr>
      <w:r>
        <w:t>The Commission makes payments under direct management for certain measures. These are mainly related to operational technical assistance and promotion actions.</w:t>
      </w:r>
      <w:r w:rsidR="0A416C5D">
        <w:t xml:space="preserve"> </w:t>
      </w:r>
      <w:r w:rsidR="3D951EFE">
        <w:t xml:space="preserve">For details, see </w:t>
      </w:r>
      <w:r w:rsidR="70B46487">
        <w:t>table</w:t>
      </w:r>
      <w:r w:rsidR="3C760BB5">
        <w:t>s</w:t>
      </w:r>
      <w:r w:rsidR="70B46487">
        <w:t xml:space="preserve"> 2</w:t>
      </w:r>
      <w:r w:rsidR="3C760BB5">
        <w:t xml:space="preserve"> and 3</w:t>
      </w:r>
      <w:r w:rsidR="48F100C4">
        <w:t xml:space="preserve">. Details concerning </w:t>
      </w:r>
      <w:r w:rsidR="6BF45673">
        <w:t>appropriations implemented under direct management by the European Commission during financial year 2023</w:t>
      </w:r>
      <w:r w:rsidR="09A0995F">
        <w:t xml:space="preserve"> for </w:t>
      </w:r>
      <w:r w:rsidR="7A91F99B">
        <w:t>o</w:t>
      </w:r>
      <w:r w:rsidR="6BF45673">
        <w:t xml:space="preserve">perational </w:t>
      </w:r>
      <w:r w:rsidR="09A0995F">
        <w:t xml:space="preserve">and </w:t>
      </w:r>
      <w:r w:rsidR="4519CCCF">
        <w:t>a</w:t>
      </w:r>
      <w:r w:rsidR="09A0995F">
        <w:t xml:space="preserve">dministrative </w:t>
      </w:r>
      <w:r w:rsidR="6BF45673">
        <w:t>expenditure</w:t>
      </w:r>
      <w:r w:rsidR="09A0995F">
        <w:t>s</w:t>
      </w:r>
      <w:r w:rsidR="48F100C4">
        <w:t xml:space="preserve"> </w:t>
      </w:r>
      <w:r w:rsidR="710FEFF2">
        <w:t xml:space="preserve">are presented in </w:t>
      </w:r>
      <w:r w:rsidR="48F100C4">
        <w:t>annexes 5 and 6</w:t>
      </w:r>
      <w:r w:rsidR="288DEFAC">
        <w:t>.</w:t>
      </w:r>
    </w:p>
    <w:p w14:paraId="2EFA10FF" w14:textId="366CA4A2" w:rsidR="000763C9" w:rsidRDefault="3A95FE9C" w:rsidP="57DE3101">
      <w:pPr>
        <w:pStyle w:val="Text1"/>
        <w:rPr>
          <w:i/>
          <w:iCs/>
        </w:rPr>
      </w:pPr>
      <w:r>
        <w:t xml:space="preserve">Table 2                                                                       </w:t>
      </w:r>
      <w:r w:rsidR="0872F0AF">
        <w:t xml:space="preserve">     </w:t>
      </w:r>
      <w:r w:rsidR="003B1662">
        <w:t xml:space="preserve">  </w:t>
      </w:r>
      <w:r w:rsidR="0872F0AF">
        <w:t xml:space="preserve">       </w:t>
      </w:r>
      <w:r>
        <w:t xml:space="preserve">    </w:t>
      </w:r>
      <w:r w:rsidRPr="57DE3101">
        <w:rPr>
          <w:i/>
          <w:iCs/>
        </w:rPr>
        <w:t>(in EUR; current prices)</w:t>
      </w:r>
    </w:p>
    <w:p w14:paraId="764DB5C0" w14:textId="059DD708" w:rsidR="00226591" w:rsidRDefault="00806DFF" w:rsidP="00A44A15">
      <w:pPr>
        <w:pStyle w:val="Text1"/>
      </w:pPr>
      <w:r w:rsidRPr="00806DFF">
        <w:rPr>
          <w:lang w:val="en-GB" w:eastAsia="en-GB"/>
        </w:rPr>
        <w:drawing>
          <wp:inline distT="0" distB="0" distL="0" distR="0" wp14:anchorId="6A1E1779" wp14:editId="1CD3AD7D">
            <wp:extent cx="5377381" cy="38722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89750" cy="3881137"/>
                    </a:xfrm>
                    <a:prstGeom prst="rect">
                      <a:avLst/>
                    </a:prstGeom>
                    <a:noFill/>
                    <a:ln>
                      <a:noFill/>
                    </a:ln>
                  </pic:spPr>
                </pic:pic>
              </a:graphicData>
            </a:graphic>
          </wp:inline>
        </w:drawing>
      </w:r>
    </w:p>
    <w:p w14:paraId="1A5B9497" w14:textId="77777777" w:rsidR="00D51119" w:rsidRDefault="00D51119" w:rsidP="00806DFF">
      <w:pPr>
        <w:pStyle w:val="Text1"/>
        <w:rPr>
          <w:iCs/>
        </w:rPr>
      </w:pPr>
    </w:p>
    <w:p w14:paraId="6E6067A4" w14:textId="3EDB941E" w:rsidR="00806DFF" w:rsidRDefault="00806DFF" w:rsidP="00806DFF">
      <w:pPr>
        <w:pStyle w:val="Text1"/>
        <w:rPr>
          <w:i/>
        </w:rPr>
      </w:pPr>
      <w:r w:rsidRPr="007760C3">
        <w:rPr>
          <w:iCs/>
        </w:rPr>
        <w:t xml:space="preserve">Table </w:t>
      </w:r>
      <w:r>
        <w:rPr>
          <w:iCs/>
        </w:rPr>
        <w:t>3</w:t>
      </w:r>
      <w:r w:rsidRPr="007760C3">
        <w:rPr>
          <w:iCs/>
        </w:rPr>
        <w:t xml:space="preserve">                                                                   </w:t>
      </w:r>
      <w:r>
        <w:rPr>
          <w:iCs/>
        </w:rPr>
        <w:t xml:space="preserve">              </w:t>
      </w:r>
      <w:r w:rsidR="003B1662">
        <w:rPr>
          <w:iCs/>
        </w:rPr>
        <w:t xml:space="preserve">  </w:t>
      </w:r>
      <w:r>
        <w:rPr>
          <w:iCs/>
        </w:rPr>
        <w:t xml:space="preserve">   </w:t>
      </w:r>
      <w:r w:rsidRPr="007760C3">
        <w:rPr>
          <w:iCs/>
        </w:rPr>
        <w:t xml:space="preserve">   </w:t>
      </w:r>
      <w:r>
        <w:rPr>
          <w:i/>
        </w:rPr>
        <w:t>(in EUR; current prices)</w:t>
      </w:r>
    </w:p>
    <w:p w14:paraId="7937C7CC" w14:textId="29CD1F81" w:rsidR="00806DFF" w:rsidRDefault="00D51119" w:rsidP="00A44A15">
      <w:pPr>
        <w:pStyle w:val="Text1"/>
      </w:pPr>
      <w:r w:rsidRPr="00D51119">
        <w:rPr>
          <w:lang w:val="en-GB" w:eastAsia="en-GB"/>
        </w:rPr>
        <w:drawing>
          <wp:inline distT="0" distB="0" distL="0" distR="0" wp14:anchorId="7948DC7E" wp14:editId="4A30CD19">
            <wp:extent cx="5403850" cy="2663141"/>
            <wp:effectExtent l="0" t="0" r="635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8838" cy="2675456"/>
                    </a:xfrm>
                    <a:prstGeom prst="rect">
                      <a:avLst/>
                    </a:prstGeom>
                    <a:noFill/>
                    <a:ln>
                      <a:noFill/>
                    </a:ln>
                  </pic:spPr>
                </pic:pic>
              </a:graphicData>
            </a:graphic>
          </wp:inline>
        </w:drawing>
      </w:r>
    </w:p>
    <w:p w14:paraId="555794CE" w14:textId="5F876335" w:rsidR="003013DF" w:rsidRDefault="1E3A0658" w:rsidP="00990270">
      <w:pPr>
        <w:pStyle w:val="ManualHeading2"/>
        <w:spacing w:before="360" w:after="160"/>
        <w:ind w:left="851" w:hanging="851"/>
        <w:rPr>
          <w:noProof/>
        </w:rPr>
      </w:pPr>
      <w:bookmarkStart w:id="33" w:name="_Toc173181052"/>
      <w:r w:rsidRPr="57DE3101">
        <w:rPr>
          <w:noProof/>
        </w:rPr>
        <w:t>2.2.</w:t>
      </w:r>
      <w:r w:rsidR="003013DF">
        <w:rPr>
          <w:noProof/>
        </w:rPr>
        <w:tab/>
      </w:r>
      <w:r w:rsidR="5579D31B" w:rsidRPr="57DE3101">
        <w:rPr>
          <w:noProof/>
        </w:rPr>
        <w:t>European Agricultural Fund for Rural Development (EAFRD)</w:t>
      </w:r>
      <w:r w:rsidR="77078409" w:rsidRPr="57DE3101">
        <w:rPr>
          <w:noProof/>
        </w:rPr>
        <w:t xml:space="preserve"> and </w:t>
      </w:r>
      <w:r w:rsidR="380A0896" w:rsidRPr="57DE3101">
        <w:rPr>
          <w:noProof/>
        </w:rPr>
        <w:t>European Union Recovery Instrument (</w:t>
      </w:r>
      <w:r w:rsidR="77078409" w:rsidRPr="57DE3101">
        <w:rPr>
          <w:noProof/>
        </w:rPr>
        <w:t>EURI</w:t>
      </w:r>
      <w:r w:rsidR="50FEF022" w:rsidRPr="57DE3101">
        <w:rPr>
          <w:noProof/>
        </w:rPr>
        <w:t>)</w:t>
      </w:r>
      <w:bookmarkEnd w:id="33"/>
    </w:p>
    <w:p w14:paraId="5607B185" w14:textId="6E163573" w:rsidR="00430704" w:rsidRDefault="006C1868" w:rsidP="00A44A15">
      <w:pPr>
        <w:pStyle w:val="Text1"/>
      </w:pPr>
      <w:r>
        <w:t>Article 31</w:t>
      </w:r>
      <w:r w:rsidR="002F46C6">
        <w:t xml:space="preserve"> </w:t>
      </w:r>
      <w:r>
        <w:t xml:space="preserve">of </w:t>
      </w:r>
      <w:bookmarkStart w:id="34" w:name="_Hlk173174003"/>
      <w:r>
        <w:t>Regulation (EU) 2021/2116</w:t>
      </w:r>
      <w:bookmarkEnd w:id="34"/>
      <w:r w:rsidRPr="008C4302">
        <w:rPr>
          <w:rFonts w:asciiTheme="minorHAnsi" w:eastAsiaTheme="minorEastAsia" w:hAnsiTheme="minorHAnsi" w:cstheme="minorBidi"/>
          <w:sz w:val="22"/>
          <w:szCs w:val="22"/>
          <w:vertAlign w:val="superscript"/>
        </w:rPr>
        <w:footnoteReference w:id="7"/>
      </w:r>
      <w:r>
        <w:t xml:space="preserve"> state</w:t>
      </w:r>
      <w:r w:rsidR="008A50BE">
        <w:t>s</w:t>
      </w:r>
      <w:r>
        <w:t xml:space="preserve"> that</w:t>
      </w:r>
      <w:r w:rsidR="002F46C6">
        <w:t xml:space="preserve"> </w:t>
      </w:r>
      <w:r w:rsidR="00430704">
        <w:t>f</w:t>
      </w:r>
      <w:r w:rsidR="00430704" w:rsidRPr="00430704">
        <w:t xml:space="preserve">ollowing its implementing decision approving the CAP Strategic Plan, the Commission shall pay an initial prefinancing amount to the Member State for the entire duration of the CAP Strategic Plan. </w:t>
      </w:r>
      <w:r w:rsidR="003002BA">
        <w:t xml:space="preserve">Article 32 of Regulation (EU) 2021/2116 </w:t>
      </w:r>
      <w:r w:rsidR="0040015C">
        <w:t xml:space="preserve">also </w:t>
      </w:r>
      <w:r w:rsidR="003910EA">
        <w:t xml:space="preserve">provides for </w:t>
      </w:r>
      <w:r w:rsidR="0042522F">
        <w:t>i</w:t>
      </w:r>
      <w:r w:rsidR="003002BA" w:rsidRPr="003002BA">
        <w:t xml:space="preserve">nterim payments </w:t>
      </w:r>
      <w:r w:rsidR="003910EA">
        <w:t xml:space="preserve">to be </w:t>
      </w:r>
      <w:r w:rsidR="003002BA" w:rsidRPr="003002BA">
        <w:t>made for each CAP Strategic Plan</w:t>
      </w:r>
      <w:r w:rsidR="00B461D3" w:rsidRPr="00B461D3">
        <w:t xml:space="preserve"> in order to reimburse the expenditure effected by accredited paying agencies in implementing the CAP Strategic Plans.</w:t>
      </w:r>
    </w:p>
    <w:p w14:paraId="1F794AC6" w14:textId="44A74F07" w:rsidR="00424875" w:rsidRDefault="1B285450" w:rsidP="00A44A15">
      <w:pPr>
        <w:pStyle w:val="Text1"/>
      </w:pPr>
      <w:r>
        <w:t xml:space="preserve">Referring to the completion of </w:t>
      </w:r>
      <w:r w:rsidR="3A26B2B3">
        <w:t xml:space="preserve">Rural </w:t>
      </w:r>
      <w:r w:rsidR="3BF20B04">
        <w:t>D</w:t>
      </w:r>
      <w:r w:rsidR="3A26B2B3">
        <w:t xml:space="preserve">evelopment </w:t>
      </w:r>
      <w:r w:rsidR="3BF20B04">
        <w:t>P</w:t>
      </w:r>
      <w:r w:rsidR="3A26B2B3">
        <w:t>rogra</w:t>
      </w:r>
      <w:r w:rsidR="3BF20B04">
        <w:t>ms approved under Regulation (EU) No</w:t>
      </w:r>
      <w:r w:rsidR="42E2AC1E">
        <w:t xml:space="preserve"> </w:t>
      </w:r>
      <w:r w:rsidR="3BF20B04">
        <w:t>130</w:t>
      </w:r>
      <w:r w:rsidR="1ACE4115">
        <w:t>6</w:t>
      </w:r>
      <w:r w:rsidR="3BF20B04">
        <w:t>/2013</w:t>
      </w:r>
      <w:r w:rsidR="561C6DC0">
        <w:t xml:space="preserve">, Article </w:t>
      </w:r>
      <w:r w:rsidR="33850896">
        <w:t xml:space="preserve">34 </w:t>
      </w:r>
      <w:r w:rsidR="1B7F7ADF">
        <w:t xml:space="preserve">of the said Regulation </w:t>
      </w:r>
      <w:r w:rsidR="26011EA0">
        <w:t xml:space="preserve">states that </w:t>
      </w:r>
      <w:r w:rsidR="72930A12">
        <w:t xml:space="preserve">the combined total of prefinancing and interim payments </w:t>
      </w:r>
      <w:r w:rsidR="50096D1A">
        <w:t>can</w:t>
      </w:r>
      <w:r w:rsidR="72930A12">
        <w:t xml:space="preserve">not exceed 95% of the EAFRD's contribution to each </w:t>
      </w:r>
      <w:r w:rsidR="50096D1A">
        <w:t>R</w:t>
      </w:r>
      <w:r w:rsidR="72930A12">
        <w:t>ural</w:t>
      </w:r>
      <w:r w:rsidR="0A731F5B">
        <w:t xml:space="preserve"> </w:t>
      </w:r>
      <w:r w:rsidR="50096D1A">
        <w:t>D</w:t>
      </w:r>
      <w:r w:rsidR="72930A12">
        <w:t xml:space="preserve">evelopment </w:t>
      </w:r>
      <w:r w:rsidR="0A731F5B">
        <w:t>P</w:t>
      </w:r>
      <w:r w:rsidR="72930A12">
        <w:t>rogram.</w:t>
      </w:r>
      <w:r w:rsidR="2AE10D03">
        <w:t xml:space="preserve"> Subject to the availability of resources, the Commission shall,</w:t>
      </w:r>
      <w:r w:rsidR="1FF4E1F9">
        <w:t xml:space="preserve"> </w:t>
      </w:r>
      <w:r w:rsidR="2AE10D03">
        <w:t>taking account of reductions or suspensions applied under Article 41,</w:t>
      </w:r>
      <w:r w:rsidR="0A731F5B">
        <w:t xml:space="preserve"> </w:t>
      </w:r>
      <w:r w:rsidR="2AE10D03">
        <w:t>make interim payments in order to reimburse the expenditure effected</w:t>
      </w:r>
      <w:r w:rsidR="1FF4E1F9">
        <w:t xml:space="preserve"> </w:t>
      </w:r>
      <w:r w:rsidR="2AE10D03">
        <w:t>by accredited paying agencies in implementing the programmes.</w:t>
      </w:r>
    </w:p>
    <w:p w14:paraId="226DAE16" w14:textId="49918B55" w:rsidR="00FD585F" w:rsidRDefault="009B6318" w:rsidP="0042522F">
      <w:pPr>
        <w:pStyle w:val="Text1"/>
      </w:pPr>
      <w:r>
        <w:t xml:space="preserve">As mentioned in Article 37 </w:t>
      </w:r>
      <w:r w:rsidR="000D5FFC">
        <w:t xml:space="preserve">of </w:t>
      </w:r>
      <w:r w:rsidR="00881A07">
        <w:t>Regulation (EU)</w:t>
      </w:r>
      <w:r w:rsidR="001972E2">
        <w:t xml:space="preserve"> </w:t>
      </w:r>
      <w:r w:rsidR="0061077A">
        <w:t>No 130</w:t>
      </w:r>
      <w:r w:rsidR="0020137B">
        <w:t>6/2013</w:t>
      </w:r>
      <w:r w:rsidR="00BE1229">
        <w:t>,</w:t>
      </w:r>
      <w:r w:rsidR="00783EEE">
        <w:t xml:space="preserve"> </w:t>
      </w:r>
      <w:r w:rsidR="00BE1229">
        <w:t>a</w:t>
      </w:r>
      <w:r>
        <w:t>fter receiving the last annual progress report on the implementation of a rural development programme, the Commission shall pay the</w:t>
      </w:r>
      <w:r w:rsidR="00783EEE">
        <w:t xml:space="preserve"> </w:t>
      </w:r>
      <w:r>
        <w:t>balance, subject to the availability of resources, on the basis of the</w:t>
      </w:r>
      <w:r w:rsidR="00783EEE">
        <w:t xml:space="preserve"> </w:t>
      </w:r>
      <w:r>
        <w:t xml:space="preserve">financial plan in force, </w:t>
      </w:r>
      <w:r w:rsidR="007B1F8A">
        <w:t xml:space="preserve">of </w:t>
      </w:r>
      <w:r>
        <w:t>the annual accounts for the last execution year</w:t>
      </w:r>
      <w:r w:rsidR="00783EEE">
        <w:t xml:space="preserve"> </w:t>
      </w:r>
      <w:r>
        <w:t xml:space="preserve">for the relevant </w:t>
      </w:r>
      <w:r w:rsidR="007B1F8A">
        <w:t>R</w:t>
      </w:r>
      <w:r>
        <w:t xml:space="preserve">ural </w:t>
      </w:r>
      <w:r w:rsidR="007B1F8A">
        <w:t>D</w:t>
      </w:r>
      <w:r>
        <w:t xml:space="preserve">evelopment </w:t>
      </w:r>
      <w:r w:rsidR="007B1F8A">
        <w:t>P</w:t>
      </w:r>
      <w:r>
        <w:t>rogram and of the corresponding</w:t>
      </w:r>
      <w:r w:rsidR="00783EEE">
        <w:t xml:space="preserve"> </w:t>
      </w:r>
      <w:r>
        <w:t>clearance decision.</w:t>
      </w:r>
    </w:p>
    <w:p w14:paraId="24389ED6" w14:textId="3EB4A988" w:rsidR="00783EEE" w:rsidRPr="003B1662" w:rsidRDefault="00783EEE" w:rsidP="00990270">
      <w:pPr>
        <w:pStyle w:val="ManualHeading2"/>
        <w:spacing w:before="360" w:after="160"/>
        <w:ind w:left="851" w:hanging="851"/>
        <w:rPr>
          <w:noProof/>
        </w:rPr>
      </w:pPr>
      <w:bookmarkStart w:id="35" w:name="_Toc173181053"/>
      <w:r w:rsidRPr="003B1662">
        <w:rPr>
          <w:noProof/>
        </w:rPr>
        <w:t>2.2.1.</w:t>
      </w:r>
      <w:r w:rsidRPr="003B1662">
        <w:rPr>
          <w:noProof/>
        </w:rPr>
        <w:tab/>
      </w:r>
      <w:r w:rsidR="00017A09" w:rsidRPr="003B1662">
        <w:rPr>
          <w:noProof/>
        </w:rPr>
        <w:t>P</w:t>
      </w:r>
      <w:r w:rsidRPr="003B1662">
        <w:rPr>
          <w:noProof/>
        </w:rPr>
        <w:t>ayments</w:t>
      </w:r>
      <w:bookmarkEnd w:id="35"/>
    </w:p>
    <w:p w14:paraId="1252B9FF" w14:textId="13F09EF6" w:rsidR="00F5467D" w:rsidRDefault="00F5467D" w:rsidP="00F5467D">
      <w:pPr>
        <w:pStyle w:val="Text1"/>
      </w:pPr>
      <w:r>
        <w:t xml:space="preserve">The Commission </w:t>
      </w:r>
      <w:r w:rsidR="00C60270">
        <w:t xml:space="preserve">proceeds with </w:t>
      </w:r>
      <w:r w:rsidR="00017A09">
        <w:t>reimbursement</w:t>
      </w:r>
      <w:r>
        <w:t xml:space="preserve"> for each </w:t>
      </w:r>
      <w:r w:rsidR="00B060BD">
        <w:t>q</w:t>
      </w:r>
      <w:r w:rsidR="00217274">
        <w:t>uarter</w:t>
      </w:r>
      <w:r w:rsidR="00F6164C">
        <w:t>ly</w:t>
      </w:r>
      <w:r w:rsidR="00217274">
        <w:t xml:space="preserve"> </w:t>
      </w:r>
      <w:r w:rsidR="00B060BD">
        <w:t>d</w:t>
      </w:r>
      <w:r w:rsidR="00B46485">
        <w:t>eclaration</w:t>
      </w:r>
      <w:r w:rsidR="00D7410F">
        <w:t xml:space="preserve"> </w:t>
      </w:r>
      <w:r>
        <w:t xml:space="preserve">of </w:t>
      </w:r>
      <w:r w:rsidR="00B060BD">
        <w:t>e</w:t>
      </w:r>
      <w:r w:rsidR="00D7410F">
        <w:t>xp</w:t>
      </w:r>
      <w:r w:rsidR="00892C6A">
        <w:t>e</w:t>
      </w:r>
      <w:r w:rsidR="00D7410F">
        <w:t>nditure</w:t>
      </w:r>
      <w:r w:rsidR="00A829F8">
        <w:t xml:space="preserve"> </w:t>
      </w:r>
      <w:r w:rsidR="00B060BD">
        <w:t>of the</w:t>
      </w:r>
      <w:r>
        <w:t xml:space="preserve"> financial year. </w:t>
      </w:r>
    </w:p>
    <w:p w14:paraId="0AB633CC" w14:textId="0A4CE064" w:rsidR="00F5467D" w:rsidRDefault="1720EFB0" w:rsidP="00F5467D">
      <w:pPr>
        <w:pStyle w:val="Text1"/>
      </w:pPr>
      <w:r>
        <w:t xml:space="preserve">For details, see annex </w:t>
      </w:r>
      <w:r w:rsidR="0A462831">
        <w:t>7</w:t>
      </w:r>
      <w:r>
        <w:t>.</w:t>
      </w:r>
    </w:p>
    <w:p w14:paraId="63C9EFD3" w14:textId="2C39E7D7" w:rsidR="00A71882" w:rsidRPr="003B1662" w:rsidRDefault="00A71882" w:rsidP="00C441FB">
      <w:pPr>
        <w:pStyle w:val="ManualHeading2"/>
        <w:spacing w:before="360" w:after="160"/>
        <w:ind w:left="851" w:hanging="851"/>
        <w:rPr>
          <w:noProof/>
        </w:rPr>
      </w:pPr>
      <w:bookmarkStart w:id="36" w:name="_Toc173181054"/>
      <w:r w:rsidRPr="003B1662">
        <w:rPr>
          <w:noProof/>
        </w:rPr>
        <w:t>2.</w:t>
      </w:r>
      <w:r w:rsidR="00A67855">
        <w:rPr>
          <w:noProof/>
        </w:rPr>
        <w:t>2</w:t>
      </w:r>
      <w:r w:rsidRPr="003B1662">
        <w:rPr>
          <w:noProof/>
        </w:rPr>
        <w:t>.2.</w:t>
      </w:r>
      <w:r>
        <w:rPr>
          <w:noProof/>
        </w:rPr>
        <w:tab/>
      </w:r>
      <w:r w:rsidRPr="003B1662">
        <w:rPr>
          <w:noProof/>
        </w:rPr>
        <w:t>Reductions of payments</w:t>
      </w:r>
      <w:bookmarkEnd w:id="36"/>
    </w:p>
    <w:p w14:paraId="4CF6F071" w14:textId="604E47F2" w:rsidR="00F5467D" w:rsidRDefault="2286B689" w:rsidP="009B6318">
      <w:pPr>
        <w:pStyle w:val="Text1"/>
      </w:pPr>
      <w:r>
        <w:t xml:space="preserve">In 2023, reductions for a net amount of </w:t>
      </w:r>
      <w:r w:rsidRPr="00A87B50">
        <w:t>EUR</w:t>
      </w:r>
      <w:r w:rsidR="003C3575" w:rsidRPr="00A87B50">
        <w:t> </w:t>
      </w:r>
      <w:r w:rsidR="003C3575">
        <w:t xml:space="preserve">152.7 </w:t>
      </w:r>
      <w:r>
        <w:t>million were made to the payments effected to the Member States</w:t>
      </w:r>
      <w:r w:rsidR="419D32DD">
        <w:t xml:space="preserve"> based on the quarterl</w:t>
      </w:r>
      <w:r w:rsidR="77B725E2">
        <w:t>y</w:t>
      </w:r>
      <w:r w:rsidR="419D32DD">
        <w:t xml:space="preserve"> declaration</w:t>
      </w:r>
      <w:r w:rsidR="506F80D0">
        <w:t>s</w:t>
      </w:r>
      <w:r w:rsidR="419D32DD">
        <w:t xml:space="preserve"> of expenditure 2023</w:t>
      </w:r>
      <w:r>
        <w:t xml:space="preserve">. For measures financed by the EAFRD, financial ceilings are determined in </w:t>
      </w:r>
      <w:r w:rsidR="00B060BD">
        <w:t xml:space="preserve">accordance with </w:t>
      </w:r>
      <w:r>
        <w:t xml:space="preserve">the </w:t>
      </w:r>
      <w:r w:rsidR="21F50BAB">
        <w:t>legislation</w:t>
      </w:r>
      <w:r>
        <w:t>. Expenditure exceeding these ceilings is considered as "non eligible expenditure" and leads to reductions of the payments</w:t>
      </w:r>
      <w:r w:rsidR="63209BD4">
        <w:t>.</w:t>
      </w:r>
    </w:p>
    <w:p w14:paraId="27F2DA00" w14:textId="45CCBA5D" w:rsidR="00A46144" w:rsidRPr="00C84E21" w:rsidRDefault="00A46144" w:rsidP="00C441FB">
      <w:pPr>
        <w:pStyle w:val="ManualHeading2"/>
        <w:spacing w:before="360" w:after="160"/>
        <w:ind w:left="851" w:hanging="851"/>
        <w:rPr>
          <w:noProof/>
        </w:rPr>
      </w:pPr>
      <w:bookmarkStart w:id="37" w:name="_Toc173181055"/>
      <w:r w:rsidRPr="6AF0C460">
        <w:rPr>
          <w:noProof/>
        </w:rPr>
        <w:t>2.</w:t>
      </w:r>
      <w:r w:rsidR="00944922" w:rsidRPr="6AF0C460">
        <w:rPr>
          <w:noProof/>
        </w:rPr>
        <w:t>2</w:t>
      </w:r>
      <w:r w:rsidRPr="6AF0C460">
        <w:rPr>
          <w:noProof/>
        </w:rPr>
        <w:t>.3.</w:t>
      </w:r>
      <w:r>
        <w:rPr>
          <w:noProof/>
        </w:rPr>
        <w:tab/>
      </w:r>
      <w:r w:rsidR="00AB5FC3">
        <w:rPr>
          <w:noProof/>
        </w:rPr>
        <w:t>Expenditure under d</w:t>
      </w:r>
      <w:r w:rsidRPr="6AF0C460">
        <w:rPr>
          <w:noProof/>
        </w:rPr>
        <w:t>irect management  by the Commission</w:t>
      </w:r>
      <w:bookmarkEnd w:id="37"/>
    </w:p>
    <w:p w14:paraId="0FC9B329" w14:textId="362AFBF0" w:rsidR="00420206" w:rsidRDefault="00A46144" w:rsidP="00420206">
      <w:pPr>
        <w:pStyle w:val="Text1"/>
      </w:pPr>
      <w:r>
        <w:t>The Commission makes payments under direct management for certain measures</w:t>
      </w:r>
      <w:r w:rsidR="003333E3">
        <w:t xml:space="preserve"> and actions, </w:t>
      </w:r>
      <w:r>
        <w:t xml:space="preserve">mainly related to operational technical assistance. For details, please see </w:t>
      </w:r>
      <w:r w:rsidR="003B1662">
        <w:t xml:space="preserve">tables </w:t>
      </w:r>
      <w:r w:rsidR="003333E3">
        <w:t>4</w:t>
      </w:r>
      <w:r w:rsidR="00897858">
        <w:t xml:space="preserve"> and 5,</w:t>
      </w:r>
      <w:r w:rsidR="00DA38D7">
        <w:t xml:space="preserve"> and annexes 5 and 6</w:t>
      </w:r>
      <w:r>
        <w:t xml:space="preserve"> as regards appropriations implemented under direct management by the Commission during financial year 2023 for </w:t>
      </w:r>
      <w:r w:rsidR="00D50684">
        <w:t>o</w:t>
      </w:r>
      <w:r>
        <w:t>perational expenditure.</w:t>
      </w:r>
      <w:r w:rsidR="00420206">
        <w:t xml:space="preserve"> </w:t>
      </w:r>
    </w:p>
    <w:p w14:paraId="1DBF7C5F" w14:textId="77777777" w:rsidR="002B4523" w:rsidRPr="0096764E" w:rsidRDefault="002B4523" w:rsidP="00420206">
      <w:pPr>
        <w:pStyle w:val="Text1"/>
      </w:pPr>
    </w:p>
    <w:p w14:paraId="0E9555C6" w14:textId="069BABF9" w:rsidR="00D51119" w:rsidRDefault="00D51119" w:rsidP="00D51119">
      <w:pPr>
        <w:pStyle w:val="Text1"/>
        <w:rPr>
          <w:i/>
        </w:rPr>
      </w:pPr>
      <w:r w:rsidRPr="007760C3">
        <w:rPr>
          <w:iCs/>
        </w:rPr>
        <w:t xml:space="preserve">Table </w:t>
      </w:r>
      <w:r>
        <w:rPr>
          <w:iCs/>
        </w:rPr>
        <w:t>4</w:t>
      </w:r>
      <w:r w:rsidRPr="007760C3">
        <w:rPr>
          <w:iCs/>
        </w:rPr>
        <w:t xml:space="preserve">                                                                   </w:t>
      </w:r>
      <w:r>
        <w:rPr>
          <w:iCs/>
        </w:rPr>
        <w:t xml:space="preserve">                 </w:t>
      </w:r>
      <w:r w:rsidRPr="007760C3">
        <w:rPr>
          <w:iCs/>
        </w:rPr>
        <w:t xml:space="preserve">   </w:t>
      </w:r>
      <w:r>
        <w:rPr>
          <w:i/>
        </w:rPr>
        <w:t>(in EUR; current prices)</w:t>
      </w:r>
    </w:p>
    <w:p w14:paraId="305C4F31" w14:textId="7B1F0D06" w:rsidR="0058729B" w:rsidRDefault="0058729B" w:rsidP="007E0E8A">
      <w:pPr>
        <w:pStyle w:val="Text1"/>
        <w:ind w:left="567"/>
        <w:jc w:val="center"/>
        <w:rPr>
          <w:i/>
        </w:rPr>
      </w:pPr>
      <w:r w:rsidRPr="0058729B">
        <w:rPr>
          <w:lang w:val="en-GB" w:eastAsia="en-GB"/>
        </w:rPr>
        <w:drawing>
          <wp:inline distT="0" distB="0" distL="0" distR="0" wp14:anchorId="3D9C77B4" wp14:editId="4959C366">
            <wp:extent cx="5442745" cy="4392930"/>
            <wp:effectExtent l="0" t="0" r="571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47851" cy="4397051"/>
                    </a:xfrm>
                    <a:prstGeom prst="rect">
                      <a:avLst/>
                    </a:prstGeom>
                    <a:noFill/>
                    <a:ln>
                      <a:noFill/>
                    </a:ln>
                  </pic:spPr>
                </pic:pic>
              </a:graphicData>
            </a:graphic>
          </wp:inline>
        </w:drawing>
      </w:r>
    </w:p>
    <w:p w14:paraId="6ED7EBBE" w14:textId="27D34B6A" w:rsidR="00786D11" w:rsidRDefault="00786D11" w:rsidP="00CB4026">
      <w:pPr>
        <w:pStyle w:val="Text1"/>
        <w:rPr>
          <w:iCs/>
        </w:rPr>
      </w:pPr>
    </w:p>
    <w:p w14:paraId="4553ABD3" w14:textId="7BA24F53" w:rsidR="00CB4026" w:rsidRDefault="00CB4026" w:rsidP="00CB4026">
      <w:pPr>
        <w:pStyle w:val="Text1"/>
        <w:rPr>
          <w:i/>
        </w:rPr>
      </w:pPr>
      <w:r w:rsidRPr="007760C3">
        <w:rPr>
          <w:iCs/>
        </w:rPr>
        <w:t xml:space="preserve">Table </w:t>
      </w:r>
      <w:r>
        <w:rPr>
          <w:iCs/>
        </w:rPr>
        <w:t>5</w:t>
      </w:r>
      <w:r w:rsidRPr="007760C3">
        <w:rPr>
          <w:iCs/>
        </w:rPr>
        <w:t xml:space="preserve">                     </w:t>
      </w:r>
      <w:r w:rsidR="003B1662">
        <w:rPr>
          <w:iCs/>
        </w:rPr>
        <w:t xml:space="preserve">                             </w:t>
      </w:r>
      <w:r w:rsidRPr="007760C3">
        <w:rPr>
          <w:iCs/>
        </w:rPr>
        <w:t xml:space="preserve">                   </w:t>
      </w:r>
      <w:r>
        <w:rPr>
          <w:iCs/>
        </w:rPr>
        <w:t xml:space="preserve">                 </w:t>
      </w:r>
      <w:r w:rsidRPr="007760C3">
        <w:rPr>
          <w:iCs/>
        </w:rPr>
        <w:t xml:space="preserve"> </w:t>
      </w:r>
      <w:r>
        <w:rPr>
          <w:i/>
        </w:rPr>
        <w:t>(in EUR; current prices)</w:t>
      </w:r>
    </w:p>
    <w:p w14:paraId="1A52966D" w14:textId="5CF41F89" w:rsidR="00C27CB0" w:rsidRDefault="00390D68" w:rsidP="007E0E8A">
      <w:pPr>
        <w:pStyle w:val="Text1"/>
        <w:ind w:left="426"/>
        <w:jc w:val="center"/>
        <w:rPr>
          <w:i/>
        </w:rPr>
      </w:pPr>
      <w:r w:rsidRPr="00390D68">
        <w:rPr>
          <w:lang w:val="en-GB" w:eastAsia="en-GB"/>
        </w:rPr>
        <w:drawing>
          <wp:inline distT="0" distB="0" distL="0" distR="0" wp14:anchorId="4C0EAD8D" wp14:editId="402A5407">
            <wp:extent cx="5439803" cy="200215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69174" cy="2012965"/>
                    </a:xfrm>
                    <a:prstGeom prst="rect">
                      <a:avLst/>
                    </a:prstGeom>
                    <a:noFill/>
                    <a:ln>
                      <a:noFill/>
                    </a:ln>
                  </pic:spPr>
                </pic:pic>
              </a:graphicData>
            </a:graphic>
          </wp:inline>
        </w:drawing>
      </w:r>
    </w:p>
    <w:p w14:paraId="1E1E3662" w14:textId="0E4320AD" w:rsidR="00430704" w:rsidRDefault="00430704" w:rsidP="00A44A15">
      <w:pPr>
        <w:pStyle w:val="Text1"/>
      </w:pPr>
    </w:p>
    <w:p w14:paraId="06F4EF5D" w14:textId="13EB1E69" w:rsidR="00A44A15" w:rsidRDefault="00A44A15" w:rsidP="00A44A15">
      <w:pPr>
        <w:pStyle w:val="Text1"/>
      </w:pPr>
    </w:p>
    <w:p w14:paraId="69B5C67B" w14:textId="2686C5D9" w:rsidR="00A44A15" w:rsidRPr="003B1662" w:rsidRDefault="00A44A15" w:rsidP="00B36033">
      <w:pPr>
        <w:pStyle w:val="ManualHeading1"/>
        <w:spacing w:after="160"/>
        <w:ind w:left="851" w:hanging="851"/>
        <w:rPr>
          <w:noProof/>
        </w:rPr>
      </w:pPr>
      <w:bookmarkStart w:id="38" w:name="_Toc7010710"/>
      <w:bookmarkStart w:id="39" w:name="_Toc102661850"/>
      <w:bookmarkStart w:id="40" w:name="_Toc105773198"/>
      <w:bookmarkStart w:id="41" w:name="_Toc139622279"/>
      <w:bookmarkStart w:id="42" w:name="_Toc173181056"/>
      <w:r w:rsidRPr="00EF6DC1">
        <w:rPr>
          <w:noProof/>
        </w:rPr>
        <w:t>3.</w:t>
      </w:r>
      <w:r>
        <w:rPr>
          <w:noProof/>
        </w:rPr>
        <w:tab/>
      </w:r>
      <w:r w:rsidR="003B1662" w:rsidRPr="003B1662">
        <w:rPr>
          <w:noProof/>
        </w:rPr>
        <w:t>THE UPTAKE OF THE EAGF AND EAFRD APPROPRIATIONS</w:t>
      </w:r>
      <w:bookmarkEnd w:id="38"/>
      <w:bookmarkEnd w:id="39"/>
      <w:bookmarkEnd w:id="40"/>
      <w:bookmarkEnd w:id="41"/>
      <w:bookmarkEnd w:id="42"/>
      <w:r w:rsidR="003B1662" w:rsidRPr="00EF6DC1">
        <w:rPr>
          <w:noProof/>
        </w:rPr>
        <w:t xml:space="preserve"> </w:t>
      </w:r>
    </w:p>
    <w:p w14:paraId="51B1D8B7" w14:textId="483DA1B9" w:rsidR="00EC1B77" w:rsidRDefault="00EC1B77" w:rsidP="00EC1B77">
      <w:pPr>
        <w:pStyle w:val="ManualHeading2"/>
        <w:rPr>
          <w:noProof/>
        </w:rPr>
      </w:pPr>
      <w:bookmarkStart w:id="43" w:name="_Toc173181057"/>
      <w:r w:rsidRPr="6AF0C460">
        <w:rPr>
          <w:noProof/>
        </w:rPr>
        <w:t>3.1.</w:t>
      </w:r>
      <w:r>
        <w:rPr>
          <w:noProof/>
        </w:rPr>
        <w:tab/>
      </w:r>
      <w:r w:rsidRPr="6AF0C460">
        <w:rPr>
          <w:noProof/>
        </w:rPr>
        <w:t>European Agricultural Guarantee Fund (EAGF)</w:t>
      </w:r>
      <w:bookmarkEnd w:id="43"/>
    </w:p>
    <w:p w14:paraId="7D8C45E1" w14:textId="01EEFD8F" w:rsidR="00A44A15" w:rsidRDefault="00A44A15" w:rsidP="00A44A15">
      <w:pPr>
        <w:pStyle w:val="Text1"/>
        <w:ind w:left="851"/>
      </w:pPr>
      <w:r w:rsidRPr="0096764E">
        <w:t xml:space="preserve">The implementation </w:t>
      </w:r>
      <w:r>
        <w:t>of the EAGF appropriations amounted to EUR </w:t>
      </w:r>
      <w:r w:rsidR="00415D7A">
        <w:t>41 </w:t>
      </w:r>
      <w:r w:rsidR="00275F0E">
        <w:t>133</w:t>
      </w:r>
      <w:r w:rsidR="00415D7A">
        <w:t>.</w:t>
      </w:r>
      <w:r w:rsidR="036CC540">
        <w:t>6</w:t>
      </w:r>
      <w:r w:rsidR="00275F0E">
        <w:t> </w:t>
      </w:r>
      <w:r>
        <w:t>million</w:t>
      </w:r>
      <w:r>
        <w:rPr>
          <w:vertAlign w:val="superscript"/>
        </w:rPr>
        <w:footnoteReference w:id="8"/>
      </w:r>
      <w:r>
        <w:t xml:space="preserve">. </w:t>
      </w:r>
      <w:r w:rsidRPr="00946612">
        <w:t>This expenditure was funded by the budget's initial appropriations</w:t>
      </w:r>
      <w:r w:rsidR="007C1663" w:rsidRPr="0012273F">
        <w:t xml:space="preserve"> and</w:t>
      </w:r>
      <w:r w:rsidRPr="000B6385">
        <w:t xml:space="preserve"> by using revenue assigned to the EAGF. </w:t>
      </w:r>
      <w:r w:rsidR="00415D7A" w:rsidRPr="000A3695">
        <w:t>F</w:t>
      </w:r>
      <w:r w:rsidRPr="00645EC5">
        <w:t xml:space="preserve">rom the </w:t>
      </w:r>
      <w:r w:rsidRPr="003C3575">
        <w:t>EUR</w:t>
      </w:r>
      <w:r w:rsidR="003C3575">
        <w:t> </w:t>
      </w:r>
      <w:r w:rsidRPr="003C3575">
        <w:t>6</w:t>
      </w:r>
      <w:r w:rsidR="008B73A9" w:rsidRPr="003C3575">
        <w:t>2</w:t>
      </w:r>
      <w:r w:rsidR="18EE983A" w:rsidRPr="003C3575">
        <w:t>3</w:t>
      </w:r>
      <w:r w:rsidR="00415D7A" w:rsidRPr="00946612">
        <w:t>.</w:t>
      </w:r>
      <w:r w:rsidR="6A204EEE" w:rsidRPr="00946612">
        <w:t>9</w:t>
      </w:r>
      <w:r w:rsidR="00415D7A" w:rsidRPr="00946612">
        <w:t xml:space="preserve"> </w:t>
      </w:r>
      <w:r w:rsidRPr="0012273F">
        <w:t xml:space="preserve">million revenue </w:t>
      </w:r>
      <w:r w:rsidR="008B73A9" w:rsidRPr="000B6385">
        <w:t xml:space="preserve">assigned </w:t>
      </w:r>
      <w:r w:rsidR="00415D7A" w:rsidRPr="000A3695">
        <w:t xml:space="preserve">to the EAGF </w:t>
      </w:r>
      <w:r w:rsidRPr="00645EC5">
        <w:t>collected in 202</w:t>
      </w:r>
      <w:r w:rsidR="00680014">
        <w:t>3</w:t>
      </w:r>
      <w:r w:rsidR="00FD7CDA" w:rsidRPr="00A03C49">
        <w:t>,</w:t>
      </w:r>
      <w:r w:rsidRPr="00806DFF">
        <w:t xml:space="preserve"> EUR</w:t>
      </w:r>
      <w:r w:rsidR="003C3575">
        <w:t> </w:t>
      </w:r>
      <w:r w:rsidR="12468673" w:rsidRPr="00946612">
        <w:t>283</w:t>
      </w:r>
      <w:r w:rsidR="008B73A9" w:rsidRPr="00946612">
        <w:t>.</w:t>
      </w:r>
      <w:r w:rsidR="1A83AF36" w:rsidRPr="00946612">
        <w:t>6</w:t>
      </w:r>
      <w:r w:rsidR="00415D7A" w:rsidRPr="00946612">
        <w:t xml:space="preserve"> </w:t>
      </w:r>
      <w:r w:rsidRPr="0012273F">
        <w:t xml:space="preserve">million was </w:t>
      </w:r>
      <w:r w:rsidR="00CC4B2B">
        <w:t>used to cover payment</w:t>
      </w:r>
      <w:r w:rsidR="009D3C07">
        <w:t xml:space="preserve"> needs</w:t>
      </w:r>
      <w:r w:rsidRPr="00946612">
        <w:t>.</w:t>
      </w:r>
    </w:p>
    <w:p w14:paraId="28486714" w14:textId="41C812E6" w:rsidR="00ED794D" w:rsidRDefault="7C74DD14" w:rsidP="00A44A15">
      <w:pPr>
        <w:pStyle w:val="Text1"/>
        <w:ind w:left="851"/>
      </w:pPr>
      <w:r>
        <w:t>Within chapter 08 01</w:t>
      </w:r>
      <w:r w:rsidR="21B303E2">
        <w:t xml:space="preserve">, the </w:t>
      </w:r>
      <w:r w:rsidR="12F8D0F8">
        <w:t xml:space="preserve">EAGF commitments </w:t>
      </w:r>
      <w:r w:rsidR="36F16358">
        <w:t>for adminstrative support expenditure</w:t>
      </w:r>
      <w:r w:rsidR="3D5A173D">
        <w:t xml:space="preserve"> under article 08 01 01,</w:t>
      </w:r>
      <w:r w:rsidR="36F16358">
        <w:t xml:space="preserve"> amounted to </w:t>
      </w:r>
      <w:r w:rsidR="057DAB74">
        <w:t>EUR</w:t>
      </w:r>
      <w:r w:rsidR="003C3575">
        <w:t> </w:t>
      </w:r>
      <w:r w:rsidR="057DAB74">
        <w:t>4.3 million</w:t>
      </w:r>
      <w:r w:rsidR="3F2150EF">
        <w:t>.</w:t>
      </w:r>
    </w:p>
    <w:p w14:paraId="0961C9D8" w14:textId="13EEDAA9" w:rsidR="00A44A15" w:rsidRDefault="00A44A15" w:rsidP="00A44A15">
      <w:pPr>
        <w:pStyle w:val="Text1"/>
        <w:ind w:left="851"/>
      </w:pPr>
      <w:r>
        <w:t xml:space="preserve">Within chapter 08 02, the </w:t>
      </w:r>
      <w:r w:rsidR="00D34BBF" w:rsidRPr="004C1AAF">
        <w:t>o</w:t>
      </w:r>
      <w:r w:rsidR="00D34BBF">
        <w:t xml:space="preserve">verall </w:t>
      </w:r>
      <w:r>
        <w:t xml:space="preserve">EAGF expenditure </w:t>
      </w:r>
      <w:r w:rsidR="005D0C55">
        <w:t>for m</w:t>
      </w:r>
      <w:r w:rsidR="005D0C55" w:rsidRPr="008B73A9">
        <w:t xml:space="preserve">arket-related </w:t>
      </w:r>
      <w:r w:rsidR="00CE6EDE">
        <w:t>in</w:t>
      </w:r>
      <w:r w:rsidR="003C3575">
        <w:t>ter</w:t>
      </w:r>
      <w:r w:rsidR="00CE6EDE">
        <w:t>ventions</w:t>
      </w:r>
      <w:r w:rsidR="00A51AB6">
        <w:t xml:space="preserve">, under the CAP plans (budget </w:t>
      </w:r>
      <w:r w:rsidR="00D34BBF">
        <w:t>a</w:t>
      </w:r>
      <w:r w:rsidR="00A51AB6">
        <w:t>rticle 08 02 02) and outside the CAP plans (budget article 08 02 03)</w:t>
      </w:r>
      <w:r w:rsidR="005D0C55" w:rsidRPr="008B73A9">
        <w:t xml:space="preserve"> </w:t>
      </w:r>
      <w:r>
        <w:t>amounted to EUR 2 </w:t>
      </w:r>
      <w:r w:rsidR="00C244E1">
        <w:t>674</w:t>
      </w:r>
      <w:r w:rsidR="000C41F0">
        <w:t xml:space="preserve"> </w:t>
      </w:r>
      <w:r>
        <w:t>million</w:t>
      </w:r>
      <w:r w:rsidR="002025A7">
        <w:t>.</w:t>
      </w:r>
      <w:r>
        <w:t xml:space="preserve"> </w:t>
      </w:r>
      <w:r w:rsidR="00966DB6">
        <w:t xml:space="preserve">Direct payments in financial year 2023 were implemented </w:t>
      </w:r>
      <w:r w:rsidR="00F923AF">
        <w:t>outside the CAP plans</w:t>
      </w:r>
      <w:r w:rsidR="00633706">
        <w:t xml:space="preserve"> (budget article 08 02 05)</w:t>
      </w:r>
      <w:r w:rsidR="00F923AF">
        <w:t xml:space="preserve">, </w:t>
      </w:r>
      <w:r w:rsidR="00966DB6">
        <w:t xml:space="preserve">under the </w:t>
      </w:r>
      <w:r w:rsidR="0010145A">
        <w:t xml:space="preserve">rules provided for in Regulation 1307/2013. The related expenditure amounted to </w:t>
      </w:r>
      <w:r>
        <w:t>EUR 3</w:t>
      </w:r>
      <w:r w:rsidR="0986D177">
        <w:t>8</w:t>
      </w:r>
      <w:r>
        <w:t> </w:t>
      </w:r>
      <w:r w:rsidR="004778DA">
        <w:t>161</w:t>
      </w:r>
      <w:r w:rsidR="000825FE">
        <w:t>.</w:t>
      </w:r>
      <w:r w:rsidR="3B6C840C">
        <w:t>7</w:t>
      </w:r>
      <w:r>
        <w:t xml:space="preserve"> million.</w:t>
      </w:r>
      <w:r w:rsidR="00D612AF">
        <w:t xml:space="preserve"> </w:t>
      </w:r>
      <w:r w:rsidR="00D41915">
        <w:t xml:space="preserve">Additionally, </w:t>
      </w:r>
      <w:r w:rsidR="00B17E58">
        <w:t>EUR</w:t>
      </w:r>
      <w:r w:rsidR="003C3575">
        <w:t> </w:t>
      </w:r>
      <w:r w:rsidR="00B17E58">
        <w:t xml:space="preserve">134.5 million </w:t>
      </w:r>
      <w:r w:rsidR="00D41915">
        <w:t xml:space="preserve">was used from </w:t>
      </w:r>
      <w:r w:rsidR="008B7B4E">
        <w:t xml:space="preserve">the </w:t>
      </w:r>
      <w:r w:rsidR="00D612AF">
        <w:t>agricultural reserve</w:t>
      </w:r>
      <w:r w:rsidR="00914464">
        <w:t xml:space="preserve"> </w:t>
      </w:r>
      <w:r w:rsidR="008B7B4E">
        <w:t xml:space="preserve">to </w:t>
      </w:r>
      <w:r w:rsidR="00D41915">
        <w:t xml:space="preserve">finance various </w:t>
      </w:r>
      <w:r w:rsidR="00D324F3">
        <w:t xml:space="preserve">exceptional support measures. Finally, </w:t>
      </w:r>
      <w:r w:rsidR="00397F13">
        <w:t>EUR</w:t>
      </w:r>
      <w:r w:rsidR="003C3575">
        <w:t> </w:t>
      </w:r>
      <w:r w:rsidR="00397F13">
        <w:t xml:space="preserve">159.1 million were </w:t>
      </w:r>
      <w:r w:rsidR="005E52B0">
        <w:t xml:space="preserve">committed </w:t>
      </w:r>
      <w:r w:rsidR="00B53F54">
        <w:t xml:space="preserve">under articles 08 02 06 – Policy strategy, coordination and audit and 08 02 99 </w:t>
      </w:r>
      <w:r w:rsidR="00EC3DFB">
        <w:t>–</w:t>
      </w:r>
      <w:r w:rsidR="00B53F54">
        <w:t xml:space="preserve"> </w:t>
      </w:r>
      <w:r w:rsidR="00EC3DFB">
        <w:t>Completion of previous programmes and activities.</w:t>
      </w:r>
    </w:p>
    <w:p w14:paraId="393E7302" w14:textId="6EEFE77C" w:rsidR="00AF4140" w:rsidRDefault="29504D58" w:rsidP="00A44A15">
      <w:pPr>
        <w:pStyle w:val="Text1"/>
        <w:ind w:left="851"/>
      </w:pPr>
      <w:r>
        <w:t xml:space="preserve">The under-execution </w:t>
      </w:r>
      <w:r w:rsidR="3355FDD6">
        <w:t xml:space="preserve">for the EAGF </w:t>
      </w:r>
      <w:r>
        <w:t>was EUR</w:t>
      </w:r>
      <w:r w:rsidR="003C3575">
        <w:t> </w:t>
      </w:r>
      <w:r>
        <w:t>3</w:t>
      </w:r>
      <w:r w:rsidR="5347C2B5">
        <w:t>4</w:t>
      </w:r>
      <w:r w:rsidR="00FC4292">
        <w:t>1</w:t>
      </w:r>
      <w:r w:rsidR="5347C2B5">
        <w:t>.</w:t>
      </w:r>
      <w:r>
        <w:t xml:space="preserve">3 million </w:t>
      </w:r>
      <w:r w:rsidR="0AC993C5">
        <w:t xml:space="preserve">in assigned revenue appropriations, which were carried over to </w:t>
      </w:r>
      <w:r w:rsidR="6CDD6349">
        <w:t xml:space="preserve">year </w:t>
      </w:r>
      <w:r w:rsidR="0AC993C5">
        <w:t>2024</w:t>
      </w:r>
      <w:r w:rsidR="6CDD6349">
        <w:t>.</w:t>
      </w:r>
      <w:r>
        <w:t xml:space="preserve"> </w:t>
      </w:r>
      <w:r w:rsidR="6DE4DFCD">
        <w:t>Furthermore, t</w:t>
      </w:r>
      <w:r w:rsidR="47B7DC65">
        <w:t>he unused appropriations from the agricultural reserve amount</w:t>
      </w:r>
      <w:r w:rsidR="7F132224">
        <w:t>ed</w:t>
      </w:r>
      <w:r w:rsidR="47B7DC65">
        <w:t xml:space="preserve"> to EUR</w:t>
      </w:r>
      <w:r w:rsidR="003C3575">
        <w:t> </w:t>
      </w:r>
      <w:r w:rsidR="47B7DC65">
        <w:t>315.5 million</w:t>
      </w:r>
      <w:r w:rsidR="7F132224">
        <w:t>. This was</w:t>
      </w:r>
      <w:r w:rsidR="47B7DC65">
        <w:t xml:space="preserve"> </w:t>
      </w:r>
      <w:r w:rsidR="4996F462">
        <w:t xml:space="preserve">due to </w:t>
      </w:r>
      <w:r w:rsidR="7F132224">
        <w:t xml:space="preserve">the </w:t>
      </w:r>
      <w:r w:rsidR="3BC3A2C7">
        <w:t>late publication of the 2nd and 3rd support packages</w:t>
      </w:r>
      <w:r w:rsidR="6DE4DFCD">
        <w:t xml:space="preserve"> in 2023</w:t>
      </w:r>
      <w:r w:rsidR="7F132224">
        <w:t xml:space="preserve">. The full amount was carried over to the 2024 agricultural reserve, in line with the provisions of Article 16 of Regulation 2021/2116, </w:t>
      </w:r>
      <w:r w:rsidR="71CB8C3A">
        <w:t>to</w:t>
      </w:r>
      <w:r w:rsidR="7F132224">
        <w:t xml:space="preserve"> finance the remaining expenditure related to the 2023 </w:t>
      </w:r>
      <w:r w:rsidR="6DE4DFCD">
        <w:t xml:space="preserve">exceptional </w:t>
      </w:r>
      <w:r w:rsidR="7F132224">
        <w:t>measures.</w:t>
      </w:r>
    </w:p>
    <w:p w14:paraId="078915C0" w14:textId="4CC7BBCD" w:rsidR="00A068FF" w:rsidRDefault="1BFC6801" w:rsidP="00A44A15">
      <w:pPr>
        <w:pStyle w:val="Text1"/>
        <w:ind w:left="851"/>
      </w:pPr>
      <w:r>
        <w:t>For details of the budget implementation by policy area</w:t>
      </w:r>
      <w:r w:rsidR="5BEA6D30">
        <w:t xml:space="preserve"> as well as on the use of the assigned revenue please consult</w:t>
      </w:r>
      <w:r w:rsidR="60625F61">
        <w:t xml:space="preserve"> annex 8, annex 9, annex 10, annex 11 and annex 12.</w:t>
      </w:r>
    </w:p>
    <w:p w14:paraId="7FEC7E90" w14:textId="2A6D5078" w:rsidR="00F22803" w:rsidRDefault="166B8160" w:rsidP="00B36033">
      <w:pPr>
        <w:pStyle w:val="ManualHeading2"/>
        <w:spacing w:before="360" w:after="160"/>
        <w:ind w:left="851" w:hanging="851"/>
        <w:rPr>
          <w:noProof/>
        </w:rPr>
      </w:pPr>
      <w:bookmarkStart w:id="44" w:name="_Toc173181058"/>
      <w:r w:rsidRPr="57DE3101">
        <w:rPr>
          <w:noProof/>
        </w:rPr>
        <w:t>3.2.</w:t>
      </w:r>
      <w:r w:rsidR="00F22803">
        <w:rPr>
          <w:noProof/>
        </w:rPr>
        <w:tab/>
      </w:r>
      <w:r w:rsidRPr="57DE3101">
        <w:rPr>
          <w:noProof/>
        </w:rPr>
        <w:t xml:space="preserve">European Agricultural Fund for Rural Development (EAFRD) and </w:t>
      </w:r>
      <w:r w:rsidR="544A8FB5" w:rsidRPr="57DE3101">
        <w:rPr>
          <w:noProof/>
        </w:rPr>
        <w:t>European Union Recovery Instrument (</w:t>
      </w:r>
      <w:r w:rsidRPr="57DE3101">
        <w:rPr>
          <w:noProof/>
        </w:rPr>
        <w:t>EURI</w:t>
      </w:r>
      <w:r w:rsidR="7C9C930E" w:rsidRPr="57DE3101">
        <w:rPr>
          <w:noProof/>
        </w:rPr>
        <w:t>)</w:t>
      </w:r>
      <w:bookmarkEnd w:id="44"/>
    </w:p>
    <w:p w14:paraId="2CF7E207" w14:textId="2EDBFB79" w:rsidR="00AB4DB3" w:rsidRDefault="7E197CE2" w:rsidP="00AB4DB3">
      <w:pPr>
        <w:pStyle w:val="Text1"/>
        <w:ind w:left="851"/>
      </w:pPr>
      <w:r>
        <w:t>The implementation of the EA</w:t>
      </w:r>
      <w:r w:rsidR="412228A6">
        <w:t>FR</w:t>
      </w:r>
      <w:r w:rsidR="6086C3FA">
        <w:t>D</w:t>
      </w:r>
      <w:r>
        <w:t xml:space="preserve"> </w:t>
      </w:r>
      <w:r w:rsidR="6086C3FA">
        <w:t xml:space="preserve">commitment </w:t>
      </w:r>
      <w:r>
        <w:t>appropriations amounted to EUR </w:t>
      </w:r>
      <w:r w:rsidR="6086C3FA">
        <w:t>12</w:t>
      </w:r>
      <w:r>
        <w:t> </w:t>
      </w:r>
      <w:r w:rsidR="6086C3FA">
        <w:t>953</w:t>
      </w:r>
      <w:r>
        <w:t>.</w:t>
      </w:r>
      <w:r w:rsidR="6086C3FA">
        <w:t>5</w:t>
      </w:r>
      <w:r>
        <w:t> million</w:t>
      </w:r>
      <w:r w:rsidR="2953EF27" w:rsidRPr="57DE3101">
        <w:rPr>
          <w:vertAlign w:val="superscript"/>
        </w:rPr>
        <w:t xml:space="preserve"> </w:t>
      </w:r>
      <w:r>
        <w:t>(</w:t>
      </w:r>
      <w:r w:rsidR="004928C0">
        <w:t>a</w:t>
      </w:r>
      <w:r>
        <w:t xml:space="preserve">nnex </w:t>
      </w:r>
      <w:r w:rsidR="60C746AA">
        <w:t>13</w:t>
      </w:r>
      <w:r>
        <w:t xml:space="preserve">). This </w:t>
      </w:r>
      <w:r w:rsidR="0637640D">
        <w:t>commitment</w:t>
      </w:r>
      <w:r>
        <w:t xml:space="preserve"> was funded by the </w:t>
      </w:r>
      <w:r w:rsidR="0566D46E">
        <w:t xml:space="preserve">voted </w:t>
      </w:r>
      <w:r>
        <w:t xml:space="preserve">budget's initial appropriations and by using the </w:t>
      </w:r>
      <w:r w:rsidR="0566D46E">
        <w:t>EAFRD internal assigned revenues</w:t>
      </w:r>
      <w:r>
        <w:t xml:space="preserve">. </w:t>
      </w:r>
    </w:p>
    <w:p w14:paraId="55116954" w14:textId="3269199C" w:rsidR="00F27ACB" w:rsidRDefault="7E197CE2" w:rsidP="00AB4DB3">
      <w:pPr>
        <w:pStyle w:val="Text1"/>
        <w:ind w:left="851"/>
      </w:pPr>
      <w:r>
        <w:t xml:space="preserve">Within chapter 08 </w:t>
      </w:r>
      <w:r w:rsidR="6A47D2FF">
        <w:t>01</w:t>
      </w:r>
      <w:r>
        <w:t>, the E</w:t>
      </w:r>
      <w:r w:rsidR="3882B16B">
        <w:t>AFRD</w:t>
      </w:r>
      <w:r>
        <w:t xml:space="preserve"> </w:t>
      </w:r>
      <w:r w:rsidR="5D374981">
        <w:t xml:space="preserve">committed </w:t>
      </w:r>
      <w:r w:rsidR="77085089">
        <w:t xml:space="preserve">amount was </w:t>
      </w:r>
      <w:r>
        <w:t>EUR </w:t>
      </w:r>
      <w:r w:rsidR="436EC533">
        <w:t>2</w:t>
      </w:r>
      <w:r>
        <w:t>.</w:t>
      </w:r>
      <w:r w:rsidR="47B734F8">
        <w:t>2</w:t>
      </w:r>
      <w:r>
        <w:t xml:space="preserve"> million for </w:t>
      </w:r>
      <w:r w:rsidR="77085089">
        <w:t xml:space="preserve">administrative </w:t>
      </w:r>
      <w:r w:rsidR="2A84665B">
        <w:t xml:space="preserve">support to the </w:t>
      </w:r>
      <w:r w:rsidR="6BA2EBDC">
        <w:t>program</w:t>
      </w:r>
      <w:r w:rsidR="3415AB59">
        <w:t xml:space="preserve">. </w:t>
      </w:r>
    </w:p>
    <w:p w14:paraId="536B19E9" w14:textId="5DBA73FF" w:rsidR="00436C21" w:rsidRDefault="6FAAADA4" w:rsidP="00AB4DB3">
      <w:pPr>
        <w:pStyle w:val="Text1"/>
        <w:ind w:left="851"/>
      </w:pPr>
      <w:r>
        <w:t xml:space="preserve">Within </w:t>
      </w:r>
      <w:r w:rsidR="05793F29">
        <w:t>chapter 08</w:t>
      </w:r>
      <w:r w:rsidR="2C5F8A6E">
        <w:t xml:space="preserve"> 0</w:t>
      </w:r>
      <w:r w:rsidR="26AE1F3C">
        <w:t>3</w:t>
      </w:r>
      <w:r w:rsidR="39DE448B">
        <w:t xml:space="preserve">, </w:t>
      </w:r>
      <w:r w:rsidR="0EB06D08">
        <w:t xml:space="preserve">beside the committed </w:t>
      </w:r>
      <w:r w:rsidR="38E8CA5A">
        <w:t xml:space="preserve">amount </w:t>
      </w:r>
      <w:r w:rsidR="0EB06D08">
        <w:t xml:space="preserve">related to the implementation of </w:t>
      </w:r>
      <w:r w:rsidR="54CF9E6C">
        <w:t>types of intervention under the C</w:t>
      </w:r>
      <w:r w:rsidR="7B7F9CE5">
        <w:t>AP</w:t>
      </w:r>
      <w:r w:rsidR="54CF9E6C">
        <w:t xml:space="preserve"> </w:t>
      </w:r>
      <w:r w:rsidR="55E6DCE5">
        <w:t>S</w:t>
      </w:r>
      <w:r w:rsidR="54CF9E6C">
        <w:t xml:space="preserve">trategic </w:t>
      </w:r>
      <w:r w:rsidR="55E6DCE5">
        <w:t>P</w:t>
      </w:r>
      <w:r w:rsidR="54CF9E6C">
        <w:t>lan</w:t>
      </w:r>
      <w:r w:rsidR="66A8C427">
        <w:t>s</w:t>
      </w:r>
      <w:r w:rsidR="3E9E41F5">
        <w:t xml:space="preserve"> </w:t>
      </w:r>
      <w:r w:rsidR="61695E69">
        <w:t>(EUR</w:t>
      </w:r>
      <w:r w:rsidR="00177C3A">
        <w:t> </w:t>
      </w:r>
      <w:r w:rsidR="51D10869">
        <w:t>12 90</w:t>
      </w:r>
      <w:r w:rsidR="1246626E">
        <w:t>4</w:t>
      </w:r>
      <w:r w:rsidR="00177C3A">
        <w:t>.</w:t>
      </w:r>
      <w:r w:rsidR="1246626E">
        <w:t>4</w:t>
      </w:r>
      <w:r w:rsidR="712C0AEA">
        <w:t xml:space="preserve"> million)</w:t>
      </w:r>
      <w:r w:rsidR="2F1481F2">
        <w:t xml:space="preserve"> there was:</w:t>
      </w:r>
    </w:p>
    <w:p w14:paraId="0D4D2C7A" w14:textId="5157C5E3" w:rsidR="003E67F3" w:rsidRDefault="17832E1B" w:rsidP="00436C21">
      <w:pPr>
        <w:pStyle w:val="Text1"/>
        <w:numPr>
          <w:ilvl w:val="0"/>
          <w:numId w:val="40"/>
        </w:numPr>
      </w:pPr>
      <w:r>
        <w:t>E</w:t>
      </w:r>
      <w:r w:rsidR="5BE96B41">
        <w:t>UR</w:t>
      </w:r>
      <w:r w:rsidR="00177C3A">
        <w:t> </w:t>
      </w:r>
      <w:r w:rsidR="0C3AFBBF">
        <w:t>28</w:t>
      </w:r>
      <w:r w:rsidR="00177C3A">
        <w:t>.</w:t>
      </w:r>
      <w:r w:rsidR="5BE96B41">
        <w:t xml:space="preserve">1 million </w:t>
      </w:r>
      <w:r w:rsidR="18F0398C">
        <w:t xml:space="preserve">committed </w:t>
      </w:r>
      <w:r w:rsidR="35AA677D">
        <w:t xml:space="preserve">amount </w:t>
      </w:r>
      <w:r w:rsidR="4A63364F">
        <w:t xml:space="preserve">for </w:t>
      </w:r>
      <w:r w:rsidR="2BBEB21A">
        <w:t>o</w:t>
      </w:r>
      <w:r w:rsidR="629845F8">
        <w:t xml:space="preserve">perational </w:t>
      </w:r>
      <w:r w:rsidR="2C9185BB">
        <w:t>t</w:t>
      </w:r>
      <w:r w:rsidR="4A63364F">
        <w:t xml:space="preserve">echnical </w:t>
      </w:r>
      <w:r w:rsidR="27C18F46">
        <w:t>a</w:t>
      </w:r>
      <w:r w:rsidR="4A63364F">
        <w:t>ssis</w:t>
      </w:r>
      <w:r w:rsidR="7F58D9F0">
        <w:t>tance</w:t>
      </w:r>
    </w:p>
    <w:p w14:paraId="3FCDCD12" w14:textId="39A5706B" w:rsidR="00A254D0" w:rsidRDefault="62AF756C" w:rsidP="00A254D0">
      <w:pPr>
        <w:pStyle w:val="Text1"/>
        <w:numPr>
          <w:ilvl w:val="0"/>
          <w:numId w:val="40"/>
        </w:numPr>
      </w:pPr>
      <w:r>
        <w:t>EUR</w:t>
      </w:r>
      <w:r w:rsidR="00177C3A">
        <w:t> </w:t>
      </w:r>
      <w:r w:rsidR="31BCE8F2">
        <w:t>18</w:t>
      </w:r>
      <w:r w:rsidR="00177C3A">
        <w:t>.</w:t>
      </w:r>
      <w:r w:rsidR="741116AD">
        <w:t xml:space="preserve">8 million </w:t>
      </w:r>
      <w:r w:rsidR="0A780E28">
        <w:t xml:space="preserve">committed </w:t>
      </w:r>
      <w:r w:rsidR="35AA677D">
        <w:t xml:space="preserve">amount </w:t>
      </w:r>
      <w:r w:rsidR="0A780E28">
        <w:t xml:space="preserve">for </w:t>
      </w:r>
      <w:r w:rsidR="41307DFA">
        <w:t>p</w:t>
      </w:r>
      <w:r w:rsidR="7AF10AE9">
        <w:t>ayback operation</w:t>
      </w:r>
      <w:r w:rsidR="35AA677D">
        <w:t>s</w:t>
      </w:r>
      <w:r w:rsidR="7AF10AE9">
        <w:t xml:space="preserve"> for </w:t>
      </w:r>
      <w:r w:rsidR="0EDD5FF7">
        <w:t>Rural development Programmes</w:t>
      </w:r>
      <w:r w:rsidR="05EB467E">
        <w:t xml:space="preserve"> </w:t>
      </w:r>
      <w:r w:rsidR="058119F3">
        <w:t>in the previous periods (prio</w:t>
      </w:r>
      <w:r w:rsidR="76589E93">
        <w:t xml:space="preserve">r </w:t>
      </w:r>
      <w:r w:rsidR="66925ECB">
        <w:t xml:space="preserve">to </w:t>
      </w:r>
      <w:r w:rsidR="76589E93">
        <w:t>2023)</w:t>
      </w:r>
      <w:r w:rsidR="0BB0F3FD">
        <w:t>.</w:t>
      </w:r>
    </w:p>
    <w:p w14:paraId="20077787" w14:textId="3F03AB25" w:rsidR="00501417" w:rsidRDefault="00501417" w:rsidP="00A254D0">
      <w:pPr>
        <w:pStyle w:val="Text1"/>
        <w:ind w:left="851"/>
      </w:pPr>
      <w:r w:rsidRPr="00501417">
        <w:t>Absorption rate of EAFRD 2014-2022 and EAFRD 2023-2027 by Member State</w:t>
      </w:r>
      <w:r w:rsidR="001D07EE">
        <w:t xml:space="preserve"> (Graph</w:t>
      </w:r>
      <w:r w:rsidR="00C441FB">
        <w:t>s</w:t>
      </w:r>
      <w:r w:rsidR="001D07EE">
        <w:t xml:space="preserve"> 1a-d)</w:t>
      </w:r>
      <w:r>
        <w:t>:</w:t>
      </w:r>
    </w:p>
    <w:p w14:paraId="10B90BE0" w14:textId="77777777" w:rsidR="00474081" w:rsidRDefault="00474081" w:rsidP="00A254D0">
      <w:pPr>
        <w:pStyle w:val="Text1"/>
        <w:ind w:left="851"/>
      </w:pPr>
    </w:p>
    <w:p w14:paraId="130B5288" w14:textId="2988758F" w:rsidR="004928C0" w:rsidRDefault="001D07EE" w:rsidP="00A254D0">
      <w:pPr>
        <w:pStyle w:val="Text1"/>
        <w:ind w:left="851"/>
      </w:pPr>
      <w:r w:rsidRPr="007529B3">
        <w:rPr>
          <w:lang w:val="en-GB" w:eastAsia="en-GB"/>
        </w:rPr>
        <w:drawing>
          <wp:inline distT="0" distB="0" distL="0" distR="0" wp14:anchorId="7312C257" wp14:editId="4D675774">
            <wp:extent cx="5383033" cy="333939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96015" cy="3347452"/>
                    </a:xfrm>
                    <a:prstGeom prst="rect">
                      <a:avLst/>
                    </a:prstGeom>
                    <a:noFill/>
                    <a:ln>
                      <a:noFill/>
                    </a:ln>
                  </pic:spPr>
                </pic:pic>
              </a:graphicData>
            </a:graphic>
          </wp:inline>
        </w:drawing>
      </w:r>
    </w:p>
    <w:p w14:paraId="01A94DBD" w14:textId="08831767" w:rsidR="00BC2DA2" w:rsidRDefault="00BC2DA2" w:rsidP="007E0E8A">
      <w:pPr>
        <w:pStyle w:val="Text1"/>
        <w:ind w:left="284"/>
        <w:jc w:val="left"/>
      </w:pPr>
    </w:p>
    <w:p w14:paraId="63766D19" w14:textId="68BC4B2D" w:rsidR="00346A0F" w:rsidRDefault="001D07EE" w:rsidP="00A254D0">
      <w:pPr>
        <w:pStyle w:val="Text1"/>
        <w:ind w:left="851"/>
      </w:pPr>
      <w:r w:rsidRPr="009A6DE2">
        <w:rPr>
          <w:lang w:val="en-GB" w:eastAsia="en-GB"/>
        </w:rPr>
        <w:drawing>
          <wp:inline distT="0" distB="0" distL="0" distR="0" wp14:anchorId="1A9CE26E" wp14:editId="1670951E">
            <wp:extent cx="5462546" cy="33972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64694" cy="3398586"/>
                    </a:xfrm>
                    <a:prstGeom prst="rect">
                      <a:avLst/>
                    </a:prstGeom>
                    <a:noFill/>
                    <a:ln>
                      <a:noFill/>
                    </a:ln>
                  </pic:spPr>
                </pic:pic>
              </a:graphicData>
            </a:graphic>
          </wp:inline>
        </w:drawing>
      </w:r>
    </w:p>
    <w:p w14:paraId="2F8B0BD6" w14:textId="22E92E7E" w:rsidR="00696124" w:rsidRDefault="00423A61" w:rsidP="001D07EE">
      <w:pPr>
        <w:pStyle w:val="Text1"/>
        <w:ind w:left="851"/>
      </w:pPr>
      <w:r w:rsidRPr="00423A61">
        <w:rPr>
          <w:lang w:val="en-GB" w:eastAsia="en-GB"/>
        </w:rPr>
        <w:drawing>
          <wp:inline distT="0" distB="0" distL="0" distR="0" wp14:anchorId="38F3350C" wp14:editId="71669A85">
            <wp:extent cx="5462270" cy="3649345"/>
            <wp:effectExtent l="0" t="0" r="508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70444" cy="3654806"/>
                    </a:xfrm>
                    <a:prstGeom prst="rect">
                      <a:avLst/>
                    </a:prstGeom>
                    <a:noFill/>
                    <a:ln>
                      <a:noFill/>
                    </a:ln>
                  </pic:spPr>
                </pic:pic>
              </a:graphicData>
            </a:graphic>
          </wp:inline>
        </w:drawing>
      </w:r>
    </w:p>
    <w:p w14:paraId="5CD651E8" w14:textId="409B5831" w:rsidR="00696119" w:rsidRDefault="00696119" w:rsidP="00A254D0">
      <w:pPr>
        <w:pStyle w:val="Text1"/>
        <w:ind w:left="851"/>
      </w:pPr>
    </w:p>
    <w:p w14:paraId="424937B7" w14:textId="3D4095AC" w:rsidR="00423A61" w:rsidRDefault="00C50376" w:rsidP="001D07EE">
      <w:pPr>
        <w:pStyle w:val="Text1"/>
        <w:ind w:left="851"/>
      </w:pPr>
      <w:r>
        <w:rPr>
          <w:lang w:val="en-GB" w:eastAsia="en-GB"/>
        </w:rPr>
        <w:drawing>
          <wp:inline distT="0" distB="0" distL="0" distR="0" wp14:anchorId="75467785" wp14:editId="1EDA7C9C">
            <wp:extent cx="5448406" cy="3291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05473" cy="3326319"/>
                    </a:xfrm>
                    <a:prstGeom prst="rect">
                      <a:avLst/>
                    </a:prstGeom>
                    <a:noFill/>
                  </pic:spPr>
                </pic:pic>
              </a:graphicData>
            </a:graphic>
          </wp:inline>
        </w:drawing>
      </w:r>
    </w:p>
    <w:p w14:paraId="7670B588" w14:textId="77777777" w:rsidR="00474081" w:rsidRDefault="00474081" w:rsidP="00686BE5">
      <w:pPr>
        <w:pStyle w:val="Text1"/>
        <w:ind w:left="851"/>
      </w:pPr>
    </w:p>
    <w:p w14:paraId="5EBB9197" w14:textId="4B818146" w:rsidR="00AB4DB3" w:rsidRPr="00E02A5F" w:rsidRDefault="7E197CE2" w:rsidP="00686BE5">
      <w:pPr>
        <w:pStyle w:val="Text1"/>
        <w:ind w:left="851"/>
      </w:pPr>
      <w:r>
        <w:t xml:space="preserve">For details of the budget implementation by </w:t>
      </w:r>
      <w:r w:rsidR="541DF441">
        <w:t>M</w:t>
      </w:r>
      <w:r w:rsidR="6AFFA7B4">
        <w:t xml:space="preserve">ember </w:t>
      </w:r>
      <w:r w:rsidR="144F9FB5">
        <w:t>S</w:t>
      </w:r>
      <w:r w:rsidR="6AFFA7B4">
        <w:t>tate</w:t>
      </w:r>
      <w:r w:rsidR="5F65F82C">
        <w:t xml:space="preserve"> and by</w:t>
      </w:r>
      <w:r w:rsidR="6AFFA7B4">
        <w:t xml:space="preserve"> </w:t>
      </w:r>
      <w:r>
        <w:t>policy area as well as on the use of the assigned revenue please consult</w:t>
      </w:r>
      <w:r w:rsidR="404BF43A">
        <w:t xml:space="preserve"> annex</w:t>
      </w:r>
      <w:r w:rsidR="003C0B12">
        <w:t>es</w:t>
      </w:r>
      <w:r w:rsidR="404BF43A">
        <w:t xml:space="preserve"> 14</w:t>
      </w:r>
      <w:r w:rsidR="003C0B12">
        <w:t xml:space="preserve"> to </w:t>
      </w:r>
      <w:r w:rsidR="3556907D">
        <w:t>1</w:t>
      </w:r>
      <w:r w:rsidR="2A477E56">
        <w:t>8</w:t>
      </w:r>
      <w:r w:rsidR="07550F1E">
        <w:t>.</w:t>
      </w:r>
    </w:p>
    <w:p w14:paraId="5048EE7D" w14:textId="6028E422" w:rsidR="00A44A15" w:rsidRPr="00687990" w:rsidRDefault="00783DE4" w:rsidP="00687990">
      <w:pPr>
        <w:pStyle w:val="ManualHeading1"/>
        <w:spacing w:after="160"/>
        <w:ind w:left="851" w:hanging="851"/>
        <w:rPr>
          <w:noProof/>
        </w:rPr>
      </w:pPr>
      <w:bookmarkStart w:id="45" w:name="DQC4262"/>
      <w:bookmarkStart w:id="46" w:name="DQC4263"/>
      <w:bookmarkStart w:id="47" w:name="_Toc322938639"/>
      <w:bookmarkStart w:id="48" w:name="_Toc102661874"/>
      <w:bookmarkStart w:id="49" w:name="_Toc105773228"/>
      <w:bookmarkStart w:id="50" w:name="_Toc139622280"/>
      <w:bookmarkStart w:id="51" w:name="_Toc173181059"/>
      <w:bookmarkEnd w:id="45"/>
      <w:bookmarkEnd w:id="46"/>
      <w:r w:rsidRPr="00687990">
        <w:rPr>
          <w:noProof/>
        </w:rPr>
        <w:t>4</w:t>
      </w:r>
      <w:r w:rsidR="44A3232F" w:rsidRPr="00687990">
        <w:rPr>
          <w:noProof/>
        </w:rPr>
        <w:t>.</w:t>
      </w:r>
      <w:r w:rsidRPr="00687990">
        <w:rPr>
          <w:noProof/>
        </w:rPr>
        <w:tab/>
      </w:r>
      <w:r w:rsidR="44A3232F" w:rsidRPr="00687990">
        <w:rPr>
          <w:noProof/>
        </w:rPr>
        <w:t>CONTROL MEASURES</w:t>
      </w:r>
      <w:bookmarkEnd w:id="47"/>
      <w:bookmarkEnd w:id="48"/>
      <w:bookmarkEnd w:id="49"/>
      <w:bookmarkEnd w:id="50"/>
      <w:bookmarkEnd w:id="51"/>
      <w:r w:rsidR="44A3232F" w:rsidRPr="00687990">
        <w:rPr>
          <w:noProof/>
        </w:rPr>
        <w:t xml:space="preserve"> </w:t>
      </w:r>
    </w:p>
    <w:p w14:paraId="18F205DB" w14:textId="63F4130F" w:rsidR="00A44A15" w:rsidRDefault="0003316B" w:rsidP="00C441FB">
      <w:pPr>
        <w:pStyle w:val="ManualHeading2"/>
        <w:spacing w:after="160"/>
        <w:ind w:left="851" w:hanging="851"/>
        <w:rPr>
          <w:noProof/>
        </w:rPr>
      </w:pPr>
      <w:bookmarkStart w:id="52" w:name="_Toc322938640"/>
      <w:bookmarkStart w:id="53" w:name="_Toc102661875"/>
      <w:bookmarkStart w:id="54" w:name="_Toc105773229"/>
      <w:bookmarkStart w:id="55" w:name="_Toc139622281"/>
      <w:bookmarkStart w:id="56" w:name="_Toc173181060"/>
      <w:r w:rsidRPr="6AF0C460">
        <w:rPr>
          <w:noProof/>
        </w:rPr>
        <w:t>4.</w:t>
      </w:r>
      <w:r w:rsidR="00A44A15" w:rsidRPr="6AF0C460">
        <w:rPr>
          <w:noProof/>
        </w:rPr>
        <w:t>1.</w:t>
      </w:r>
      <w:r w:rsidR="00783DE4">
        <w:rPr>
          <w:noProof/>
        </w:rPr>
        <w:tab/>
      </w:r>
      <w:r w:rsidR="00A44A15" w:rsidRPr="6AF0C460">
        <w:rPr>
          <w:noProof/>
        </w:rPr>
        <w:t>Introduction</w:t>
      </w:r>
      <w:bookmarkEnd w:id="52"/>
      <w:bookmarkEnd w:id="53"/>
      <w:bookmarkEnd w:id="54"/>
      <w:bookmarkEnd w:id="55"/>
      <w:bookmarkEnd w:id="56"/>
    </w:p>
    <w:p w14:paraId="17D7713C" w14:textId="7BB3DCF0" w:rsidR="00A44A15" w:rsidRDefault="00A44A15" w:rsidP="00A44A15">
      <w:pPr>
        <w:pStyle w:val="Text1"/>
      </w:pPr>
      <w:r>
        <w:t xml:space="preserve">In accordance with the EU legislation and as in previous years, the </w:t>
      </w:r>
      <w:r w:rsidR="0061016D">
        <w:t xml:space="preserve">2023 </w:t>
      </w:r>
      <w:r>
        <w:t>agricultural expenditure was submitted to a comprehensive system of control measures.</w:t>
      </w:r>
    </w:p>
    <w:p w14:paraId="3F1FD9FF" w14:textId="77777777" w:rsidR="00A44A15" w:rsidRDefault="00A44A15" w:rsidP="00A44A15">
      <w:pPr>
        <w:pStyle w:val="Text1"/>
      </w:pPr>
      <w:r>
        <w:t>The controls are carried out by the paying agencies or by delegated bodies operating under their supervision and effective, dissuasive and proportionate sanctions are imposed if the controls reveal non-compliance with EU rules. In addition, for most regimes which are not subject to the Integrated Administration and Control System, on top of the primary and secondary control levels, ex-post controls must be carried out.</w:t>
      </w:r>
    </w:p>
    <w:p w14:paraId="43FAE540" w14:textId="3B3BBBF5" w:rsidR="00A44A15" w:rsidRDefault="0003316B" w:rsidP="00C441FB">
      <w:pPr>
        <w:pStyle w:val="ManualHeading2"/>
        <w:spacing w:before="360" w:after="160"/>
        <w:ind w:left="851" w:hanging="851"/>
        <w:rPr>
          <w:noProof/>
        </w:rPr>
      </w:pPr>
      <w:bookmarkStart w:id="57" w:name="_Toc322938641"/>
      <w:bookmarkStart w:id="58" w:name="_Toc102661876"/>
      <w:bookmarkStart w:id="59" w:name="_Toc105773230"/>
      <w:bookmarkStart w:id="60" w:name="_Toc139622282"/>
      <w:bookmarkStart w:id="61" w:name="_Toc173181061"/>
      <w:r w:rsidRPr="6AF0C460">
        <w:rPr>
          <w:noProof/>
        </w:rPr>
        <w:t>4</w:t>
      </w:r>
      <w:r w:rsidR="00A44A15" w:rsidRPr="6AF0C460">
        <w:rPr>
          <w:noProof/>
        </w:rPr>
        <w:t>.2.</w:t>
      </w:r>
      <w:r w:rsidR="00783DE4">
        <w:rPr>
          <w:noProof/>
        </w:rPr>
        <w:tab/>
      </w:r>
      <w:r w:rsidR="00A44A15" w:rsidRPr="6AF0C460">
        <w:rPr>
          <w:noProof/>
        </w:rPr>
        <w:t>Integrated Administration and Control System (IACS)</w:t>
      </w:r>
      <w:bookmarkEnd w:id="57"/>
      <w:bookmarkEnd w:id="58"/>
      <w:bookmarkEnd w:id="59"/>
      <w:bookmarkEnd w:id="60"/>
      <w:bookmarkEnd w:id="61"/>
    </w:p>
    <w:p w14:paraId="0B39AB62" w14:textId="698E4E9D" w:rsidR="00A44A15" w:rsidRDefault="00A44A15" w:rsidP="00A44A15">
      <w:pPr>
        <w:pStyle w:val="Text1"/>
      </w:pPr>
      <w:r>
        <w:t xml:space="preserve">Regulation (EU) No 1306/2013, </w:t>
      </w:r>
      <w:r w:rsidR="009A0353">
        <w:t>Regulation (EU)</w:t>
      </w:r>
      <w:r w:rsidR="00C920F4">
        <w:t xml:space="preserve"> </w:t>
      </w:r>
      <w:r w:rsidR="009A0353">
        <w:t xml:space="preserve">2021/2116, </w:t>
      </w:r>
      <w:r>
        <w:t>Commission Delegated Regulation (EU) No 640/2014</w:t>
      </w:r>
      <w:r w:rsidR="00EC65D2">
        <w:rPr>
          <w:vertAlign w:val="superscript"/>
        </w:rPr>
        <w:footnoteReference w:id="9"/>
      </w:r>
      <w:r w:rsidR="00EC65D2">
        <w:rPr>
          <w:vertAlign w:val="superscript"/>
        </w:rPr>
        <w:t xml:space="preserve"> </w:t>
      </w:r>
      <w:r w:rsidR="006E1C5A">
        <w:rPr>
          <w:vertAlign w:val="superscript"/>
        </w:rPr>
        <w:t xml:space="preserve"> </w:t>
      </w:r>
      <w:r w:rsidR="006E1C5A">
        <w:t>and Commission Implementing Regulation (EU) No 809/2014</w:t>
      </w:r>
      <w:r w:rsidR="00756D7D">
        <w:rPr>
          <w:rStyle w:val="FootnoteReference"/>
        </w:rPr>
        <w:footnoteReference w:id="10"/>
      </w:r>
      <w:r w:rsidR="006E1C5A">
        <w:t xml:space="preserve"> </w:t>
      </w:r>
      <w:r>
        <w:t>contain the rules on the IACS.</w:t>
      </w:r>
    </w:p>
    <w:p w14:paraId="3E708DFE" w14:textId="4FCED41A" w:rsidR="00A44A15" w:rsidRDefault="018C3584" w:rsidP="00A44A15">
      <w:pPr>
        <w:pStyle w:val="Text1"/>
      </w:pPr>
      <w:r w:rsidRPr="00DC7803">
        <w:t>The DG AGRI Annual Activity Report</w:t>
      </w:r>
      <w:r w:rsidR="00EC65D2" w:rsidRPr="009352E7">
        <w:rPr>
          <w:vertAlign w:val="superscript"/>
        </w:rPr>
        <w:footnoteReference w:id="11"/>
      </w:r>
      <w:r w:rsidR="0DDC0C2C" w:rsidRPr="009352E7">
        <w:t xml:space="preserve"> </w:t>
      </w:r>
      <w:r w:rsidR="2125CA8C" w:rsidRPr="009352E7">
        <w:t xml:space="preserve">(AAR) </w:t>
      </w:r>
      <w:r w:rsidRPr="009352E7">
        <w:t>for 202</w:t>
      </w:r>
      <w:r w:rsidR="79BAF66A" w:rsidRPr="009352E7">
        <w:t>3</w:t>
      </w:r>
      <w:r w:rsidRPr="009352E7">
        <w:t xml:space="preserve"> contains detailed information on expenditure covered by IACS in Annex 7</w:t>
      </w:r>
      <w:r w:rsidR="08D5F1E8" w:rsidRPr="009352E7">
        <w:t>,</w:t>
      </w:r>
      <w:r w:rsidRPr="009352E7">
        <w:t xml:space="preserve"> </w:t>
      </w:r>
      <w:r w:rsidR="14234940" w:rsidRPr="009352E7">
        <w:t xml:space="preserve">Part 1, </w:t>
      </w:r>
      <w:r w:rsidRPr="009352E7">
        <w:t>Level 2</w:t>
      </w:r>
      <w:r w:rsidR="10C2A65A" w:rsidRPr="009352E7">
        <w:t xml:space="preserve"> (Page 12</w:t>
      </w:r>
      <w:r w:rsidR="6101F108" w:rsidRPr="009352E7">
        <w:t>2</w:t>
      </w:r>
      <w:r w:rsidR="10C2A65A" w:rsidRPr="009352E7">
        <w:t>)</w:t>
      </w:r>
      <w:r w:rsidRPr="009352E7">
        <w:t>:</w:t>
      </w:r>
      <w:r w:rsidRPr="00402E8C">
        <w:t xml:space="preserve"> Detailed systems for controls before payments and dissuasive penalties</w:t>
      </w:r>
      <w:r>
        <w:t>.</w:t>
      </w:r>
      <w:r w:rsidRPr="00402E8C">
        <w:t xml:space="preserve"> </w:t>
      </w:r>
      <w:r w:rsidR="483814ED">
        <w:t>T</w:t>
      </w:r>
      <w:r w:rsidR="1BFC6801">
        <w:t xml:space="preserve">he relevant components of the IACS are </w:t>
      </w:r>
      <w:r w:rsidR="483814ED">
        <w:t xml:space="preserve">also </w:t>
      </w:r>
      <w:r w:rsidR="1BFC6801">
        <w:t xml:space="preserve">applicable to the rural development measures, which are based on area or number of animals. Such measures include, inter alia, agri-environment and animal welfare measures, less-favoured areas and areas with environmental restrictions, and afforestation of agricultural land. </w:t>
      </w:r>
    </w:p>
    <w:p w14:paraId="7F04165F" w14:textId="650D7423" w:rsidR="00D455C3" w:rsidRDefault="0003316B" w:rsidP="00C441FB">
      <w:pPr>
        <w:pStyle w:val="ManualHeading2"/>
        <w:spacing w:after="160"/>
        <w:ind w:left="851" w:hanging="851"/>
        <w:rPr>
          <w:noProof/>
        </w:rPr>
      </w:pPr>
      <w:bookmarkStart w:id="62" w:name="_Toc139622283"/>
      <w:bookmarkStart w:id="63" w:name="_Toc173181062"/>
      <w:r w:rsidRPr="27ACC27E">
        <w:rPr>
          <w:noProof/>
        </w:rPr>
        <w:t>4</w:t>
      </w:r>
      <w:r w:rsidR="00D455C3" w:rsidRPr="27ACC27E">
        <w:rPr>
          <w:noProof/>
        </w:rPr>
        <w:t>.3.</w:t>
      </w:r>
      <w:r>
        <w:rPr>
          <w:noProof/>
        </w:rPr>
        <w:tab/>
      </w:r>
      <w:bookmarkStart w:id="64" w:name="_Hlk169880891"/>
      <w:r w:rsidR="00D455C3" w:rsidRPr="27ACC27E">
        <w:rPr>
          <w:noProof/>
        </w:rPr>
        <w:t xml:space="preserve">Application of Chapter III of Title V </w:t>
      </w:r>
      <w:r w:rsidR="00BE57F8" w:rsidRPr="27ACC27E">
        <w:rPr>
          <w:noProof/>
        </w:rPr>
        <w:t xml:space="preserve">of </w:t>
      </w:r>
      <w:r w:rsidR="00D455C3" w:rsidRPr="27ACC27E">
        <w:rPr>
          <w:noProof/>
        </w:rPr>
        <w:t xml:space="preserve">Regulation (EU) No 1306/2013 </w:t>
      </w:r>
      <w:r w:rsidR="48D6E971" w:rsidRPr="27ACC27E">
        <w:rPr>
          <w:noProof/>
        </w:rPr>
        <w:t xml:space="preserve">and </w:t>
      </w:r>
      <w:r w:rsidR="009A0353" w:rsidRPr="27ACC27E">
        <w:rPr>
          <w:noProof/>
        </w:rPr>
        <w:t>Chapter III</w:t>
      </w:r>
      <w:r w:rsidR="009A0353">
        <w:rPr>
          <w:noProof/>
        </w:rPr>
        <w:t xml:space="preserve"> of </w:t>
      </w:r>
      <w:r w:rsidR="48D6E971" w:rsidRPr="27ACC27E">
        <w:rPr>
          <w:noProof/>
        </w:rPr>
        <w:t xml:space="preserve">Title IV of Regulation (EU) 2021/2116  </w:t>
      </w:r>
      <w:r w:rsidR="00D455C3" w:rsidRPr="27ACC27E">
        <w:rPr>
          <w:noProof/>
        </w:rPr>
        <w:t>(scrutiny</w:t>
      </w:r>
      <w:r w:rsidR="793FAFAF" w:rsidRPr="27ACC27E">
        <w:rPr>
          <w:noProof/>
        </w:rPr>
        <w:t xml:space="preserve"> of transactions</w:t>
      </w:r>
      <w:r w:rsidR="00D455C3" w:rsidRPr="27ACC27E">
        <w:rPr>
          <w:noProof/>
        </w:rPr>
        <w:t>)</w:t>
      </w:r>
      <w:bookmarkEnd w:id="62"/>
      <w:bookmarkEnd w:id="63"/>
    </w:p>
    <w:p w14:paraId="5ADB3731" w14:textId="502D4A31" w:rsidR="00D455C3" w:rsidRDefault="00D455C3" w:rsidP="00D455C3">
      <w:pPr>
        <w:pStyle w:val="Text1"/>
      </w:pPr>
      <w:r>
        <w:t>In 202</w:t>
      </w:r>
      <w:r w:rsidR="00EA0192">
        <w:t>3</w:t>
      </w:r>
      <w:r>
        <w:t xml:space="preserve">, the </w:t>
      </w:r>
      <w:r w:rsidR="0CF1FCA6">
        <w:t>scrutin</w:t>
      </w:r>
      <w:r w:rsidR="538B4BCA">
        <w:t>y</w:t>
      </w:r>
      <w:r w:rsidR="0CF1FCA6">
        <w:t xml:space="preserve"> of transactions</w:t>
      </w:r>
      <w:r>
        <w:t xml:space="preserve"> control system provided for under </w:t>
      </w:r>
      <w:r w:rsidR="00BE57F8">
        <w:t xml:space="preserve">Chapter III of Title V of </w:t>
      </w:r>
      <w:r>
        <w:t>Regulation (EU) No 1306/2013</w:t>
      </w:r>
      <w:r w:rsidR="58403835">
        <w:t xml:space="preserve"> and </w:t>
      </w:r>
      <w:r w:rsidR="009A0353">
        <w:t xml:space="preserve">Chapter III of </w:t>
      </w:r>
      <w:r w:rsidR="58403835">
        <w:t>Title IV of Regulation (EU) 2021/2116</w:t>
      </w:r>
      <w:r>
        <w:t xml:space="preserve"> </w:t>
      </w:r>
      <w:r w:rsidR="00BE57F8">
        <w:t>applied</w:t>
      </w:r>
      <w:r>
        <w:t xml:space="preserve">. It comprised an ex-post control system complementing the sectorial control systems described above. </w:t>
      </w:r>
    </w:p>
    <w:p w14:paraId="26E1363C" w14:textId="251B20CD" w:rsidR="00D455C3" w:rsidRDefault="52207C1E" w:rsidP="00D455C3">
      <w:pPr>
        <w:pStyle w:val="Text1"/>
      </w:pPr>
      <w:bookmarkStart w:id="65" w:name="_Hlk169880845"/>
      <w:r>
        <w:t>In 202</w:t>
      </w:r>
      <w:r w:rsidR="2601A73E">
        <w:t>3</w:t>
      </w:r>
      <w:r>
        <w:t xml:space="preserve">, Member States’ scrutiny services completed controls in respect of </w:t>
      </w:r>
      <w:r w:rsidR="0B7D2DC4">
        <w:t xml:space="preserve">operations </w:t>
      </w:r>
      <w:r>
        <w:t xml:space="preserve">to which payments were made in financial year </w:t>
      </w:r>
      <w:r w:rsidR="003B1662">
        <w:t>2021</w:t>
      </w:r>
      <w:r>
        <w:t>. The annual reports in respect of the respective scrutiny period (July 202</w:t>
      </w:r>
      <w:r w:rsidR="6101F108">
        <w:t>2</w:t>
      </w:r>
      <w:r>
        <w:t xml:space="preserve"> - June 202</w:t>
      </w:r>
      <w:r w:rsidR="6101F108">
        <w:t>3</w:t>
      </w:r>
      <w:r>
        <w:t xml:space="preserve">) shows that </w:t>
      </w:r>
      <w:r w:rsidRPr="00C835EF">
        <w:t>Member States completed</w:t>
      </w:r>
      <w:r w:rsidR="003B1662" w:rsidRPr="00C835EF">
        <w:t xml:space="preserve"> </w:t>
      </w:r>
      <w:r w:rsidR="7607C199" w:rsidRPr="00C835EF">
        <w:t>86</w:t>
      </w:r>
      <w:r w:rsidRPr="00C835EF">
        <w:t xml:space="preserve"> % of the planned scrutinies at the end of the scrutiny reporting </w:t>
      </w:r>
      <w:bookmarkEnd w:id="65"/>
      <w:r w:rsidRPr="00C835EF">
        <w:t>period.</w:t>
      </w:r>
      <w:r w:rsidR="3407F22F" w:rsidRPr="00C835EF">
        <w:t xml:space="preserve"> The rate of irregularities from those completed scrutinies is 2.2%.</w:t>
      </w:r>
      <w:r w:rsidRPr="00C835EF">
        <w:t xml:space="preserve"> </w:t>
      </w:r>
    </w:p>
    <w:p w14:paraId="28EA50B3" w14:textId="36F4DFCA" w:rsidR="00A44A15" w:rsidRDefault="0003316B" w:rsidP="00B36033">
      <w:pPr>
        <w:pStyle w:val="ManualHeading1"/>
        <w:spacing w:after="160"/>
        <w:ind w:left="851" w:hanging="851"/>
        <w:rPr>
          <w:noProof/>
        </w:rPr>
      </w:pPr>
      <w:bookmarkStart w:id="66" w:name="_Toc322938644"/>
      <w:bookmarkStart w:id="67" w:name="_Toc102661879"/>
      <w:bookmarkStart w:id="68" w:name="_Toc105773233"/>
      <w:bookmarkStart w:id="69" w:name="_Toc139622284"/>
      <w:bookmarkStart w:id="70" w:name="_Toc173181063"/>
      <w:bookmarkEnd w:id="64"/>
      <w:r w:rsidRPr="6AF0C460">
        <w:rPr>
          <w:noProof/>
        </w:rPr>
        <w:t>5</w:t>
      </w:r>
      <w:r w:rsidR="00A44A15" w:rsidRPr="6AF0C460">
        <w:rPr>
          <w:noProof/>
        </w:rPr>
        <w:t>.</w:t>
      </w:r>
      <w:r w:rsidR="00783DE4">
        <w:rPr>
          <w:noProof/>
        </w:rPr>
        <w:tab/>
      </w:r>
      <w:r w:rsidR="00A44A15" w:rsidRPr="6AF0C460">
        <w:rPr>
          <w:noProof/>
        </w:rPr>
        <w:t>CLEARANCE OF ACCOUNTS</w:t>
      </w:r>
      <w:bookmarkEnd w:id="66"/>
      <w:bookmarkEnd w:id="67"/>
      <w:bookmarkEnd w:id="68"/>
      <w:bookmarkEnd w:id="69"/>
      <w:bookmarkEnd w:id="70"/>
      <w:r w:rsidR="00A44A15" w:rsidRPr="6AF0C460">
        <w:rPr>
          <w:noProof/>
        </w:rPr>
        <w:t xml:space="preserve"> </w:t>
      </w:r>
    </w:p>
    <w:p w14:paraId="40269FA5" w14:textId="4EEFCDB9" w:rsidR="00A44A15" w:rsidRDefault="0003316B" w:rsidP="00C441FB">
      <w:pPr>
        <w:pStyle w:val="ManualHeading2"/>
        <w:spacing w:after="160"/>
        <w:ind w:left="851" w:hanging="851"/>
        <w:rPr>
          <w:noProof/>
        </w:rPr>
      </w:pPr>
      <w:bookmarkStart w:id="71" w:name="_Toc102661880"/>
      <w:bookmarkStart w:id="72" w:name="_Toc105773234"/>
      <w:bookmarkStart w:id="73" w:name="_Toc139622285"/>
      <w:bookmarkStart w:id="74" w:name="_Toc173181064"/>
      <w:bookmarkStart w:id="75" w:name="_Toc322938645"/>
      <w:r w:rsidRPr="6AF0C460">
        <w:rPr>
          <w:noProof/>
        </w:rPr>
        <w:t>5</w:t>
      </w:r>
      <w:r w:rsidR="00A44A15" w:rsidRPr="6AF0C460">
        <w:rPr>
          <w:noProof/>
        </w:rPr>
        <w:t>.1.</w:t>
      </w:r>
      <w:r w:rsidR="00783DE4">
        <w:rPr>
          <w:noProof/>
        </w:rPr>
        <w:tab/>
      </w:r>
      <w:r w:rsidR="00A44A15" w:rsidRPr="6AF0C460">
        <w:rPr>
          <w:noProof/>
        </w:rPr>
        <w:t>Conformity clearance</w:t>
      </w:r>
      <w:bookmarkEnd w:id="71"/>
      <w:bookmarkEnd w:id="72"/>
      <w:bookmarkEnd w:id="73"/>
      <w:bookmarkEnd w:id="74"/>
    </w:p>
    <w:bookmarkEnd w:id="75"/>
    <w:p w14:paraId="0E0B6BD3" w14:textId="77777777" w:rsidR="00A44A15" w:rsidRDefault="00A44A15" w:rsidP="00A44A15">
      <w:pPr>
        <w:pStyle w:val="Text1"/>
      </w:pPr>
      <w:r>
        <w:t>It is primarily the Member States' responsibility to ensure that transactions are carried out and executed correctly via a system of control and dissuasive sanctions. Where Member States fail to meet this requirement, the Commission applies financial corrections to protect the financial interests of the EU.</w:t>
      </w:r>
    </w:p>
    <w:p w14:paraId="67342CDB" w14:textId="3F2272F1" w:rsidR="00967284" w:rsidRDefault="00A44A15" w:rsidP="003B653A">
      <w:pPr>
        <w:pStyle w:val="Text1"/>
      </w:pPr>
      <w:r>
        <w:t xml:space="preserve">The conformity clearance </w:t>
      </w:r>
      <w:r w:rsidR="00080FC5">
        <w:t xml:space="preserve">under the CAP </w:t>
      </w:r>
      <w:r w:rsidR="003D3766">
        <w:t xml:space="preserve">applicable </w:t>
      </w:r>
      <w:r w:rsidR="00DF32A4">
        <w:t>in</w:t>
      </w:r>
      <w:r w:rsidR="003D3766">
        <w:t xml:space="preserve"> financial year 202</w:t>
      </w:r>
      <w:r w:rsidR="009D5F51">
        <w:t>3</w:t>
      </w:r>
      <w:r w:rsidR="003D3766">
        <w:t xml:space="preserve"> </w:t>
      </w:r>
      <w:r>
        <w:t>relates to the legality and regularity of transactions. It is designed to exclude expenditure from EU financing which has not been effected in compliance with EU rules</w:t>
      </w:r>
      <w:r w:rsidR="00C205C1">
        <w:t xml:space="preserve">. </w:t>
      </w:r>
    </w:p>
    <w:p w14:paraId="2505E905" w14:textId="7B1C483A" w:rsidR="00BB25C3" w:rsidRDefault="21FF0806" w:rsidP="00BB25C3">
      <w:pPr>
        <w:pStyle w:val="Text1"/>
      </w:pPr>
      <w:bookmarkStart w:id="76" w:name="_Toc322938648"/>
      <w:r>
        <w:t>Details on audits carried out in 202</w:t>
      </w:r>
      <w:r w:rsidR="2D1513B5">
        <w:t>3</w:t>
      </w:r>
      <w:r>
        <w:t xml:space="preserve"> c</w:t>
      </w:r>
      <w:r w:rsidR="482589F9">
        <w:t>a</w:t>
      </w:r>
      <w:r>
        <w:t>n be found in the</w:t>
      </w:r>
      <w:r w:rsidR="67B269AF">
        <w:t xml:space="preserve"> </w:t>
      </w:r>
      <w:r w:rsidR="777031C1">
        <w:t>AAR</w:t>
      </w:r>
      <w:r w:rsidR="14234940">
        <w:t>,</w:t>
      </w:r>
      <w:r w:rsidR="359C1E85">
        <w:t xml:space="preserve"> </w:t>
      </w:r>
      <w:r w:rsidR="2125CA8C">
        <w:t>table 2.1.1.2.2-9</w:t>
      </w:r>
      <w:r w:rsidR="777031C1">
        <w:t xml:space="preserve"> (</w:t>
      </w:r>
      <w:r w:rsidR="359C1E85">
        <w:t>p</w:t>
      </w:r>
      <w:r w:rsidR="1248786E">
        <w:t>age</w:t>
      </w:r>
      <w:r w:rsidR="359C1E85">
        <w:t xml:space="preserve"> </w:t>
      </w:r>
      <w:r w:rsidR="07322F4F">
        <w:t>48</w:t>
      </w:r>
      <w:r w:rsidR="777031C1">
        <w:t>)</w:t>
      </w:r>
      <w:r w:rsidR="14234940">
        <w:t>.</w:t>
      </w:r>
    </w:p>
    <w:bookmarkEnd w:id="76"/>
    <w:p w14:paraId="6EC91DAF" w14:textId="616F9D22" w:rsidR="00A10E32" w:rsidRDefault="402FC95F" w:rsidP="001C1B70">
      <w:pPr>
        <w:pStyle w:val="Text1"/>
      </w:pPr>
      <w:r>
        <w:t>C</w:t>
      </w:r>
      <w:r w:rsidR="1BFC6801">
        <w:t>onformity clearance decisions adopted</w:t>
      </w:r>
      <w:r w:rsidR="58596FC1">
        <w:t xml:space="preserve"> in 202</w:t>
      </w:r>
      <w:r w:rsidR="07322F4F">
        <w:t>3</w:t>
      </w:r>
      <w:r w:rsidR="1BFC6801">
        <w:t>, including financial corrections in a number of sectors</w:t>
      </w:r>
      <w:r w:rsidR="14234940">
        <w:t>,</w:t>
      </w:r>
      <w:r w:rsidR="04386BC7">
        <w:t xml:space="preserve"> </w:t>
      </w:r>
      <w:r w:rsidR="58596FC1">
        <w:t>are li</w:t>
      </w:r>
      <w:r w:rsidR="777031C1">
        <w:t>s</w:t>
      </w:r>
      <w:r w:rsidR="58596FC1">
        <w:t xml:space="preserve">ted in </w:t>
      </w:r>
      <w:r w:rsidR="14234940">
        <w:t xml:space="preserve">the </w:t>
      </w:r>
      <w:r w:rsidR="04386BC7">
        <w:t>AAR</w:t>
      </w:r>
      <w:r w:rsidR="14234940">
        <w:t>,</w:t>
      </w:r>
      <w:r w:rsidR="04386BC7">
        <w:t xml:space="preserve"> table 2.1.1.3.1-1</w:t>
      </w:r>
      <w:r w:rsidR="58596FC1">
        <w:t xml:space="preserve"> (p</w:t>
      </w:r>
      <w:r w:rsidR="063A5732">
        <w:t xml:space="preserve">age </w:t>
      </w:r>
      <w:r w:rsidR="56A1BD6F">
        <w:t>59</w:t>
      </w:r>
      <w:r w:rsidR="04386BC7">
        <w:t>).</w:t>
      </w:r>
    </w:p>
    <w:p w14:paraId="3484BD9C" w14:textId="6B3C5759" w:rsidR="00A44A15" w:rsidRDefault="00245FCD" w:rsidP="001C1B70">
      <w:pPr>
        <w:pStyle w:val="Text1"/>
      </w:pPr>
      <w:r>
        <w:t>Clearance decisions with financial impact on the 202</w:t>
      </w:r>
      <w:r w:rsidR="00831AC6">
        <w:t>3</w:t>
      </w:r>
      <w:r>
        <w:t xml:space="preserve"> budget </w:t>
      </w:r>
      <w:r w:rsidR="00A44A15">
        <w:t xml:space="preserve">also included the execution of a number of </w:t>
      </w:r>
      <w:r w:rsidR="004A6D99">
        <w:t>judgements of the Court of Justice</w:t>
      </w:r>
      <w:r w:rsidR="008A74A6">
        <w:t xml:space="preserve"> of the European Union</w:t>
      </w:r>
      <w:r w:rsidR="004A6D99">
        <w:t xml:space="preserve"> </w:t>
      </w:r>
      <w:r w:rsidR="00A44A15">
        <w:t xml:space="preserve">in favour of Member States. Therefore, the overall financial impact </w:t>
      </w:r>
      <w:r w:rsidR="00BE6744">
        <w:t>for</w:t>
      </w:r>
      <w:r w:rsidR="00831AC6">
        <w:t xml:space="preserve"> the funds</w:t>
      </w:r>
      <w:r w:rsidR="00A44A15">
        <w:t xml:space="preserve"> was EUR </w:t>
      </w:r>
      <w:r w:rsidR="00831AC6">
        <w:t>261</w:t>
      </w:r>
      <w:r w:rsidR="00A44A15">
        <w:t>.8 million in favour of the EAGF</w:t>
      </w:r>
      <w:r w:rsidR="00831AC6">
        <w:t xml:space="preserve"> and EUR 124.4 million in favour of the EAFRD</w:t>
      </w:r>
      <w:r w:rsidR="00A44A15">
        <w:t>.</w:t>
      </w:r>
    </w:p>
    <w:p w14:paraId="636AC709" w14:textId="3D6A7A89" w:rsidR="00A44A15" w:rsidRDefault="00A44A15" w:rsidP="00A44A15">
      <w:pPr>
        <w:pStyle w:val="ListBullet1"/>
        <w:rPr>
          <w:noProof/>
        </w:rPr>
      </w:pPr>
      <w:r>
        <w:rPr>
          <w:noProof/>
        </w:rPr>
        <w:t xml:space="preserve">Decision (EU) </w:t>
      </w:r>
      <w:r w:rsidR="0062473A">
        <w:rPr>
          <w:noProof/>
        </w:rPr>
        <w:t>2022/2261</w:t>
      </w:r>
      <w:r w:rsidR="005341C4">
        <w:rPr>
          <w:noProof/>
        </w:rPr>
        <w:t xml:space="preserve"> </w:t>
      </w:r>
      <w:r>
        <w:rPr>
          <w:noProof/>
        </w:rPr>
        <w:t xml:space="preserve">of </w:t>
      </w:r>
      <w:r w:rsidR="005341C4">
        <w:rPr>
          <w:noProof/>
        </w:rPr>
        <w:t>1</w:t>
      </w:r>
      <w:r w:rsidR="0062473A">
        <w:rPr>
          <w:noProof/>
        </w:rPr>
        <w:t>1</w:t>
      </w:r>
      <w:r>
        <w:rPr>
          <w:noProof/>
        </w:rPr>
        <w:t xml:space="preserve"> November 202</w:t>
      </w:r>
      <w:r w:rsidR="0062473A">
        <w:rPr>
          <w:noProof/>
        </w:rPr>
        <w:t>2</w:t>
      </w:r>
      <w:r>
        <w:rPr>
          <w:noProof/>
        </w:rPr>
        <w:t xml:space="preserve"> – ad</w:t>
      </w:r>
      <w:r w:rsidR="005341C4">
        <w:rPr>
          <w:noProof/>
        </w:rPr>
        <w:t xml:space="preserve"> </w:t>
      </w:r>
      <w:r>
        <w:rPr>
          <w:noProof/>
        </w:rPr>
        <w:t xml:space="preserve">hoc decision </w:t>
      </w:r>
      <w:r w:rsidR="005341C4">
        <w:rPr>
          <w:noProof/>
        </w:rPr>
        <w:t>7</w:t>
      </w:r>
      <w:r w:rsidR="0062473A">
        <w:rPr>
          <w:noProof/>
        </w:rPr>
        <w:t>0</w:t>
      </w:r>
      <w:r>
        <w:rPr>
          <w:noProof/>
        </w:rPr>
        <w:t xml:space="preserve">, with </w:t>
      </w:r>
      <w:r w:rsidR="0062473A">
        <w:rPr>
          <w:noProof/>
        </w:rPr>
        <w:t>net decided amount</w:t>
      </w:r>
      <w:r>
        <w:rPr>
          <w:noProof/>
        </w:rPr>
        <w:t xml:space="preserve"> of EUR </w:t>
      </w:r>
      <w:r w:rsidR="005341C4">
        <w:rPr>
          <w:noProof/>
        </w:rPr>
        <w:t>2</w:t>
      </w:r>
      <w:r w:rsidR="0062473A">
        <w:rPr>
          <w:noProof/>
        </w:rPr>
        <w:t>1</w:t>
      </w:r>
      <w:r w:rsidR="00984B91">
        <w:rPr>
          <w:noProof/>
        </w:rPr>
        <w:t>5</w:t>
      </w:r>
      <w:r>
        <w:rPr>
          <w:noProof/>
        </w:rPr>
        <w:t>.</w:t>
      </w:r>
      <w:r w:rsidR="00984B91">
        <w:rPr>
          <w:noProof/>
        </w:rPr>
        <w:t>5</w:t>
      </w:r>
      <w:r>
        <w:rPr>
          <w:noProof/>
        </w:rPr>
        <w:t xml:space="preserve"> million in favour of the EAGF</w:t>
      </w:r>
      <w:r w:rsidR="0062473A">
        <w:rPr>
          <w:noProof/>
        </w:rPr>
        <w:t xml:space="preserve"> and EUR 5</w:t>
      </w:r>
      <w:r w:rsidR="00984B91">
        <w:rPr>
          <w:noProof/>
        </w:rPr>
        <w:t>5</w:t>
      </w:r>
      <w:r w:rsidR="0062473A">
        <w:rPr>
          <w:noProof/>
        </w:rPr>
        <w:t>.2 million in favour of the EAFRD.</w:t>
      </w:r>
    </w:p>
    <w:p w14:paraId="12629B69" w14:textId="493036CA" w:rsidR="00A44A15" w:rsidRDefault="00A44A15" w:rsidP="00A44A15">
      <w:pPr>
        <w:pStyle w:val="ListBullet1"/>
        <w:rPr>
          <w:noProof/>
        </w:rPr>
      </w:pPr>
      <w:r>
        <w:rPr>
          <w:noProof/>
        </w:rPr>
        <w:t xml:space="preserve">Decision (EU) </w:t>
      </w:r>
      <w:r w:rsidRPr="003D15C4">
        <w:rPr>
          <w:noProof/>
        </w:rPr>
        <w:t xml:space="preserve">EU </w:t>
      </w:r>
      <w:r w:rsidR="0062473A">
        <w:rPr>
          <w:noProof/>
        </w:rPr>
        <w:t>2022/2262</w:t>
      </w:r>
      <w:r>
        <w:rPr>
          <w:noProof/>
        </w:rPr>
        <w:t xml:space="preserve"> of 1</w:t>
      </w:r>
      <w:r w:rsidR="0062473A">
        <w:rPr>
          <w:noProof/>
        </w:rPr>
        <w:t>1</w:t>
      </w:r>
      <w:r>
        <w:rPr>
          <w:noProof/>
        </w:rPr>
        <w:t xml:space="preserve"> </w:t>
      </w:r>
      <w:r w:rsidR="005341C4">
        <w:rPr>
          <w:noProof/>
        </w:rPr>
        <w:t xml:space="preserve">November </w:t>
      </w:r>
      <w:r>
        <w:rPr>
          <w:noProof/>
        </w:rPr>
        <w:t>202</w:t>
      </w:r>
      <w:r w:rsidR="0062473A">
        <w:rPr>
          <w:noProof/>
        </w:rPr>
        <w:t>2</w:t>
      </w:r>
      <w:r>
        <w:rPr>
          <w:noProof/>
        </w:rPr>
        <w:t xml:space="preserve"> – ad</w:t>
      </w:r>
      <w:r w:rsidR="005341C4">
        <w:rPr>
          <w:noProof/>
        </w:rPr>
        <w:t xml:space="preserve"> </w:t>
      </w:r>
      <w:r>
        <w:rPr>
          <w:noProof/>
        </w:rPr>
        <w:t xml:space="preserve">hoc decision </w:t>
      </w:r>
      <w:r w:rsidR="005341C4">
        <w:rPr>
          <w:noProof/>
        </w:rPr>
        <w:t>7</w:t>
      </w:r>
      <w:r w:rsidR="0062473A">
        <w:rPr>
          <w:noProof/>
        </w:rPr>
        <w:t>0</w:t>
      </w:r>
      <w:r w:rsidR="005341C4">
        <w:rPr>
          <w:noProof/>
        </w:rPr>
        <w:t xml:space="preserve"> UK</w:t>
      </w:r>
      <w:r>
        <w:rPr>
          <w:noProof/>
        </w:rPr>
        <w:t xml:space="preserve">, with financial impact of EUR </w:t>
      </w:r>
      <w:r w:rsidR="0062473A">
        <w:rPr>
          <w:noProof/>
        </w:rPr>
        <w:t>8.3</w:t>
      </w:r>
      <w:r>
        <w:rPr>
          <w:noProof/>
        </w:rPr>
        <w:t xml:space="preserve"> million in favour of the EAGF </w:t>
      </w:r>
      <w:r w:rsidR="0062473A">
        <w:rPr>
          <w:noProof/>
        </w:rPr>
        <w:t>and EUR 8.5 million in favour of the EAFRD.</w:t>
      </w:r>
    </w:p>
    <w:p w14:paraId="6BF0B746" w14:textId="5D5EA728" w:rsidR="00A44A15" w:rsidRDefault="00A44A15" w:rsidP="00A44A15">
      <w:pPr>
        <w:pStyle w:val="ListBullet1"/>
        <w:rPr>
          <w:noProof/>
        </w:rPr>
      </w:pPr>
      <w:r>
        <w:rPr>
          <w:noProof/>
        </w:rPr>
        <w:t xml:space="preserve">Decision (EU) </w:t>
      </w:r>
      <w:r w:rsidRPr="003D15C4">
        <w:rPr>
          <w:noProof/>
        </w:rPr>
        <w:t xml:space="preserve">EU </w:t>
      </w:r>
      <w:r w:rsidR="0062473A">
        <w:rPr>
          <w:noProof/>
        </w:rPr>
        <w:t>2023/1408</w:t>
      </w:r>
      <w:r>
        <w:rPr>
          <w:noProof/>
        </w:rPr>
        <w:t xml:space="preserve"> of </w:t>
      </w:r>
      <w:r w:rsidR="0062473A">
        <w:rPr>
          <w:noProof/>
        </w:rPr>
        <w:t>3 July</w:t>
      </w:r>
      <w:r>
        <w:rPr>
          <w:noProof/>
        </w:rPr>
        <w:t xml:space="preserve"> 202</w:t>
      </w:r>
      <w:r w:rsidR="0062473A">
        <w:rPr>
          <w:noProof/>
        </w:rPr>
        <w:t>3</w:t>
      </w:r>
      <w:r>
        <w:rPr>
          <w:noProof/>
        </w:rPr>
        <w:t xml:space="preserve"> – ad-hoc decision </w:t>
      </w:r>
      <w:r w:rsidR="0062473A">
        <w:rPr>
          <w:noProof/>
        </w:rPr>
        <w:t>7</w:t>
      </w:r>
      <w:r w:rsidR="00BA5C47">
        <w:rPr>
          <w:noProof/>
        </w:rPr>
        <w:t>1</w:t>
      </w:r>
      <w:r>
        <w:rPr>
          <w:noProof/>
        </w:rPr>
        <w:t xml:space="preserve">, with financial impact of EUR </w:t>
      </w:r>
      <w:r w:rsidR="0062473A">
        <w:rPr>
          <w:noProof/>
        </w:rPr>
        <w:t>3</w:t>
      </w:r>
      <w:r w:rsidR="00984B91">
        <w:rPr>
          <w:noProof/>
        </w:rPr>
        <w:t>8</w:t>
      </w:r>
      <w:r w:rsidR="0062473A">
        <w:rPr>
          <w:noProof/>
        </w:rPr>
        <w:t>.</w:t>
      </w:r>
      <w:r w:rsidR="00984B91">
        <w:rPr>
          <w:noProof/>
        </w:rPr>
        <w:t>0</w:t>
      </w:r>
      <w:r>
        <w:rPr>
          <w:noProof/>
        </w:rPr>
        <w:t xml:space="preserve"> million in favour of the EAGF</w:t>
      </w:r>
      <w:r w:rsidR="0062473A">
        <w:rPr>
          <w:noProof/>
        </w:rPr>
        <w:t xml:space="preserve"> and EUR 60.7 in favour of the EAFRD.</w:t>
      </w:r>
    </w:p>
    <w:p w14:paraId="54A378D5" w14:textId="76CFDEA7" w:rsidR="00A44A15" w:rsidRDefault="00A44A15" w:rsidP="00A44A15">
      <w:pPr>
        <w:pStyle w:val="ListBullet1"/>
        <w:numPr>
          <w:ilvl w:val="0"/>
          <w:numId w:val="0"/>
        </w:numPr>
        <w:ind w:left="851"/>
        <w:rPr>
          <w:noProof/>
        </w:rPr>
      </w:pPr>
      <w:r>
        <w:rPr>
          <w:noProof/>
        </w:rPr>
        <w:t xml:space="preserve">For </w:t>
      </w:r>
      <w:bookmarkStart w:id="77" w:name="_Hlk173175440"/>
      <w:r w:rsidR="00DB41AC" w:rsidRPr="001C1B70">
        <w:rPr>
          <w:noProof/>
        </w:rPr>
        <w:t>Commission Implementing Decision</w:t>
      </w:r>
      <w:bookmarkEnd w:id="77"/>
      <w:r>
        <w:rPr>
          <w:noProof/>
        </w:rPr>
        <w:t xml:space="preserve"> </w:t>
      </w:r>
      <w:r w:rsidR="00DB41AC">
        <w:rPr>
          <w:noProof/>
        </w:rPr>
        <w:t>(EU) 2022/</w:t>
      </w:r>
      <w:r w:rsidR="0062473A">
        <w:rPr>
          <w:noProof/>
        </w:rPr>
        <w:t xml:space="preserve">2261 and </w:t>
      </w:r>
      <w:r w:rsidR="002D1BC0" w:rsidRPr="001C1B70">
        <w:rPr>
          <w:noProof/>
        </w:rPr>
        <w:t>Commission Implementing Decision</w:t>
      </w:r>
      <w:r w:rsidR="002D1BC0">
        <w:rPr>
          <w:noProof/>
        </w:rPr>
        <w:t xml:space="preserve"> (EU) </w:t>
      </w:r>
      <w:r w:rsidR="0062473A">
        <w:rPr>
          <w:noProof/>
        </w:rPr>
        <w:t>2023/1408</w:t>
      </w:r>
      <w:r>
        <w:rPr>
          <w:noProof/>
        </w:rPr>
        <w:t>, due to the relative magnitude of corrections compared to certain Member State</w:t>
      </w:r>
      <w:r w:rsidR="00B04FCB">
        <w:rPr>
          <w:noProof/>
        </w:rPr>
        <w:t>s</w:t>
      </w:r>
      <w:r>
        <w:rPr>
          <w:noProof/>
        </w:rPr>
        <w:t>’</w:t>
      </w:r>
      <w:r w:rsidR="000E4C4F">
        <w:rPr>
          <w:noProof/>
        </w:rPr>
        <w:t xml:space="preserve"> </w:t>
      </w:r>
      <w:r>
        <w:rPr>
          <w:noProof/>
        </w:rPr>
        <w:t>gross domestic product, upon request</w:t>
      </w:r>
      <w:r w:rsidR="00DB41AC">
        <w:rPr>
          <w:noProof/>
        </w:rPr>
        <w:t>s</w:t>
      </w:r>
      <w:r>
        <w:rPr>
          <w:noProof/>
        </w:rPr>
        <w:t xml:space="preserve"> of the Member States concerned, </w:t>
      </w:r>
      <w:r w:rsidR="00DB41AC">
        <w:rPr>
          <w:noProof/>
        </w:rPr>
        <w:t xml:space="preserve">the Commission decided </w:t>
      </w:r>
      <w:r>
        <w:rPr>
          <w:noProof/>
        </w:rPr>
        <w:t>that the following corrections could be paid in 3 equal annual instalments.</w:t>
      </w:r>
    </w:p>
    <w:p w14:paraId="143705AA" w14:textId="77777777" w:rsidR="00C441FB" w:rsidRDefault="00C441FB" w:rsidP="00C639A0">
      <w:pPr>
        <w:pStyle w:val="Text1"/>
        <w:rPr>
          <w:iCs/>
        </w:rPr>
      </w:pPr>
    </w:p>
    <w:p w14:paraId="5AB682B6" w14:textId="2EB5EC4D" w:rsidR="000A4CAD" w:rsidRDefault="000A4CAD" w:rsidP="00C639A0">
      <w:pPr>
        <w:pStyle w:val="Text1"/>
        <w:rPr>
          <w:i/>
        </w:rPr>
      </w:pPr>
      <w:r w:rsidRPr="00C639A0">
        <w:rPr>
          <w:iCs/>
        </w:rPr>
        <w:t xml:space="preserve">Table </w:t>
      </w:r>
      <w:r w:rsidR="00786D11">
        <w:rPr>
          <w:iCs/>
        </w:rPr>
        <w:t>6</w:t>
      </w:r>
      <w:r w:rsidRPr="00C639A0">
        <w:rPr>
          <w:iCs/>
        </w:rPr>
        <w:t xml:space="preserve">                                                                         </w:t>
      </w:r>
      <w:r>
        <w:rPr>
          <w:i/>
        </w:rPr>
        <w:t>(in EUR million; current prices)</w:t>
      </w:r>
    </w:p>
    <w:tbl>
      <w:tblPr>
        <w:tblStyle w:val="TableGrid1"/>
        <w:tblW w:w="0" w:type="auto"/>
        <w:tblInd w:w="851" w:type="dxa"/>
        <w:tblLook w:val="04A0" w:firstRow="1" w:lastRow="0" w:firstColumn="1" w:lastColumn="0" w:noHBand="0" w:noVBand="1"/>
      </w:tblPr>
      <w:tblGrid>
        <w:gridCol w:w="1951"/>
        <w:gridCol w:w="2268"/>
        <w:gridCol w:w="2037"/>
        <w:gridCol w:w="2038"/>
      </w:tblGrid>
      <w:tr w:rsidR="00896343" w:rsidRPr="0024366A" w14:paraId="109B4F65" w14:textId="77777777" w:rsidTr="00C441FB">
        <w:tc>
          <w:tcPr>
            <w:tcW w:w="1951" w:type="dxa"/>
            <w:vMerge w:val="restart"/>
            <w:shd w:val="clear" w:color="auto" w:fill="92D050"/>
            <w:vAlign w:val="center"/>
          </w:tcPr>
          <w:p w14:paraId="2F3DE21C" w14:textId="77777777" w:rsidR="00896343" w:rsidRPr="008225DC" w:rsidRDefault="00896343" w:rsidP="0024366A">
            <w:pPr>
              <w:keepNext/>
              <w:keepLines/>
              <w:spacing w:before="0"/>
              <w:jc w:val="center"/>
              <w:rPr>
                <w:rFonts w:eastAsia="Calibri"/>
                <w:b/>
                <w:bCs/>
                <w:noProof/>
                <w:sz w:val="22"/>
                <w:szCs w:val="22"/>
                <w:lang w:eastAsia="en-US"/>
              </w:rPr>
            </w:pPr>
            <w:r w:rsidRPr="008225DC">
              <w:rPr>
                <w:rFonts w:eastAsia="Calibri"/>
                <w:b/>
                <w:bCs/>
                <w:noProof/>
                <w:sz w:val="22"/>
                <w:szCs w:val="22"/>
                <w:lang w:eastAsia="en-US"/>
              </w:rPr>
              <w:t>Decision number</w:t>
            </w:r>
          </w:p>
          <w:p w14:paraId="1E5F757F" w14:textId="314312A0" w:rsidR="00896343" w:rsidRPr="008225DC" w:rsidRDefault="00896343" w:rsidP="0024366A">
            <w:pPr>
              <w:rPr>
                <w:rFonts w:eastAsia="Calibri"/>
                <w:b/>
                <w:bCs/>
                <w:noProof/>
                <w:sz w:val="22"/>
                <w:szCs w:val="22"/>
                <w:lang w:eastAsia="en-US"/>
              </w:rPr>
            </w:pPr>
          </w:p>
        </w:tc>
        <w:tc>
          <w:tcPr>
            <w:tcW w:w="2268" w:type="dxa"/>
            <w:vMerge w:val="restart"/>
            <w:shd w:val="clear" w:color="auto" w:fill="92D050"/>
            <w:vAlign w:val="center"/>
          </w:tcPr>
          <w:p w14:paraId="4F2B551D" w14:textId="77777777" w:rsidR="00896343" w:rsidRPr="008225DC" w:rsidRDefault="00896343" w:rsidP="0024366A">
            <w:pPr>
              <w:keepNext/>
              <w:keepLines/>
              <w:spacing w:before="0"/>
              <w:jc w:val="center"/>
              <w:rPr>
                <w:rFonts w:eastAsia="Calibri"/>
                <w:b/>
                <w:bCs/>
                <w:noProof/>
                <w:sz w:val="22"/>
                <w:szCs w:val="22"/>
                <w:lang w:eastAsia="en-US"/>
              </w:rPr>
            </w:pPr>
            <w:r w:rsidRPr="008225DC">
              <w:rPr>
                <w:rFonts w:eastAsia="Calibri"/>
                <w:b/>
                <w:bCs/>
                <w:noProof/>
                <w:sz w:val="22"/>
                <w:szCs w:val="22"/>
                <w:lang w:eastAsia="en-US"/>
              </w:rPr>
              <w:t>Member State</w:t>
            </w:r>
          </w:p>
        </w:tc>
        <w:tc>
          <w:tcPr>
            <w:tcW w:w="4075" w:type="dxa"/>
            <w:gridSpan w:val="2"/>
            <w:shd w:val="clear" w:color="auto" w:fill="92D050"/>
            <w:vAlign w:val="center"/>
          </w:tcPr>
          <w:p w14:paraId="4C6D1A6B" w14:textId="4BB7F238" w:rsidR="00896343" w:rsidRPr="008225DC" w:rsidRDefault="00896343" w:rsidP="00C441FB">
            <w:pPr>
              <w:keepNext/>
              <w:keepLines/>
              <w:spacing w:before="0"/>
              <w:jc w:val="center"/>
              <w:rPr>
                <w:rFonts w:eastAsia="Calibri"/>
                <w:b/>
                <w:bCs/>
                <w:noProof/>
                <w:sz w:val="22"/>
                <w:szCs w:val="22"/>
                <w:lang w:eastAsia="en-US"/>
              </w:rPr>
            </w:pPr>
            <w:r w:rsidRPr="008225DC">
              <w:rPr>
                <w:rFonts w:eastAsia="Calibri"/>
                <w:b/>
                <w:bCs/>
                <w:noProof/>
                <w:sz w:val="22"/>
                <w:szCs w:val="22"/>
                <w:lang w:eastAsia="en-US"/>
              </w:rPr>
              <w:t>Amount to be paid in instalments</w:t>
            </w:r>
          </w:p>
        </w:tc>
      </w:tr>
      <w:tr w:rsidR="00896343" w:rsidRPr="0024366A" w14:paraId="0A67FEC8" w14:textId="7E39545C" w:rsidTr="00C441FB">
        <w:tc>
          <w:tcPr>
            <w:tcW w:w="1951" w:type="dxa"/>
            <w:vMerge/>
            <w:vAlign w:val="center"/>
          </w:tcPr>
          <w:p w14:paraId="1DA43F2E" w14:textId="3CF23DDE" w:rsidR="00896343" w:rsidRDefault="00896343" w:rsidP="0024366A">
            <w:pPr>
              <w:rPr>
                <w:rFonts w:eastAsia="Calibri"/>
                <w:noProof/>
              </w:rPr>
            </w:pPr>
          </w:p>
        </w:tc>
        <w:tc>
          <w:tcPr>
            <w:tcW w:w="2268" w:type="dxa"/>
            <w:vMerge/>
            <w:vAlign w:val="center"/>
          </w:tcPr>
          <w:p w14:paraId="41189723" w14:textId="77777777" w:rsidR="00896343" w:rsidRDefault="00896343" w:rsidP="0024366A">
            <w:pPr>
              <w:rPr>
                <w:rFonts w:eastAsia="Calibri"/>
                <w:noProof/>
              </w:rPr>
            </w:pPr>
          </w:p>
        </w:tc>
        <w:tc>
          <w:tcPr>
            <w:tcW w:w="2037" w:type="dxa"/>
            <w:shd w:val="clear" w:color="auto" w:fill="92D050"/>
            <w:vAlign w:val="center"/>
          </w:tcPr>
          <w:p w14:paraId="676AE1DE" w14:textId="48759657" w:rsidR="00896343" w:rsidRPr="00C639A0" w:rsidRDefault="00896343" w:rsidP="00C639A0">
            <w:pPr>
              <w:keepNext/>
              <w:keepLines/>
              <w:spacing w:before="0"/>
              <w:jc w:val="center"/>
              <w:rPr>
                <w:rFonts w:eastAsia="Calibri"/>
                <w:b/>
                <w:bCs/>
                <w:noProof/>
                <w:sz w:val="22"/>
                <w:szCs w:val="22"/>
                <w:lang w:eastAsia="en-US"/>
              </w:rPr>
            </w:pPr>
            <w:r w:rsidRPr="00C639A0">
              <w:rPr>
                <w:rFonts w:eastAsia="Calibri"/>
                <w:b/>
                <w:bCs/>
                <w:noProof/>
              </w:rPr>
              <w:t>EAGF</w:t>
            </w:r>
          </w:p>
        </w:tc>
        <w:tc>
          <w:tcPr>
            <w:tcW w:w="2038" w:type="dxa"/>
            <w:shd w:val="clear" w:color="auto" w:fill="92D050"/>
            <w:vAlign w:val="center"/>
          </w:tcPr>
          <w:p w14:paraId="78665078" w14:textId="258A2294" w:rsidR="00896343" w:rsidRPr="00C639A0" w:rsidRDefault="00896343" w:rsidP="00C639A0">
            <w:pPr>
              <w:keepNext/>
              <w:keepLines/>
              <w:spacing w:before="0"/>
              <w:jc w:val="center"/>
              <w:rPr>
                <w:rFonts w:eastAsia="Calibri"/>
                <w:b/>
                <w:bCs/>
                <w:noProof/>
                <w:sz w:val="22"/>
                <w:szCs w:val="22"/>
                <w:lang w:eastAsia="en-US"/>
              </w:rPr>
            </w:pPr>
            <w:r w:rsidRPr="00C639A0">
              <w:rPr>
                <w:rFonts w:eastAsia="Calibri"/>
                <w:b/>
                <w:bCs/>
                <w:noProof/>
              </w:rPr>
              <w:t>EAFRD</w:t>
            </w:r>
          </w:p>
        </w:tc>
      </w:tr>
      <w:tr w:rsidR="00896343" w:rsidRPr="0024366A" w14:paraId="595DF615" w14:textId="77777777" w:rsidTr="00C639A0">
        <w:tc>
          <w:tcPr>
            <w:tcW w:w="1951" w:type="dxa"/>
            <w:vAlign w:val="center"/>
          </w:tcPr>
          <w:p w14:paraId="314184F9" w14:textId="46CEA130" w:rsidR="00896343" w:rsidRPr="00C441FB" w:rsidRDefault="00896343" w:rsidP="00C639A0">
            <w:pPr>
              <w:spacing w:before="0"/>
              <w:jc w:val="center"/>
              <w:rPr>
                <w:rFonts w:eastAsia="Calibri"/>
                <w:noProof/>
                <w:sz w:val="22"/>
                <w:szCs w:val="22"/>
              </w:rPr>
            </w:pPr>
            <w:r w:rsidRPr="00C441FB">
              <w:rPr>
                <w:rFonts w:eastAsia="Calibri"/>
                <w:noProof/>
                <w:sz w:val="22"/>
                <w:szCs w:val="22"/>
              </w:rPr>
              <w:t>70</w:t>
            </w:r>
          </w:p>
        </w:tc>
        <w:tc>
          <w:tcPr>
            <w:tcW w:w="2268" w:type="dxa"/>
            <w:vAlign w:val="center"/>
          </w:tcPr>
          <w:p w14:paraId="39970F89" w14:textId="000A8A61" w:rsidR="00896343" w:rsidRPr="00C441FB" w:rsidRDefault="00896343" w:rsidP="00C639A0">
            <w:pPr>
              <w:spacing w:before="0"/>
              <w:jc w:val="center"/>
              <w:rPr>
                <w:rFonts w:eastAsia="Calibri"/>
                <w:noProof/>
                <w:sz w:val="22"/>
                <w:szCs w:val="22"/>
              </w:rPr>
            </w:pPr>
            <w:r w:rsidRPr="00C441FB">
              <w:rPr>
                <w:rFonts w:eastAsia="Calibri"/>
                <w:noProof/>
                <w:sz w:val="22"/>
                <w:szCs w:val="22"/>
              </w:rPr>
              <w:t>Romania</w:t>
            </w:r>
          </w:p>
        </w:tc>
        <w:tc>
          <w:tcPr>
            <w:tcW w:w="2037" w:type="dxa"/>
            <w:vAlign w:val="center"/>
          </w:tcPr>
          <w:p w14:paraId="60730722" w14:textId="62311690" w:rsidR="00896343" w:rsidRPr="00C441FB" w:rsidRDefault="00896343" w:rsidP="00C639A0">
            <w:pPr>
              <w:jc w:val="center"/>
              <w:rPr>
                <w:rFonts w:eastAsia="Calibri"/>
                <w:noProof/>
                <w:sz w:val="22"/>
                <w:szCs w:val="22"/>
              </w:rPr>
            </w:pPr>
            <w:r w:rsidRPr="00C441FB">
              <w:rPr>
                <w:rFonts w:eastAsia="Calibri"/>
                <w:noProof/>
                <w:sz w:val="22"/>
                <w:szCs w:val="22"/>
              </w:rPr>
              <w:t>54.4</w:t>
            </w:r>
          </w:p>
        </w:tc>
        <w:tc>
          <w:tcPr>
            <w:tcW w:w="2038" w:type="dxa"/>
            <w:vAlign w:val="center"/>
          </w:tcPr>
          <w:p w14:paraId="733BD4C1" w14:textId="029B891F" w:rsidR="00896343" w:rsidRPr="00C441FB" w:rsidRDefault="00896343" w:rsidP="00C639A0">
            <w:pPr>
              <w:jc w:val="center"/>
              <w:rPr>
                <w:rFonts w:eastAsia="Calibri"/>
                <w:noProof/>
                <w:sz w:val="22"/>
                <w:szCs w:val="22"/>
              </w:rPr>
            </w:pPr>
            <w:r w:rsidRPr="00C441FB">
              <w:rPr>
                <w:rFonts w:eastAsia="Calibri"/>
                <w:noProof/>
                <w:sz w:val="22"/>
                <w:szCs w:val="22"/>
              </w:rPr>
              <w:t>19.7</w:t>
            </w:r>
          </w:p>
        </w:tc>
      </w:tr>
      <w:tr w:rsidR="00896343" w:rsidRPr="0024366A" w14:paraId="2AB6DF3E" w14:textId="77777777" w:rsidTr="00C639A0">
        <w:tc>
          <w:tcPr>
            <w:tcW w:w="1951" w:type="dxa"/>
            <w:vAlign w:val="center"/>
          </w:tcPr>
          <w:p w14:paraId="04B67B25" w14:textId="44628C8F" w:rsidR="00896343" w:rsidRPr="00C441FB" w:rsidRDefault="00896343" w:rsidP="00C639A0">
            <w:pPr>
              <w:spacing w:before="0"/>
              <w:jc w:val="center"/>
              <w:rPr>
                <w:rFonts w:eastAsia="Calibri"/>
                <w:noProof/>
                <w:sz w:val="22"/>
                <w:szCs w:val="22"/>
              </w:rPr>
            </w:pPr>
            <w:r w:rsidRPr="00C441FB">
              <w:rPr>
                <w:rFonts w:eastAsia="Calibri"/>
                <w:noProof/>
                <w:sz w:val="22"/>
                <w:szCs w:val="22"/>
              </w:rPr>
              <w:t>71</w:t>
            </w:r>
          </w:p>
        </w:tc>
        <w:tc>
          <w:tcPr>
            <w:tcW w:w="2268" w:type="dxa"/>
            <w:vAlign w:val="center"/>
          </w:tcPr>
          <w:p w14:paraId="679EE30D" w14:textId="13B7304E" w:rsidR="00896343" w:rsidRPr="00C441FB" w:rsidRDefault="00896343" w:rsidP="00C639A0">
            <w:pPr>
              <w:spacing w:before="0"/>
              <w:jc w:val="center"/>
              <w:rPr>
                <w:rFonts w:eastAsia="Calibri"/>
                <w:noProof/>
                <w:sz w:val="22"/>
                <w:szCs w:val="22"/>
              </w:rPr>
            </w:pPr>
            <w:r w:rsidRPr="00C441FB">
              <w:rPr>
                <w:rFonts w:eastAsia="Calibri"/>
                <w:noProof/>
                <w:sz w:val="22"/>
                <w:szCs w:val="22"/>
              </w:rPr>
              <w:t>Lithuania</w:t>
            </w:r>
          </w:p>
        </w:tc>
        <w:tc>
          <w:tcPr>
            <w:tcW w:w="2037" w:type="dxa"/>
            <w:vAlign w:val="center"/>
          </w:tcPr>
          <w:p w14:paraId="604A061F" w14:textId="608E0B80" w:rsidR="00896343" w:rsidRPr="00C441FB" w:rsidRDefault="00896343" w:rsidP="00C639A0">
            <w:pPr>
              <w:jc w:val="center"/>
              <w:rPr>
                <w:rFonts w:eastAsia="Calibri"/>
                <w:noProof/>
                <w:sz w:val="22"/>
                <w:szCs w:val="22"/>
              </w:rPr>
            </w:pPr>
            <w:r w:rsidRPr="00C441FB">
              <w:rPr>
                <w:rFonts w:eastAsia="Calibri"/>
                <w:noProof/>
                <w:sz w:val="22"/>
                <w:szCs w:val="22"/>
              </w:rPr>
              <w:t>12.1</w:t>
            </w:r>
          </w:p>
        </w:tc>
        <w:tc>
          <w:tcPr>
            <w:tcW w:w="2038" w:type="dxa"/>
            <w:vAlign w:val="center"/>
          </w:tcPr>
          <w:p w14:paraId="557954CB" w14:textId="0A4D1F76" w:rsidR="00896343" w:rsidRPr="00C441FB" w:rsidRDefault="00896343" w:rsidP="00C639A0">
            <w:pPr>
              <w:jc w:val="center"/>
              <w:rPr>
                <w:rFonts w:eastAsia="Calibri"/>
                <w:noProof/>
                <w:sz w:val="22"/>
                <w:szCs w:val="22"/>
              </w:rPr>
            </w:pPr>
            <w:r w:rsidRPr="00C441FB">
              <w:rPr>
                <w:rFonts w:eastAsia="Calibri"/>
                <w:noProof/>
                <w:sz w:val="22"/>
                <w:szCs w:val="22"/>
              </w:rPr>
              <w:t>1.0</w:t>
            </w:r>
          </w:p>
        </w:tc>
      </w:tr>
    </w:tbl>
    <w:p w14:paraId="449F0BCA" w14:textId="096B4B3D" w:rsidR="00930A9E" w:rsidRPr="001C1B70" w:rsidRDefault="00A44A15" w:rsidP="00C441FB">
      <w:pPr>
        <w:pStyle w:val="ListBullet1"/>
        <w:spacing w:after="160"/>
        <w:ind w:left="1135" w:hanging="284"/>
        <w:rPr>
          <w:rFonts w:eastAsia="MS PGothic"/>
          <w:noProof/>
        </w:rPr>
      </w:pPr>
      <w:bookmarkStart w:id="78" w:name="_Toc322938649"/>
      <w:r>
        <w:rPr>
          <w:noProof/>
        </w:rPr>
        <w:t>R</w:t>
      </w:r>
      <w:r w:rsidRPr="00930A9E">
        <w:rPr>
          <w:noProof/>
        </w:rPr>
        <w:t xml:space="preserve">egarding financial year </w:t>
      </w:r>
      <w:r w:rsidR="00BB25C3" w:rsidRPr="00930A9E">
        <w:rPr>
          <w:noProof/>
        </w:rPr>
        <w:t>202</w:t>
      </w:r>
      <w:r w:rsidR="00352FAB">
        <w:rPr>
          <w:noProof/>
        </w:rPr>
        <w:t>3</w:t>
      </w:r>
      <w:r w:rsidRPr="00930A9E">
        <w:rPr>
          <w:noProof/>
        </w:rPr>
        <w:t xml:space="preserve">, Member States reported the information about recovery cases on 15 February </w:t>
      </w:r>
      <w:r w:rsidR="00BB25C3" w:rsidRPr="00930A9E">
        <w:rPr>
          <w:noProof/>
        </w:rPr>
        <w:t>202</w:t>
      </w:r>
      <w:r w:rsidR="00352FAB">
        <w:rPr>
          <w:noProof/>
        </w:rPr>
        <w:t>4</w:t>
      </w:r>
      <w:r w:rsidR="00DB41AC">
        <w:rPr>
          <w:noProof/>
        </w:rPr>
        <w:t>. These are presented in the</w:t>
      </w:r>
      <w:r w:rsidR="00930A9E" w:rsidRPr="00930A9E">
        <w:rPr>
          <w:noProof/>
        </w:rPr>
        <w:t xml:space="preserve"> AAR</w:t>
      </w:r>
      <w:r w:rsidR="00DB41AC">
        <w:rPr>
          <w:noProof/>
        </w:rPr>
        <w:t>,</w:t>
      </w:r>
      <w:r w:rsidR="00930A9E" w:rsidRPr="00930A9E">
        <w:rPr>
          <w:noProof/>
        </w:rPr>
        <w:t xml:space="preserve"> </w:t>
      </w:r>
      <w:r w:rsidR="00DB41AC">
        <w:rPr>
          <w:noProof/>
        </w:rPr>
        <w:t>table Annex 7 – 5.2-1</w:t>
      </w:r>
      <w:r w:rsidR="00C0595D">
        <w:rPr>
          <w:noProof/>
        </w:rPr>
        <w:t xml:space="preserve"> and</w:t>
      </w:r>
      <w:r w:rsidR="00491E2B">
        <w:rPr>
          <w:noProof/>
        </w:rPr>
        <w:t xml:space="preserve"> 7 –</w:t>
      </w:r>
      <w:r w:rsidR="00C0595D">
        <w:rPr>
          <w:noProof/>
        </w:rPr>
        <w:t xml:space="preserve"> 5.3-1</w:t>
      </w:r>
      <w:r w:rsidR="00930A9E">
        <w:rPr>
          <w:noProof/>
        </w:rPr>
        <w:t>.</w:t>
      </w:r>
    </w:p>
    <w:p w14:paraId="24941C0D" w14:textId="78635471" w:rsidR="00A44A15" w:rsidRDefault="1BFC6801" w:rsidP="57DE3101">
      <w:pPr>
        <w:pStyle w:val="Text1"/>
        <w:rPr>
          <w:b/>
          <w:bCs/>
        </w:rPr>
      </w:pPr>
      <w:r w:rsidRPr="00FA2DF2">
        <w:t xml:space="preserve">The Member States recovered during financial year </w:t>
      </w:r>
      <w:r w:rsidR="6A061D6D" w:rsidRPr="00FA2DF2">
        <w:t>202</w:t>
      </w:r>
      <w:r w:rsidR="6A061D6D">
        <w:t>3</w:t>
      </w:r>
      <w:r w:rsidR="6A061D6D" w:rsidRPr="00FA2DF2">
        <w:t xml:space="preserve"> </w:t>
      </w:r>
      <w:r w:rsidRPr="00FA2DF2">
        <w:t>around EUR</w:t>
      </w:r>
      <w:r w:rsidR="00177C3A">
        <w:t> </w:t>
      </w:r>
      <w:r w:rsidR="602E6980">
        <w:t>357.7</w:t>
      </w:r>
      <w:r w:rsidR="7B4B696B" w:rsidRPr="00FA2DF2">
        <w:t xml:space="preserve"> </w:t>
      </w:r>
      <w:r w:rsidRPr="00FA2DF2">
        <w:t>million for the EAGF</w:t>
      </w:r>
      <w:r w:rsidR="602E6980">
        <w:t xml:space="preserve">, EAFRD and </w:t>
      </w:r>
      <w:r w:rsidR="003C7E77">
        <w:t xml:space="preserve">the </w:t>
      </w:r>
      <w:r w:rsidR="602E6980">
        <w:t>T</w:t>
      </w:r>
      <w:r w:rsidR="003C7E77">
        <w:t xml:space="preserve">emporary </w:t>
      </w:r>
      <w:r w:rsidR="602E6980">
        <w:t>R</w:t>
      </w:r>
      <w:r w:rsidR="003C7E77">
        <w:t xml:space="preserve">ural </w:t>
      </w:r>
      <w:r w:rsidR="602E6980">
        <w:t>D</w:t>
      </w:r>
      <w:r w:rsidR="003C7E77">
        <w:t xml:space="preserve">evelopment </w:t>
      </w:r>
      <w:r w:rsidR="602E6980">
        <w:t>I</w:t>
      </w:r>
      <w:r w:rsidR="003C7E77">
        <w:t>nstrument (TRDI)</w:t>
      </w:r>
      <w:r w:rsidRPr="00FA2DF2">
        <w:t xml:space="preserve">. The outstanding amount still to be recovered from beneficiaries at the end of the financial year </w:t>
      </w:r>
      <w:r w:rsidR="602E6980" w:rsidRPr="00FA2DF2">
        <w:t>202</w:t>
      </w:r>
      <w:r w:rsidR="602E6980">
        <w:t>3</w:t>
      </w:r>
      <w:r w:rsidR="602E6980" w:rsidRPr="00FA2DF2">
        <w:t xml:space="preserve"> </w:t>
      </w:r>
      <w:r w:rsidRPr="00FA2DF2">
        <w:t>was EUR</w:t>
      </w:r>
      <w:r w:rsidR="00177C3A">
        <w:t> </w:t>
      </w:r>
      <w:r w:rsidR="065033B8">
        <w:t>1</w:t>
      </w:r>
      <w:r w:rsidR="065033B8">
        <w:rPr>
          <w:lang w:val="en-IE"/>
        </w:rPr>
        <w:t> </w:t>
      </w:r>
      <w:r w:rsidR="4974E116">
        <w:rPr>
          <w:lang w:val="en-IE"/>
        </w:rPr>
        <w:t>960</w:t>
      </w:r>
      <w:r w:rsidR="7F732A6B">
        <w:rPr>
          <w:lang w:val="en-IE"/>
        </w:rPr>
        <w:t>.7</w:t>
      </w:r>
      <w:r w:rsidR="7B4B696B" w:rsidRPr="00FA2DF2">
        <w:t xml:space="preserve"> </w:t>
      </w:r>
      <w:r w:rsidRPr="00FA2DF2">
        <w:t xml:space="preserve">million for </w:t>
      </w:r>
      <w:r w:rsidR="21F59EC4" w:rsidRPr="00FA2DF2">
        <w:t xml:space="preserve">all the </w:t>
      </w:r>
      <w:r w:rsidR="6049A288" w:rsidRPr="00FA2DF2">
        <w:t>f</w:t>
      </w:r>
      <w:r w:rsidR="1499F60C" w:rsidRPr="00FA2DF2">
        <w:t>unds</w:t>
      </w:r>
      <w:r>
        <w:t xml:space="preserve">. The financial consequences </w:t>
      </w:r>
      <w:r w:rsidR="3E56B379">
        <w:t>for</w:t>
      </w:r>
      <w:r>
        <w:t xml:space="preserve"> Member States for non-recovery of EAGF, EAFRD and TRDI cases within 4 years from the date of the recovery request</w:t>
      </w:r>
      <w:r w:rsidRPr="002E1FB4">
        <w:t xml:space="preserve"> </w:t>
      </w:r>
      <w:r>
        <w:t>(for new cases</w:t>
      </w:r>
      <w:r w:rsidR="007F7E98">
        <w:rPr>
          <w:rStyle w:val="FootnoteReference"/>
        </w:rPr>
        <w:footnoteReference w:id="12"/>
      </w:r>
      <w:r>
        <w:t xml:space="preserve">) or Primary administrative or judicial finding – PACA - (for old cases), or within 8 years where recovery is taken to the national courts, amounted to EUR  </w:t>
      </w:r>
      <w:r w:rsidR="24B6D064">
        <w:t>83.6</w:t>
      </w:r>
      <w:r w:rsidR="7FACF5C1" w:rsidRPr="00447390">
        <w:t xml:space="preserve"> </w:t>
      </w:r>
      <w:r>
        <w:t xml:space="preserve">million. During financial year </w:t>
      </w:r>
      <w:r w:rsidR="24B6D064" w:rsidRPr="00447390">
        <w:t>202</w:t>
      </w:r>
      <w:r w:rsidR="24B6D064">
        <w:t>3</w:t>
      </w:r>
      <w:r>
        <w:t>, around EUR</w:t>
      </w:r>
      <w:r w:rsidR="00177C3A">
        <w:t> </w:t>
      </w:r>
      <w:r w:rsidR="16AAF02F">
        <w:t>18</w:t>
      </w:r>
      <w:r>
        <w:t xml:space="preserve"> million was borne at 100% by the EU budget</w:t>
      </w:r>
      <w:r w:rsidR="006B103F">
        <w:rPr>
          <w:rStyle w:val="FootnoteReference"/>
        </w:rPr>
        <w:footnoteReference w:id="13"/>
      </w:r>
      <w:r>
        <w:t xml:space="preserve"> for EAGF, EAFRD and TRDI. </w:t>
      </w:r>
    </w:p>
    <w:p w14:paraId="13FD5DCD" w14:textId="7743979E" w:rsidR="00A44A15" w:rsidRDefault="0003316B" w:rsidP="00C441FB">
      <w:pPr>
        <w:pStyle w:val="ManualHeading2"/>
        <w:spacing w:before="360" w:after="160"/>
        <w:ind w:left="851" w:hanging="851"/>
        <w:rPr>
          <w:noProof/>
        </w:rPr>
      </w:pPr>
      <w:bookmarkStart w:id="79" w:name="_Toc102661885"/>
      <w:bookmarkStart w:id="80" w:name="_Toc105773239"/>
      <w:bookmarkStart w:id="81" w:name="_Toc139622288"/>
      <w:bookmarkStart w:id="82" w:name="_Toc173181065"/>
      <w:r w:rsidRPr="6AF0C460">
        <w:rPr>
          <w:noProof/>
        </w:rPr>
        <w:t>5</w:t>
      </w:r>
      <w:r w:rsidR="00A44A15" w:rsidRPr="6AF0C460">
        <w:rPr>
          <w:noProof/>
        </w:rPr>
        <w:t>.2.</w:t>
      </w:r>
      <w:r w:rsidR="00783DE4">
        <w:rPr>
          <w:noProof/>
        </w:rPr>
        <w:tab/>
      </w:r>
      <w:r w:rsidR="00A44A15" w:rsidRPr="6AF0C460">
        <w:rPr>
          <w:noProof/>
        </w:rPr>
        <w:t>Financial clearance</w:t>
      </w:r>
      <w:bookmarkEnd w:id="78"/>
      <w:bookmarkEnd w:id="79"/>
      <w:bookmarkEnd w:id="80"/>
      <w:bookmarkEnd w:id="81"/>
      <w:bookmarkEnd w:id="82"/>
    </w:p>
    <w:p w14:paraId="4B42433E" w14:textId="64321F75" w:rsidR="00292B86" w:rsidRDefault="5D41918E" w:rsidP="001C1B70">
      <w:pPr>
        <w:pStyle w:val="Text1"/>
      </w:pPr>
      <w:bookmarkStart w:id="83" w:name="_Toc105773243"/>
      <w:bookmarkStart w:id="84" w:name="_Toc102661889"/>
      <w:bookmarkStart w:id="85" w:name="_Toc105773244"/>
      <w:r>
        <w:t>An overview of the f</w:t>
      </w:r>
      <w:r w:rsidR="1BFC6801">
        <w:t>inancial clearance decision</w:t>
      </w:r>
      <w:r w:rsidR="34C79B78">
        <w:t>s</w:t>
      </w:r>
      <w:r w:rsidR="1BFC6801">
        <w:t xml:space="preserve"> </w:t>
      </w:r>
      <w:r w:rsidR="299966BB">
        <w:t>adopted in 202</w:t>
      </w:r>
      <w:r w:rsidR="7635DCEA">
        <w:t>3</w:t>
      </w:r>
      <w:r w:rsidR="299966BB">
        <w:t xml:space="preserve"> </w:t>
      </w:r>
      <w:bookmarkEnd w:id="83"/>
      <w:bookmarkEnd w:id="84"/>
      <w:r>
        <w:t xml:space="preserve">can be found in </w:t>
      </w:r>
      <w:r w:rsidR="003B1662">
        <w:t>t</w:t>
      </w:r>
      <w:r>
        <w:t xml:space="preserve">able </w:t>
      </w:r>
      <w:r w:rsidR="13F7BEA0">
        <w:t>7</w:t>
      </w:r>
      <w:r w:rsidR="3ADC6BAF">
        <w:t>. The financial corrections in conformity clearance decisions in 2023 are detailed in Annex 1</w:t>
      </w:r>
      <w:r w:rsidR="004F4BB0">
        <w:t>8</w:t>
      </w:r>
      <w:r w:rsidR="3ADC6BAF">
        <w:t>.</w:t>
      </w:r>
    </w:p>
    <w:p w14:paraId="058E5FB2" w14:textId="77777777" w:rsidR="00C448E3" w:rsidRDefault="00C448E3" w:rsidP="001C1B70">
      <w:pPr>
        <w:pStyle w:val="Text1"/>
      </w:pPr>
    </w:p>
    <w:p w14:paraId="15A9FF30" w14:textId="6F5B2FED" w:rsidR="000A4CAD" w:rsidRDefault="000A4CAD" w:rsidP="00C639A0">
      <w:pPr>
        <w:pStyle w:val="Text1"/>
        <w:rPr>
          <w:i/>
        </w:rPr>
      </w:pPr>
      <w:r w:rsidRPr="00C639A0">
        <w:rPr>
          <w:iCs/>
        </w:rPr>
        <w:t xml:space="preserve">Table </w:t>
      </w:r>
      <w:r w:rsidR="00786D11">
        <w:rPr>
          <w:iCs/>
        </w:rPr>
        <w:t>7</w:t>
      </w:r>
      <w:r w:rsidRPr="00C639A0">
        <w:rPr>
          <w:iCs/>
        </w:rPr>
        <w:t xml:space="preserve">                                                          </w:t>
      </w:r>
      <w:r w:rsidR="001D07EE">
        <w:rPr>
          <w:iCs/>
        </w:rPr>
        <w:t xml:space="preserve">          </w:t>
      </w:r>
      <w:r w:rsidRPr="00C639A0">
        <w:rPr>
          <w:iCs/>
        </w:rPr>
        <w:t xml:space="preserve">    </w:t>
      </w:r>
      <w:r>
        <w:rPr>
          <w:i/>
        </w:rPr>
        <w:t>(in EUR million; current prices)</w:t>
      </w:r>
    </w:p>
    <w:tbl>
      <w:tblPr>
        <w:tblW w:w="8235" w:type="dxa"/>
        <w:tblInd w:w="9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05"/>
        <w:gridCol w:w="1818"/>
        <w:gridCol w:w="1225"/>
        <w:gridCol w:w="1057"/>
        <w:gridCol w:w="1819"/>
        <w:gridCol w:w="1311"/>
      </w:tblGrid>
      <w:tr w:rsidR="0626AC4C" w14:paraId="3286E98C" w14:textId="77777777" w:rsidTr="001D07EE">
        <w:trPr>
          <w:trHeight w:val="900"/>
        </w:trPr>
        <w:tc>
          <w:tcPr>
            <w:tcW w:w="1005" w:type="dxa"/>
            <w:tcBorders>
              <w:top w:val="single" w:sz="8" w:space="0" w:color="auto"/>
              <w:left w:val="single" w:sz="8" w:space="0" w:color="auto"/>
              <w:bottom w:val="single" w:sz="8" w:space="0" w:color="auto"/>
              <w:right w:val="single" w:sz="8" w:space="0" w:color="auto"/>
            </w:tcBorders>
            <w:shd w:val="clear" w:color="auto" w:fill="92D050"/>
            <w:vAlign w:val="center"/>
          </w:tcPr>
          <w:p w14:paraId="3F2620FF" w14:textId="0438355B" w:rsidR="0626AC4C" w:rsidRPr="001D07EE" w:rsidRDefault="000A4CAD" w:rsidP="00C639A0">
            <w:pPr>
              <w:spacing w:after="0"/>
              <w:contextualSpacing/>
              <w:jc w:val="center"/>
              <w:rPr>
                <w:rFonts w:ascii="Times New Roman" w:eastAsia="Times New Roman" w:hAnsi="Times New Roman" w:cs="Times New Roman"/>
                <w:noProof/>
                <w:color w:val="000000" w:themeColor="text1"/>
              </w:rPr>
            </w:pPr>
            <w:r w:rsidRPr="001D07EE">
              <w:rPr>
                <w:noProof/>
              </w:rPr>
              <w:t xml:space="preserve"> </w:t>
            </w:r>
            <w:r w:rsidR="0626AC4C" w:rsidRPr="001D07EE">
              <w:rPr>
                <w:rFonts w:ascii="Times New Roman" w:eastAsia="Times New Roman" w:hAnsi="Times New Roman" w:cs="Times New Roman"/>
                <w:b/>
                <w:bCs/>
                <w:noProof/>
                <w:color w:val="000000" w:themeColor="text1"/>
              </w:rPr>
              <w:t>Fund</w:t>
            </w:r>
            <w:r w:rsidR="0626AC4C" w:rsidRPr="001D07EE">
              <w:rPr>
                <w:rFonts w:ascii="Times New Roman" w:eastAsia="Times New Roman" w:hAnsi="Times New Roman" w:cs="Times New Roman"/>
                <w:noProof/>
                <w:color w:val="000000" w:themeColor="text1"/>
              </w:rPr>
              <w:t xml:space="preserve"> </w:t>
            </w:r>
          </w:p>
        </w:tc>
        <w:tc>
          <w:tcPr>
            <w:tcW w:w="1818" w:type="dxa"/>
            <w:tcBorders>
              <w:top w:val="single" w:sz="8" w:space="0" w:color="auto"/>
              <w:left w:val="single" w:sz="8" w:space="0" w:color="auto"/>
              <w:bottom w:val="single" w:sz="8" w:space="0" w:color="auto"/>
              <w:right w:val="single" w:sz="8" w:space="0" w:color="auto"/>
            </w:tcBorders>
            <w:shd w:val="clear" w:color="auto" w:fill="92D050"/>
            <w:vAlign w:val="center"/>
          </w:tcPr>
          <w:p w14:paraId="6A06B56C" w14:textId="23AA18AA" w:rsidR="0626AC4C" w:rsidRDefault="0626AC4C" w:rsidP="00C639A0">
            <w:pPr>
              <w:spacing w:after="0"/>
              <w:jc w:val="center"/>
              <w:rPr>
                <w:rFonts w:ascii="Times New Roman" w:eastAsia="Times New Roman" w:hAnsi="Times New Roman" w:cs="Times New Roman"/>
                <w:noProof/>
                <w:color w:val="000000" w:themeColor="text1"/>
              </w:rPr>
            </w:pPr>
            <w:r w:rsidRPr="0626AC4C">
              <w:rPr>
                <w:rFonts w:ascii="Times New Roman" w:eastAsia="Times New Roman" w:hAnsi="Times New Roman" w:cs="Times New Roman"/>
                <w:b/>
                <w:bCs/>
                <w:noProof/>
                <w:color w:val="000000" w:themeColor="text1"/>
              </w:rPr>
              <w:t>Decision Number</w:t>
            </w:r>
            <w:r w:rsidRPr="0626AC4C">
              <w:rPr>
                <w:rFonts w:ascii="Times New Roman" w:eastAsia="Times New Roman" w:hAnsi="Times New Roman" w:cs="Times New Roman"/>
                <w:noProof/>
                <w:color w:val="000000" w:themeColor="text1"/>
              </w:rPr>
              <w:t xml:space="preserve"> </w:t>
            </w:r>
          </w:p>
        </w:tc>
        <w:tc>
          <w:tcPr>
            <w:tcW w:w="1225" w:type="dxa"/>
            <w:tcBorders>
              <w:top w:val="single" w:sz="8" w:space="0" w:color="auto"/>
              <w:left w:val="single" w:sz="8" w:space="0" w:color="auto"/>
              <w:bottom w:val="single" w:sz="8" w:space="0" w:color="auto"/>
              <w:right w:val="single" w:sz="8" w:space="0" w:color="auto"/>
            </w:tcBorders>
            <w:shd w:val="clear" w:color="auto" w:fill="92D050"/>
            <w:vAlign w:val="center"/>
          </w:tcPr>
          <w:p w14:paraId="71BA600E" w14:textId="0A9280B5" w:rsidR="0626AC4C" w:rsidRDefault="0626AC4C" w:rsidP="00C639A0">
            <w:pPr>
              <w:spacing w:after="0"/>
              <w:jc w:val="center"/>
              <w:rPr>
                <w:rFonts w:ascii="Times New Roman" w:eastAsia="Times New Roman" w:hAnsi="Times New Roman" w:cs="Times New Roman"/>
                <w:noProof/>
                <w:color w:val="000000" w:themeColor="text1"/>
              </w:rPr>
            </w:pPr>
            <w:r w:rsidRPr="0626AC4C">
              <w:rPr>
                <w:rFonts w:ascii="Times New Roman" w:eastAsia="Times New Roman" w:hAnsi="Times New Roman" w:cs="Times New Roman"/>
                <w:b/>
                <w:bCs/>
                <w:noProof/>
                <w:color w:val="000000" w:themeColor="text1"/>
              </w:rPr>
              <w:t>Adoption Date</w:t>
            </w:r>
            <w:r w:rsidRPr="0626AC4C">
              <w:rPr>
                <w:rFonts w:ascii="Times New Roman" w:eastAsia="Times New Roman" w:hAnsi="Times New Roman" w:cs="Times New Roman"/>
                <w:noProof/>
                <w:color w:val="000000" w:themeColor="text1"/>
              </w:rPr>
              <w:t xml:space="preserve"> </w:t>
            </w:r>
          </w:p>
        </w:tc>
        <w:tc>
          <w:tcPr>
            <w:tcW w:w="1057" w:type="dxa"/>
            <w:tcBorders>
              <w:top w:val="single" w:sz="8" w:space="0" w:color="auto"/>
              <w:left w:val="single" w:sz="8" w:space="0" w:color="auto"/>
              <w:bottom w:val="single" w:sz="8" w:space="0" w:color="auto"/>
              <w:right w:val="single" w:sz="8" w:space="0" w:color="auto"/>
            </w:tcBorders>
            <w:shd w:val="clear" w:color="auto" w:fill="92D050"/>
            <w:vAlign w:val="center"/>
          </w:tcPr>
          <w:p w14:paraId="4D799237" w14:textId="6AE8CCF4" w:rsidR="0626AC4C" w:rsidRDefault="0626AC4C" w:rsidP="00C639A0">
            <w:pPr>
              <w:spacing w:after="0"/>
              <w:jc w:val="center"/>
              <w:rPr>
                <w:rFonts w:ascii="Times New Roman" w:eastAsia="Times New Roman" w:hAnsi="Times New Roman" w:cs="Times New Roman"/>
                <w:noProof/>
                <w:color w:val="000000" w:themeColor="text1"/>
              </w:rPr>
            </w:pPr>
            <w:r w:rsidRPr="0626AC4C">
              <w:rPr>
                <w:rFonts w:ascii="Times New Roman" w:eastAsia="Times New Roman" w:hAnsi="Times New Roman" w:cs="Times New Roman"/>
                <w:b/>
                <w:bCs/>
                <w:noProof/>
                <w:color w:val="000000" w:themeColor="text1"/>
              </w:rPr>
              <w:t>Financial Year</w:t>
            </w:r>
            <w:r w:rsidRPr="0626AC4C">
              <w:rPr>
                <w:rFonts w:ascii="Times New Roman" w:eastAsia="Times New Roman" w:hAnsi="Times New Roman" w:cs="Times New Roman"/>
                <w:noProof/>
                <w:color w:val="000000" w:themeColor="text1"/>
              </w:rPr>
              <w:t xml:space="preserve"> </w:t>
            </w:r>
          </w:p>
        </w:tc>
        <w:tc>
          <w:tcPr>
            <w:tcW w:w="1819" w:type="dxa"/>
            <w:tcBorders>
              <w:top w:val="single" w:sz="8" w:space="0" w:color="auto"/>
              <w:left w:val="single" w:sz="8" w:space="0" w:color="auto"/>
              <w:bottom w:val="single" w:sz="8" w:space="0" w:color="auto"/>
              <w:right w:val="single" w:sz="8" w:space="0" w:color="auto"/>
            </w:tcBorders>
            <w:shd w:val="clear" w:color="auto" w:fill="92D050"/>
            <w:vAlign w:val="center"/>
          </w:tcPr>
          <w:p w14:paraId="66AC501A" w14:textId="6AD42DA6" w:rsidR="0626AC4C" w:rsidRDefault="0626AC4C" w:rsidP="00C639A0">
            <w:pPr>
              <w:spacing w:after="0"/>
              <w:jc w:val="center"/>
              <w:rPr>
                <w:rFonts w:ascii="Times New Roman" w:eastAsia="Times New Roman" w:hAnsi="Times New Roman" w:cs="Times New Roman"/>
                <w:noProof/>
                <w:color w:val="000000" w:themeColor="text1"/>
              </w:rPr>
            </w:pPr>
            <w:r w:rsidRPr="0626AC4C">
              <w:rPr>
                <w:rFonts w:ascii="Times New Roman" w:eastAsia="Times New Roman" w:hAnsi="Times New Roman" w:cs="Times New Roman"/>
                <w:b/>
                <w:bCs/>
                <w:noProof/>
                <w:color w:val="000000" w:themeColor="text1"/>
              </w:rPr>
              <w:t xml:space="preserve">Declared expenditure cleared </w:t>
            </w:r>
          </w:p>
        </w:tc>
        <w:tc>
          <w:tcPr>
            <w:tcW w:w="1311" w:type="dxa"/>
            <w:tcBorders>
              <w:top w:val="single" w:sz="8" w:space="0" w:color="auto"/>
              <w:left w:val="single" w:sz="8" w:space="0" w:color="auto"/>
              <w:bottom w:val="single" w:sz="8" w:space="0" w:color="auto"/>
              <w:right w:val="single" w:sz="8" w:space="0" w:color="auto"/>
            </w:tcBorders>
            <w:shd w:val="clear" w:color="auto" w:fill="92D050"/>
            <w:vAlign w:val="center"/>
          </w:tcPr>
          <w:p w14:paraId="50BE33CE" w14:textId="5AFFB81E" w:rsidR="0626AC4C" w:rsidRDefault="0626AC4C" w:rsidP="00C639A0">
            <w:pPr>
              <w:spacing w:after="0"/>
              <w:jc w:val="center"/>
              <w:rPr>
                <w:rFonts w:ascii="Times New Roman" w:eastAsia="Times New Roman" w:hAnsi="Times New Roman" w:cs="Times New Roman"/>
                <w:noProof/>
                <w:color w:val="000000" w:themeColor="text1"/>
              </w:rPr>
            </w:pPr>
            <w:r w:rsidRPr="0626AC4C">
              <w:rPr>
                <w:rFonts w:ascii="Times New Roman" w:eastAsia="Times New Roman" w:hAnsi="Times New Roman" w:cs="Times New Roman"/>
                <w:b/>
                <w:bCs/>
                <w:noProof/>
                <w:color w:val="000000" w:themeColor="text1"/>
              </w:rPr>
              <w:t>PA concerned</w:t>
            </w:r>
            <w:r w:rsidRPr="0626AC4C">
              <w:rPr>
                <w:rFonts w:ascii="Times New Roman" w:eastAsia="Times New Roman" w:hAnsi="Times New Roman" w:cs="Times New Roman"/>
                <w:noProof/>
                <w:color w:val="000000" w:themeColor="text1"/>
              </w:rPr>
              <w:t xml:space="preserve"> </w:t>
            </w:r>
          </w:p>
        </w:tc>
      </w:tr>
      <w:tr w:rsidR="0626AC4C" w14:paraId="2BB499C2" w14:textId="77777777" w:rsidTr="001D07EE">
        <w:trPr>
          <w:trHeight w:val="690"/>
        </w:trPr>
        <w:tc>
          <w:tcPr>
            <w:tcW w:w="1005" w:type="dxa"/>
            <w:tcBorders>
              <w:top w:val="single" w:sz="8" w:space="0" w:color="auto"/>
              <w:left w:val="single" w:sz="8" w:space="0" w:color="auto"/>
              <w:bottom w:val="single" w:sz="8" w:space="0" w:color="auto"/>
              <w:right w:val="single" w:sz="8" w:space="0" w:color="auto"/>
            </w:tcBorders>
            <w:vAlign w:val="center"/>
          </w:tcPr>
          <w:p w14:paraId="220E305C" w14:textId="61AD585C"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 xml:space="preserve">EAGF </w:t>
            </w:r>
          </w:p>
        </w:tc>
        <w:tc>
          <w:tcPr>
            <w:tcW w:w="1818" w:type="dxa"/>
            <w:tcBorders>
              <w:top w:val="single" w:sz="8" w:space="0" w:color="auto"/>
              <w:left w:val="single" w:sz="8" w:space="0" w:color="auto"/>
              <w:bottom w:val="single" w:sz="8" w:space="0" w:color="auto"/>
              <w:right w:val="single" w:sz="8" w:space="0" w:color="auto"/>
            </w:tcBorders>
            <w:vAlign w:val="center"/>
          </w:tcPr>
          <w:p w14:paraId="19203C02" w14:textId="6DDAC527"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Decision (EU) 2023/1037</w:t>
            </w:r>
          </w:p>
        </w:tc>
        <w:tc>
          <w:tcPr>
            <w:tcW w:w="1225" w:type="dxa"/>
            <w:tcBorders>
              <w:top w:val="single" w:sz="8" w:space="0" w:color="auto"/>
              <w:left w:val="single" w:sz="8" w:space="0" w:color="auto"/>
              <w:bottom w:val="single" w:sz="8" w:space="0" w:color="auto"/>
              <w:right w:val="single" w:sz="8" w:space="0" w:color="auto"/>
            </w:tcBorders>
            <w:vAlign w:val="center"/>
          </w:tcPr>
          <w:p w14:paraId="293F37FF" w14:textId="705568C1"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 xml:space="preserve">24.5.2023 </w:t>
            </w:r>
          </w:p>
        </w:tc>
        <w:tc>
          <w:tcPr>
            <w:tcW w:w="1057" w:type="dxa"/>
            <w:tcBorders>
              <w:top w:val="single" w:sz="8" w:space="0" w:color="auto"/>
              <w:left w:val="single" w:sz="8" w:space="0" w:color="auto"/>
              <w:bottom w:val="single" w:sz="8" w:space="0" w:color="auto"/>
              <w:right w:val="single" w:sz="8" w:space="0" w:color="auto"/>
            </w:tcBorders>
            <w:vAlign w:val="center"/>
          </w:tcPr>
          <w:p w14:paraId="779C776D" w14:textId="35855D86"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 xml:space="preserve">2022 </w:t>
            </w:r>
          </w:p>
        </w:tc>
        <w:tc>
          <w:tcPr>
            <w:tcW w:w="1819" w:type="dxa"/>
            <w:tcBorders>
              <w:top w:val="single" w:sz="8" w:space="0" w:color="auto"/>
              <w:left w:val="single" w:sz="8" w:space="0" w:color="auto"/>
              <w:bottom w:val="single" w:sz="8" w:space="0" w:color="auto"/>
              <w:right w:val="single" w:sz="8" w:space="0" w:color="auto"/>
            </w:tcBorders>
            <w:vAlign w:val="center"/>
          </w:tcPr>
          <w:p w14:paraId="1D8F3768" w14:textId="25B395D4"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 xml:space="preserve">40 731.25 </w:t>
            </w:r>
          </w:p>
        </w:tc>
        <w:tc>
          <w:tcPr>
            <w:tcW w:w="1311" w:type="dxa"/>
            <w:tcBorders>
              <w:top w:val="single" w:sz="8" w:space="0" w:color="auto"/>
              <w:left w:val="single" w:sz="8" w:space="0" w:color="auto"/>
              <w:bottom w:val="single" w:sz="8" w:space="0" w:color="auto"/>
              <w:right w:val="single" w:sz="8" w:space="0" w:color="auto"/>
            </w:tcBorders>
            <w:vAlign w:val="center"/>
          </w:tcPr>
          <w:p w14:paraId="46DC8564" w14:textId="4DC11159"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 xml:space="preserve">All MS PAs </w:t>
            </w:r>
          </w:p>
        </w:tc>
      </w:tr>
      <w:tr w:rsidR="0626AC4C" w14:paraId="0BD5CF26" w14:textId="77777777" w:rsidTr="001D07EE">
        <w:trPr>
          <w:trHeight w:val="300"/>
        </w:trPr>
        <w:tc>
          <w:tcPr>
            <w:tcW w:w="1005" w:type="dxa"/>
            <w:tcBorders>
              <w:top w:val="single" w:sz="8" w:space="0" w:color="auto"/>
              <w:left w:val="single" w:sz="8" w:space="0" w:color="auto"/>
              <w:bottom w:val="single" w:sz="8" w:space="0" w:color="auto"/>
              <w:right w:val="single" w:sz="8" w:space="0" w:color="auto"/>
            </w:tcBorders>
            <w:vAlign w:val="center"/>
          </w:tcPr>
          <w:p w14:paraId="4C351111" w14:textId="5B2C8E5B"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 xml:space="preserve">EAGF </w:t>
            </w:r>
          </w:p>
        </w:tc>
        <w:tc>
          <w:tcPr>
            <w:tcW w:w="1818" w:type="dxa"/>
            <w:tcBorders>
              <w:top w:val="single" w:sz="8" w:space="0" w:color="auto"/>
              <w:left w:val="single" w:sz="8" w:space="0" w:color="auto"/>
              <w:bottom w:val="single" w:sz="8" w:space="0" w:color="auto"/>
              <w:right w:val="single" w:sz="8" w:space="0" w:color="auto"/>
            </w:tcBorders>
            <w:vAlign w:val="center"/>
          </w:tcPr>
          <w:p w14:paraId="6F3571AA" w14:textId="6075D826"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Decision (EU) 2023/1039</w:t>
            </w:r>
          </w:p>
        </w:tc>
        <w:tc>
          <w:tcPr>
            <w:tcW w:w="1225" w:type="dxa"/>
            <w:tcBorders>
              <w:top w:val="single" w:sz="8" w:space="0" w:color="auto"/>
              <w:left w:val="single" w:sz="8" w:space="0" w:color="auto"/>
              <w:bottom w:val="single" w:sz="8" w:space="0" w:color="auto"/>
              <w:right w:val="single" w:sz="8" w:space="0" w:color="auto"/>
            </w:tcBorders>
            <w:vAlign w:val="center"/>
          </w:tcPr>
          <w:p w14:paraId="11E083F6" w14:textId="1F0D85F1"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 xml:space="preserve">24.5.2023 </w:t>
            </w:r>
          </w:p>
        </w:tc>
        <w:tc>
          <w:tcPr>
            <w:tcW w:w="1057" w:type="dxa"/>
            <w:tcBorders>
              <w:top w:val="single" w:sz="8" w:space="0" w:color="auto"/>
              <w:left w:val="single" w:sz="8" w:space="0" w:color="auto"/>
              <w:bottom w:val="single" w:sz="8" w:space="0" w:color="auto"/>
              <w:right w:val="single" w:sz="8" w:space="0" w:color="auto"/>
            </w:tcBorders>
            <w:vAlign w:val="center"/>
          </w:tcPr>
          <w:p w14:paraId="0AA9786C" w14:textId="7338F1E0"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 xml:space="preserve">2022 </w:t>
            </w:r>
          </w:p>
        </w:tc>
        <w:tc>
          <w:tcPr>
            <w:tcW w:w="1819" w:type="dxa"/>
            <w:tcBorders>
              <w:top w:val="single" w:sz="8" w:space="0" w:color="auto"/>
              <w:left w:val="single" w:sz="8" w:space="0" w:color="auto"/>
              <w:bottom w:val="single" w:sz="8" w:space="0" w:color="auto"/>
              <w:right w:val="single" w:sz="8" w:space="0" w:color="auto"/>
            </w:tcBorders>
            <w:vAlign w:val="center"/>
          </w:tcPr>
          <w:p w14:paraId="7082CB83" w14:textId="47FF7B19"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 xml:space="preserve">-(1.47) </w:t>
            </w:r>
          </w:p>
        </w:tc>
        <w:tc>
          <w:tcPr>
            <w:tcW w:w="1311" w:type="dxa"/>
            <w:tcBorders>
              <w:top w:val="single" w:sz="8" w:space="0" w:color="auto"/>
              <w:left w:val="single" w:sz="8" w:space="0" w:color="auto"/>
              <w:bottom w:val="single" w:sz="8" w:space="0" w:color="auto"/>
              <w:right w:val="single" w:sz="8" w:space="0" w:color="auto"/>
            </w:tcBorders>
            <w:vAlign w:val="center"/>
          </w:tcPr>
          <w:p w14:paraId="06949D76" w14:textId="12467DF1"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 xml:space="preserve">4 UK PAs </w:t>
            </w:r>
          </w:p>
        </w:tc>
      </w:tr>
      <w:tr w:rsidR="0626AC4C" w14:paraId="168BA26E" w14:textId="77777777" w:rsidTr="001D07EE">
        <w:trPr>
          <w:trHeight w:val="300"/>
        </w:trPr>
        <w:tc>
          <w:tcPr>
            <w:tcW w:w="1005" w:type="dxa"/>
            <w:tcBorders>
              <w:top w:val="single" w:sz="8" w:space="0" w:color="auto"/>
              <w:left w:val="single" w:sz="8" w:space="0" w:color="auto"/>
              <w:bottom w:val="single" w:sz="8" w:space="0" w:color="auto"/>
              <w:right w:val="single" w:sz="8" w:space="0" w:color="auto"/>
            </w:tcBorders>
            <w:vAlign w:val="center"/>
          </w:tcPr>
          <w:p w14:paraId="4C9A3625" w14:textId="545D7677" w:rsidR="0626AC4C" w:rsidRPr="001D07EE" w:rsidRDefault="0626AC4C" w:rsidP="00C639A0">
            <w:pPr>
              <w:spacing w:after="0"/>
              <w:jc w:val="center"/>
              <w:rPr>
                <w:rFonts w:ascii="Times New Roman" w:eastAsia="Times New Roman" w:hAnsi="Times New Roman" w:cs="Times New Roman"/>
                <w:noProof/>
              </w:rPr>
            </w:pPr>
            <w:r w:rsidRPr="001D07EE">
              <w:rPr>
                <w:rFonts w:ascii="Times New Roman" w:eastAsia="Times New Roman" w:hAnsi="Times New Roman" w:cs="Times New Roman"/>
                <w:noProof/>
              </w:rPr>
              <w:t>EAFRD</w:t>
            </w:r>
          </w:p>
        </w:tc>
        <w:tc>
          <w:tcPr>
            <w:tcW w:w="1818" w:type="dxa"/>
            <w:tcBorders>
              <w:top w:val="single" w:sz="8" w:space="0" w:color="auto"/>
              <w:left w:val="single" w:sz="8" w:space="0" w:color="auto"/>
              <w:bottom w:val="single" w:sz="8" w:space="0" w:color="auto"/>
              <w:right w:val="single" w:sz="8" w:space="0" w:color="auto"/>
            </w:tcBorders>
            <w:vAlign w:val="center"/>
          </w:tcPr>
          <w:p w14:paraId="25000D3B" w14:textId="74990F6D"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Decision (EU) 2023/1036</w:t>
            </w:r>
          </w:p>
        </w:tc>
        <w:tc>
          <w:tcPr>
            <w:tcW w:w="1225" w:type="dxa"/>
            <w:tcBorders>
              <w:top w:val="single" w:sz="8" w:space="0" w:color="auto"/>
              <w:left w:val="single" w:sz="8" w:space="0" w:color="auto"/>
              <w:bottom w:val="single" w:sz="8" w:space="0" w:color="auto"/>
              <w:right w:val="single" w:sz="8" w:space="0" w:color="auto"/>
            </w:tcBorders>
            <w:vAlign w:val="center"/>
          </w:tcPr>
          <w:p w14:paraId="4FF77584" w14:textId="768A8476"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 xml:space="preserve">24.5.2023 </w:t>
            </w:r>
          </w:p>
        </w:tc>
        <w:tc>
          <w:tcPr>
            <w:tcW w:w="1057" w:type="dxa"/>
            <w:tcBorders>
              <w:top w:val="single" w:sz="8" w:space="0" w:color="auto"/>
              <w:left w:val="single" w:sz="8" w:space="0" w:color="auto"/>
              <w:bottom w:val="single" w:sz="8" w:space="0" w:color="auto"/>
              <w:right w:val="single" w:sz="8" w:space="0" w:color="auto"/>
            </w:tcBorders>
            <w:vAlign w:val="center"/>
          </w:tcPr>
          <w:p w14:paraId="1B1C2D91" w14:textId="42E9E1DB"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 xml:space="preserve">2022 </w:t>
            </w:r>
          </w:p>
        </w:tc>
        <w:tc>
          <w:tcPr>
            <w:tcW w:w="1819" w:type="dxa"/>
            <w:tcBorders>
              <w:top w:val="single" w:sz="8" w:space="0" w:color="auto"/>
              <w:left w:val="single" w:sz="8" w:space="0" w:color="auto"/>
              <w:bottom w:val="single" w:sz="8" w:space="0" w:color="auto"/>
              <w:right w:val="single" w:sz="8" w:space="0" w:color="auto"/>
            </w:tcBorders>
            <w:vAlign w:val="center"/>
          </w:tcPr>
          <w:p w14:paraId="3A3F3A56" w14:textId="646042DE" w:rsidR="0626AC4C" w:rsidRPr="001D07EE" w:rsidRDefault="0626AC4C" w:rsidP="00C639A0">
            <w:pPr>
              <w:spacing w:after="0"/>
              <w:jc w:val="center"/>
              <w:rPr>
                <w:rFonts w:ascii="Times New Roman" w:eastAsia="Times New Roman" w:hAnsi="Times New Roman" w:cs="Times New Roman"/>
                <w:noProof/>
              </w:rPr>
            </w:pPr>
            <w:r w:rsidRPr="001D07EE">
              <w:rPr>
                <w:rFonts w:ascii="Times New Roman" w:eastAsia="Times New Roman" w:hAnsi="Times New Roman" w:cs="Times New Roman"/>
                <w:noProof/>
              </w:rPr>
              <w:t>14 925.45</w:t>
            </w:r>
          </w:p>
        </w:tc>
        <w:tc>
          <w:tcPr>
            <w:tcW w:w="1311" w:type="dxa"/>
            <w:tcBorders>
              <w:top w:val="single" w:sz="8" w:space="0" w:color="auto"/>
              <w:left w:val="single" w:sz="8" w:space="0" w:color="auto"/>
              <w:bottom w:val="single" w:sz="8" w:space="0" w:color="auto"/>
              <w:right w:val="single" w:sz="8" w:space="0" w:color="auto"/>
            </w:tcBorders>
            <w:vAlign w:val="center"/>
          </w:tcPr>
          <w:p w14:paraId="2EDA29B5" w14:textId="745076E7"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 xml:space="preserve">All MS PAs </w:t>
            </w:r>
          </w:p>
        </w:tc>
      </w:tr>
      <w:tr w:rsidR="0626AC4C" w14:paraId="3BFDB84D" w14:textId="77777777" w:rsidTr="001D07EE">
        <w:trPr>
          <w:trHeight w:val="300"/>
        </w:trPr>
        <w:tc>
          <w:tcPr>
            <w:tcW w:w="1005" w:type="dxa"/>
            <w:tcBorders>
              <w:top w:val="single" w:sz="8" w:space="0" w:color="auto"/>
              <w:left w:val="single" w:sz="8" w:space="0" w:color="auto"/>
              <w:bottom w:val="single" w:sz="8" w:space="0" w:color="auto"/>
              <w:right w:val="single" w:sz="8" w:space="0" w:color="auto"/>
            </w:tcBorders>
            <w:vAlign w:val="center"/>
          </w:tcPr>
          <w:p w14:paraId="1CF9EED8" w14:textId="254FF00A" w:rsidR="0626AC4C" w:rsidRPr="001D07EE" w:rsidRDefault="0626AC4C" w:rsidP="00C639A0">
            <w:pPr>
              <w:spacing w:after="0"/>
              <w:jc w:val="center"/>
              <w:rPr>
                <w:rFonts w:ascii="Times New Roman" w:eastAsia="Times New Roman" w:hAnsi="Times New Roman" w:cs="Times New Roman"/>
                <w:noProof/>
              </w:rPr>
            </w:pPr>
            <w:r w:rsidRPr="001D07EE">
              <w:rPr>
                <w:rFonts w:ascii="Times New Roman" w:eastAsia="Times New Roman" w:hAnsi="Times New Roman" w:cs="Times New Roman"/>
                <w:noProof/>
              </w:rPr>
              <w:t>EAFRD</w:t>
            </w:r>
          </w:p>
        </w:tc>
        <w:tc>
          <w:tcPr>
            <w:tcW w:w="1818" w:type="dxa"/>
            <w:tcBorders>
              <w:top w:val="single" w:sz="8" w:space="0" w:color="auto"/>
              <w:left w:val="single" w:sz="8" w:space="0" w:color="auto"/>
              <w:bottom w:val="single" w:sz="8" w:space="0" w:color="auto"/>
              <w:right w:val="single" w:sz="8" w:space="0" w:color="auto"/>
            </w:tcBorders>
            <w:vAlign w:val="center"/>
          </w:tcPr>
          <w:p w14:paraId="249ED3D1" w14:textId="374AA7B8"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Decision (EU) 2023/1038</w:t>
            </w:r>
          </w:p>
        </w:tc>
        <w:tc>
          <w:tcPr>
            <w:tcW w:w="1225" w:type="dxa"/>
            <w:tcBorders>
              <w:top w:val="single" w:sz="8" w:space="0" w:color="auto"/>
              <w:left w:val="single" w:sz="8" w:space="0" w:color="auto"/>
              <w:bottom w:val="single" w:sz="8" w:space="0" w:color="auto"/>
              <w:right w:val="single" w:sz="8" w:space="0" w:color="auto"/>
            </w:tcBorders>
            <w:vAlign w:val="center"/>
          </w:tcPr>
          <w:p w14:paraId="2FC5E0A1" w14:textId="4EA94552"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 xml:space="preserve">24.5.2023 </w:t>
            </w:r>
          </w:p>
        </w:tc>
        <w:tc>
          <w:tcPr>
            <w:tcW w:w="1057" w:type="dxa"/>
            <w:tcBorders>
              <w:top w:val="single" w:sz="8" w:space="0" w:color="auto"/>
              <w:left w:val="single" w:sz="8" w:space="0" w:color="auto"/>
              <w:bottom w:val="single" w:sz="8" w:space="0" w:color="auto"/>
              <w:right w:val="single" w:sz="8" w:space="0" w:color="auto"/>
            </w:tcBorders>
            <w:vAlign w:val="center"/>
          </w:tcPr>
          <w:p w14:paraId="2B8CC5DC" w14:textId="7466073F"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 xml:space="preserve">2022 </w:t>
            </w:r>
          </w:p>
        </w:tc>
        <w:tc>
          <w:tcPr>
            <w:tcW w:w="1819" w:type="dxa"/>
            <w:tcBorders>
              <w:top w:val="single" w:sz="8" w:space="0" w:color="auto"/>
              <w:left w:val="single" w:sz="8" w:space="0" w:color="auto"/>
              <w:bottom w:val="single" w:sz="8" w:space="0" w:color="auto"/>
              <w:right w:val="single" w:sz="8" w:space="0" w:color="auto"/>
            </w:tcBorders>
            <w:vAlign w:val="center"/>
          </w:tcPr>
          <w:p w14:paraId="0477D2EA" w14:textId="3BB09390" w:rsidR="0626AC4C" w:rsidRPr="001D07EE" w:rsidRDefault="0626AC4C" w:rsidP="00C639A0">
            <w:pPr>
              <w:spacing w:after="0"/>
              <w:jc w:val="center"/>
              <w:rPr>
                <w:rFonts w:ascii="Times New Roman" w:eastAsia="Times New Roman" w:hAnsi="Times New Roman" w:cs="Times New Roman"/>
                <w:noProof/>
              </w:rPr>
            </w:pPr>
            <w:r w:rsidRPr="001D07EE">
              <w:rPr>
                <w:rFonts w:ascii="Times New Roman" w:eastAsia="Times New Roman" w:hAnsi="Times New Roman" w:cs="Times New Roman"/>
                <w:noProof/>
              </w:rPr>
              <w:t>475.19</w:t>
            </w:r>
          </w:p>
        </w:tc>
        <w:tc>
          <w:tcPr>
            <w:tcW w:w="1311" w:type="dxa"/>
            <w:tcBorders>
              <w:top w:val="single" w:sz="8" w:space="0" w:color="auto"/>
              <w:left w:val="single" w:sz="8" w:space="0" w:color="auto"/>
              <w:bottom w:val="single" w:sz="8" w:space="0" w:color="auto"/>
              <w:right w:val="single" w:sz="8" w:space="0" w:color="auto"/>
            </w:tcBorders>
            <w:vAlign w:val="center"/>
          </w:tcPr>
          <w:p w14:paraId="3BABAA17" w14:textId="61F685E1" w:rsidR="0626AC4C" w:rsidRDefault="0626AC4C" w:rsidP="00C639A0">
            <w:pPr>
              <w:spacing w:after="0"/>
              <w:jc w:val="center"/>
              <w:rPr>
                <w:rFonts w:ascii="Times New Roman" w:eastAsia="Times New Roman" w:hAnsi="Times New Roman" w:cs="Times New Roman"/>
                <w:noProof/>
              </w:rPr>
            </w:pPr>
            <w:r w:rsidRPr="0626AC4C">
              <w:rPr>
                <w:rFonts w:ascii="Times New Roman" w:eastAsia="Times New Roman" w:hAnsi="Times New Roman" w:cs="Times New Roman"/>
                <w:noProof/>
              </w:rPr>
              <w:t>4 UK PAs</w:t>
            </w:r>
          </w:p>
        </w:tc>
      </w:tr>
    </w:tbl>
    <w:p w14:paraId="5D2199B7" w14:textId="01328437" w:rsidR="5F84DB30" w:rsidRDefault="5F84DB30" w:rsidP="5F84DB30">
      <w:pPr>
        <w:pStyle w:val="Text1"/>
      </w:pPr>
    </w:p>
    <w:p w14:paraId="3C5E9B8D" w14:textId="1F29AE9E" w:rsidR="00A44A15" w:rsidRDefault="0003316B" w:rsidP="00A44A15">
      <w:pPr>
        <w:pStyle w:val="ManualHeading2"/>
        <w:rPr>
          <w:noProof/>
        </w:rPr>
      </w:pPr>
      <w:bookmarkStart w:id="86" w:name="_Toc322938654"/>
      <w:bookmarkStart w:id="87" w:name="_Toc102661890"/>
      <w:bookmarkStart w:id="88" w:name="_Toc139622289"/>
      <w:bookmarkStart w:id="89" w:name="_Toc173181066"/>
      <w:r w:rsidRPr="6AF0C460">
        <w:rPr>
          <w:noProof/>
        </w:rPr>
        <w:t>5</w:t>
      </w:r>
      <w:r w:rsidR="00A44A15" w:rsidRPr="6AF0C460">
        <w:rPr>
          <w:noProof/>
        </w:rPr>
        <w:t>.3.</w:t>
      </w:r>
      <w:r w:rsidR="00783DE4">
        <w:rPr>
          <w:noProof/>
        </w:rPr>
        <w:tab/>
      </w:r>
      <w:r w:rsidR="00A44A15" w:rsidRPr="6AF0C460">
        <w:rPr>
          <w:noProof/>
        </w:rPr>
        <w:t>Appeals brought before the Court</w:t>
      </w:r>
      <w:r w:rsidR="008A74A6" w:rsidRPr="6AF0C460">
        <w:rPr>
          <w:noProof/>
        </w:rPr>
        <w:t xml:space="preserve"> of Justice of the European Union</w:t>
      </w:r>
      <w:r w:rsidR="00A44A15" w:rsidRPr="6AF0C460">
        <w:rPr>
          <w:noProof/>
        </w:rPr>
        <w:t xml:space="preserve"> against clearance decisions</w:t>
      </w:r>
      <w:bookmarkEnd w:id="85"/>
      <w:bookmarkEnd w:id="86"/>
      <w:bookmarkEnd w:id="87"/>
      <w:bookmarkEnd w:id="88"/>
      <w:bookmarkEnd w:id="89"/>
    </w:p>
    <w:p w14:paraId="148250A9" w14:textId="2E9A3226" w:rsidR="00330126" w:rsidRDefault="565F43CE" w:rsidP="004F4BB0">
      <w:pPr>
        <w:pStyle w:val="Text1"/>
        <w:ind w:left="851"/>
      </w:pPr>
      <w:r>
        <w:t>A summary of cases l</w:t>
      </w:r>
      <w:r w:rsidR="4926740E">
        <w:t>o</w:t>
      </w:r>
      <w:r>
        <w:t>dged</w:t>
      </w:r>
      <w:bookmarkStart w:id="90" w:name="_Toc322938655"/>
      <w:bookmarkStart w:id="91" w:name="_Toc102661891"/>
      <w:bookmarkStart w:id="92" w:name="_Toc105773245"/>
      <w:r w:rsidR="33435DFE">
        <w:t xml:space="preserve"> </w:t>
      </w:r>
      <w:bookmarkStart w:id="93" w:name="_Toc322938656"/>
      <w:bookmarkEnd w:id="90"/>
      <w:bookmarkEnd w:id="91"/>
      <w:bookmarkEnd w:id="92"/>
      <w:r>
        <w:t>to the General Court and the Court of Justice can be found</w:t>
      </w:r>
      <w:r w:rsidR="7D231E37">
        <w:t xml:space="preserve"> </w:t>
      </w:r>
      <w:r>
        <w:t xml:space="preserve">in Annex </w:t>
      </w:r>
      <w:r w:rsidR="004F4BB0">
        <w:t>19</w:t>
      </w:r>
      <w:r>
        <w:t>.</w:t>
      </w:r>
      <w:bookmarkStart w:id="94" w:name="_Toc322938658"/>
      <w:bookmarkStart w:id="95" w:name="_Toc102661894"/>
      <w:bookmarkStart w:id="96" w:name="_Toc105773248"/>
      <w:bookmarkEnd w:id="93"/>
    </w:p>
    <w:p w14:paraId="665D0E1A" w14:textId="4349433A" w:rsidR="00A44A15" w:rsidRDefault="0003316B" w:rsidP="006827A2">
      <w:pPr>
        <w:pStyle w:val="ManualHeading1"/>
        <w:ind w:left="851" w:hanging="851"/>
        <w:jc w:val="left"/>
        <w:rPr>
          <w:noProof/>
        </w:rPr>
      </w:pPr>
      <w:bookmarkStart w:id="97" w:name="_Toc139622290"/>
      <w:bookmarkStart w:id="98" w:name="_Toc173181067"/>
      <w:r w:rsidRPr="6AF0C460">
        <w:rPr>
          <w:noProof/>
        </w:rPr>
        <w:t>6</w:t>
      </w:r>
      <w:r w:rsidR="00A44A15" w:rsidRPr="6AF0C460">
        <w:rPr>
          <w:noProof/>
        </w:rPr>
        <w:t>.</w:t>
      </w:r>
      <w:r w:rsidR="00783DE4">
        <w:rPr>
          <w:noProof/>
        </w:rPr>
        <w:tab/>
      </w:r>
      <w:r w:rsidR="00A44A15" w:rsidRPr="6AF0C460">
        <w:rPr>
          <w:noProof/>
        </w:rPr>
        <w:t>RELATIONS WITH PARLIAMENT AND WITH THE EUROPEAN COURT OF AUDITORS</w:t>
      </w:r>
      <w:bookmarkEnd w:id="94"/>
      <w:bookmarkEnd w:id="95"/>
      <w:bookmarkEnd w:id="96"/>
      <w:bookmarkEnd w:id="97"/>
      <w:bookmarkEnd w:id="98"/>
      <w:r w:rsidR="00A44A15" w:rsidRPr="6AF0C460">
        <w:rPr>
          <w:noProof/>
        </w:rPr>
        <w:t xml:space="preserve"> </w:t>
      </w:r>
    </w:p>
    <w:p w14:paraId="1AF2E9D1" w14:textId="0BDD606F" w:rsidR="00A44A15" w:rsidRDefault="0003316B" w:rsidP="00A44A15">
      <w:pPr>
        <w:pStyle w:val="ManualHeading2"/>
        <w:rPr>
          <w:noProof/>
        </w:rPr>
      </w:pPr>
      <w:bookmarkStart w:id="99" w:name="_Toc322938659"/>
      <w:bookmarkStart w:id="100" w:name="_Toc102661895"/>
      <w:bookmarkStart w:id="101" w:name="_Toc105773249"/>
      <w:bookmarkStart w:id="102" w:name="_Toc139622291"/>
      <w:bookmarkStart w:id="103" w:name="_Toc173181068"/>
      <w:r w:rsidRPr="6AF0C460">
        <w:rPr>
          <w:noProof/>
        </w:rPr>
        <w:t>6</w:t>
      </w:r>
      <w:r w:rsidR="00A44A15" w:rsidRPr="6AF0C460">
        <w:rPr>
          <w:noProof/>
        </w:rPr>
        <w:t>.1.</w:t>
      </w:r>
      <w:r w:rsidR="00783DE4">
        <w:rPr>
          <w:noProof/>
        </w:rPr>
        <w:tab/>
      </w:r>
      <w:r w:rsidR="00A44A15" w:rsidRPr="6AF0C460">
        <w:rPr>
          <w:noProof/>
        </w:rPr>
        <w:t>Relations with Parliament</w:t>
      </w:r>
      <w:bookmarkEnd w:id="99"/>
      <w:bookmarkEnd w:id="100"/>
      <w:bookmarkEnd w:id="101"/>
      <w:bookmarkEnd w:id="102"/>
      <w:bookmarkEnd w:id="103"/>
      <w:r w:rsidR="00A44A15" w:rsidRPr="6AF0C460">
        <w:rPr>
          <w:noProof/>
        </w:rPr>
        <w:t xml:space="preserve"> </w:t>
      </w:r>
    </w:p>
    <w:p w14:paraId="7400BFC1" w14:textId="1AE8B5FF" w:rsidR="00A44A15" w:rsidRDefault="1BFC6801" w:rsidP="00A44A15">
      <w:pPr>
        <w:pStyle w:val="Text1"/>
      </w:pPr>
      <w:r>
        <w:t>The European Parliament (EP) is, together with the Council, part of the EU’s Budgetary Authority. It is, thus, one of the most important discussion partners of the Commission on budgetary matters and, therefore, on the EAGF</w:t>
      </w:r>
      <w:r w:rsidR="33AE8B7B">
        <w:t xml:space="preserve"> and EAFRD</w:t>
      </w:r>
      <w:r w:rsidR="16EA34EB">
        <w:t>.</w:t>
      </w:r>
    </w:p>
    <w:p w14:paraId="5BC93E3B" w14:textId="77777777" w:rsidR="00A44A15" w:rsidRDefault="00A44A15" w:rsidP="00A44A15">
      <w:pPr>
        <w:pStyle w:val="Text1"/>
      </w:pPr>
      <w:r>
        <w:t>Three EP committees are involved in the discussions and the preparation for the plenary on agricultural budgetary matters. These are the Committee on Agriculture and Rural Development, the Committee on Budgets and the Committee on Budgetary Control.</w:t>
      </w:r>
    </w:p>
    <w:p w14:paraId="526545A8" w14:textId="77777777" w:rsidR="00A44A15" w:rsidRDefault="00A44A15" w:rsidP="00A44A15">
      <w:pPr>
        <w:pStyle w:val="Text1"/>
      </w:pPr>
      <w:r>
        <w:t>Since 2014 the Committee on Agriculture and Rural Development provides an opinion on the discharge procedure to the Committee on Budgetary Control.</w:t>
      </w:r>
    </w:p>
    <w:p w14:paraId="122E3146" w14:textId="77777777" w:rsidR="00A44A15" w:rsidRDefault="00A44A15" w:rsidP="00A44A15">
      <w:pPr>
        <w:pStyle w:val="Text1"/>
      </w:pPr>
      <w:r>
        <w:t xml:space="preserve">The Committee on Budgetary Control </w:t>
      </w:r>
      <w:r w:rsidR="000778D2">
        <w:t xml:space="preserve">(CONT) </w:t>
      </w:r>
      <w:r w:rsidR="00E40447">
        <w:t>control</w:t>
      </w:r>
      <w:r>
        <w:t xml:space="preserve">s the correct implementation of the budget and drafts the </w:t>
      </w:r>
      <w:r w:rsidR="00E40447">
        <w:t>report</w:t>
      </w:r>
      <w:r>
        <w:t xml:space="preserve"> proposing to the Parliament to grant the discharge and making recommendations to the Commission or to Member States. </w:t>
      </w:r>
    </w:p>
    <w:p w14:paraId="11250BD8" w14:textId="63D92950" w:rsidR="00A44A15" w:rsidRDefault="00A44A15" w:rsidP="00A44A15">
      <w:pPr>
        <w:pStyle w:val="Text1"/>
      </w:pPr>
      <w:r w:rsidRPr="00CB7ABB">
        <w:t>The European Parliament granted discharge to the Commission, in respect to the implementation of the general budget of the European Union for the 202</w:t>
      </w:r>
      <w:r w:rsidR="0080537E" w:rsidRPr="00CB7ABB">
        <w:t>3</w:t>
      </w:r>
      <w:r w:rsidRPr="00CB7ABB">
        <w:t xml:space="preserve"> financial year, by a vote in plenary on a Parliamentary Decision, which took place on </w:t>
      </w:r>
      <w:r w:rsidR="00D704E3" w:rsidRPr="00CB7ABB">
        <w:t>1</w:t>
      </w:r>
      <w:r w:rsidR="7022621B" w:rsidRPr="00CB7ABB">
        <w:t>1</w:t>
      </w:r>
      <w:r w:rsidR="0072169B" w:rsidRPr="00CB7ABB">
        <w:t> </w:t>
      </w:r>
      <w:r w:rsidR="265B3710" w:rsidRPr="00CB7ABB">
        <w:t>April</w:t>
      </w:r>
      <w:r w:rsidRPr="00CB7ABB">
        <w:t xml:space="preserve"> 202</w:t>
      </w:r>
      <w:r w:rsidR="1D68D566" w:rsidRPr="00CB7ABB">
        <w:t>4</w:t>
      </w:r>
      <w:r w:rsidR="0055597E" w:rsidRPr="00CB7ABB">
        <w:t>.</w:t>
      </w:r>
    </w:p>
    <w:p w14:paraId="32951FB2" w14:textId="6E4CD038" w:rsidR="00A44A15" w:rsidRDefault="0003316B" w:rsidP="00A44A15">
      <w:pPr>
        <w:pStyle w:val="ManualHeading2"/>
        <w:rPr>
          <w:noProof/>
        </w:rPr>
      </w:pPr>
      <w:bookmarkStart w:id="104" w:name="_Toc322938660"/>
      <w:bookmarkStart w:id="105" w:name="_Toc102661896"/>
      <w:bookmarkStart w:id="106" w:name="_Toc105773250"/>
      <w:bookmarkStart w:id="107" w:name="_Toc139622292"/>
      <w:bookmarkStart w:id="108" w:name="_Toc173181069"/>
      <w:r w:rsidRPr="6AF0C460">
        <w:rPr>
          <w:noProof/>
        </w:rPr>
        <w:t>6</w:t>
      </w:r>
      <w:r w:rsidR="00A44A15" w:rsidRPr="6AF0C460">
        <w:rPr>
          <w:noProof/>
        </w:rPr>
        <w:t>.2.</w:t>
      </w:r>
      <w:r w:rsidR="00783DE4">
        <w:rPr>
          <w:noProof/>
        </w:rPr>
        <w:tab/>
      </w:r>
      <w:r w:rsidR="00A44A15" w:rsidRPr="6AF0C460">
        <w:rPr>
          <w:noProof/>
        </w:rPr>
        <w:t>Relations with the European Court of Auditors</w:t>
      </w:r>
      <w:bookmarkEnd w:id="104"/>
      <w:bookmarkEnd w:id="105"/>
      <w:bookmarkEnd w:id="106"/>
      <w:bookmarkEnd w:id="107"/>
      <w:bookmarkEnd w:id="108"/>
    </w:p>
    <w:p w14:paraId="373D7D44" w14:textId="77777777" w:rsidR="650879C5" w:rsidRDefault="650879C5" w:rsidP="5802674F">
      <w:pPr>
        <w:pStyle w:val="Text1"/>
      </w:pPr>
      <w:r>
        <w:t xml:space="preserve">The European Court of Auditors (ECA) is the external independent auditor of the European Union. </w:t>
      </w:r>
      <w:r w:rsidR="51DBA326">
        <w:t>A summary of the findings and conclusions of the ECA for financial year 202</w:t>
      </w:r>
      <w:r w:rsidR="38BE5F5B">
        <w:t>3</w:t>
      </w:r>
      <w:r w:rsidR="51DBA326">
        <w:t xml:space="preserve"> is provided in </w:t>
      </w:r>
      <w:bookmarkStart w:id="109" w:name="_Toc134214511"/>
      <w:r w:rsidR="51DBA326">
        <w:t>t</w:t>
      </w:r>
      <w:bookmarkStart w:id="110" w:name="_Toc322938663"/>
      <w:bookmarkEnd w:id="109"/>
      <w:r w:rsidR="3AFDF767">
        <w:t xml:space="preserve">he </w:t>
      </w:r>
      <w:r w:rsidR="720CF967">
        <w:t xml:space="preserve">AAR, </w:t>
      </w:r>
      <w:r w:rsidR="50419056">
        <w:t>point 2.2.2</w:t>
      </w:r>
      <w:r w:rsidR="51DBA326">
        <w:t xml:space="preserve"> </w:t>
      </w:r>
      <w:r w:rsidR="720CF967">
        <w:t>(</w:t>
      </w:r>
      <w:r w:rsidR="51DBA326">
        <w:t>page 7</w:t>
      </w:r>
      <w:r w:rsidR="77ECBE63">
        <w:t>6</w:t>
      </w:r>
      <w:r w:rsidR="51DBA326">
        <w:t>)</w:t>
      </w:r>
      <w:r w:rsidR="67DB4187">
        <w:t>.</w:t>
      </w:r>
      <w:r w:rsidR="6EBB193C">
        <w:t xml:space="preserve"> </w:t>
      </w:r>
      <w:bookmarkEnd w:id="110"/>
    </w:p>
    <w:p w14:paraId="4975CFAF" w14:textId="7FADEA19" w:rsidR="00A44A15" w:rsidRDefault="00A44A15" w:rsidP="00DB0987">
      <w:pPr>
        <w:pStyle w:val="ManualHeading1"/>
        <w:spacing w:before="0"/>
        <w:ind w:left="0" w:firstLine="0"/>
        <w:rPr>
          <w:noProof/>
        </w:rPr>
      </w:pPr>
    </w:p>
    <w:sectPr w:rsidR="00A44A15" w:rsidSect="00C441FB">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2E246" w14:textId="77777777" w:rsidR="00B125E5" w:rsidRDefault="00B125E5" w:rsidP="00A44A15">
      <w:pPr>
        <w:spacing w:after="0" w:line="240" w:lineRule="auto"/>
      </w:pPr>
      <w:r>
        <w:separator/>
      </w:r>
    </w:p>
  </w:endnote>
  <w:endnote w:type="continuationSeparator" w:id="0">
    <w:p w14:paraId="75791AC7" w14:textId="77777777" w:rsidR="00B125E5" w:rsidRDefault="00B125E5" w:rsidP="00A44A15">
      <w:pPr>
        <w:spacing w:after="0" w:line="240" w:lineRule="auto"/>
      </w:pPr>
      <w:r>
        <w:continuationSeparator/>
      </w:r>
    </w:p>
  </w:endnote>
  <w:endnote w:type="continuationNotice" w:id="1">
    <w:p w14:paraId="60272230" w14:textId="77777777" w:rsidR="00B125E5" w:rsidRDefault="00B125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7C0CD" w14:textId="5C294677" w:rsidR="00506A12" w:rsidRPr="00506A12" w:rsidRDefault="00506A12" w:rsidP="00506A12">
    <w:pPr>
      <w:pStyle w:val="FooterCoverPage"/>
      <w:rPr>
        <w:rFonts w:ascii="Arial" w:hAnsi="Arial" w:cs="Arial"/>
        <w:b/>
        <w:sz w:val="48"/>
      </w:rPr>
    </w:pPr>
    <w:r w:rsidRPr="00506A12">
      <w:rPr>
        <w:rFonts w:ascii="Arial" w:hAnsi="Arial" w:cs="Arial"/>
        <w:b/>
        <w:sz w:val="48"/>
      </w:rPr>
      <w:t>EN</w:t>
    </w:r>
    <w:r w:rsidRPr="00506A12">
      <w:rPr>
        <w:rFonts w:ascii="Arial" w:hAnsi="Arial" w:cs="Arial"/>
        <w:b/>
        <w:sz w:val="48"/>
      </w:rPr>
      <w:tab/>
    </w:r>
    <w:r w:rsidRPr="00506A12">
      <w:rPr>
        <w:rFonts w:ascii="Arial" w:hAnsi="Arial" w:cs="Arial"/>
        <w:b/>
        <w:sz w:val="48"/>
      </w:rPr>
      <w:tab/>
    </w:r>
    <w:r w:rsidRPr="00506A12">
      <w:tab/>
    </w:r>
    <w:r w:rsidRPr="00506A12">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4E13" w14:textId="22B0DA7F" w:rsidR="00506A12" w:rsidRPr="00506A12" w:rsidRDefault="00506A12" w:rsidP="00506A12">
    <w:pPr>
      <w:pStyle w:val="FooterCoverPage"/>
      <w:rPr>
        <w:rFonts w:ascii="Arial" w:hAnsi="Arial" w:cs="Arial"/>
        <w:b/>
        <w:sz w:val="48"/>
      </w:rPr>
    </w:pPr>
    <w:r w:rsidRPr="00506A12">
      <w:rPr>
        <w:rFonts w:ascii="Arial" w:hAnsi="Arial" w:cs="Arial"/>
        <w:b/>
        <w:sz w:val="48"/>
      </w:rPr>
      <w:t>EN</w:t>
    </w:r>
    <w:r w:rsidRPr="00506A12">
      <w:rPr>
        <w:rFonts w:ascii="Arial" w:hAnsi="Arial" w:cs="Arial"/>
        <w:b/>
        <w:sz w:val="48"/>
      </w:rPr>
      <w:tab/>
    </w:r>
    <w:r w:rsidRPr="00506A12">
      <w:rPr>
        <w:rFonts w:ascii="Arial" w:hAnsi="Arial" w:cs="Arial"/>
        <w:b/>
        <w:sz w:val="48"/>
      </w:rPr>
      <w:tab/>
    </w:r>
    <w:r w:rsidRPr="00506A12">
      <w:tab/>
    </w:r>
    <w:r w:rsidRPr="00506A1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0A961" w14:textId="77777777" w:rsidR="00506A12" w:rsidRPr="00506A12" w:rsidRDefault="00506A12" w:rsidP="00506A1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03189" w14:textId="77777777" w:rsidR="00527CD2" w:rsidRDefault="00527C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01C14" w14:textId="405D7E34" w:rsidR="00527CD2" w:rsidRDefault="00527CD2">
    <w:pPr>
      <w:pStyle w:val="Footer"/>
      <w:jc w:val="center"/>
    </w:pPr>
    <w:r>
      <w:fldChar w:fldCharType="begin"/>
    </w:r>
    <w:r>
      <w:instrText xml:space="preserve"> PAGE   \* MERGEFORMAT </w:instrText>
    </w:r>
    <w:r>
      <w:fldChar w:fldCharType="separate"/>
    </w:r>
    <w:r w:rsidR="00506A12">
      <w:rPr>
        <w:noProof/>
      </w:rPr>
      <w:t>1</w:t>
    </w:r>
    <w:r>
      <w:fldChar w:fldCharType="end"/>
    </w:r>
  </w:p>
  <w:p w14:paraId="6401EB7A" w14:textId="77777777" w:rsidR="00527CD2" w:rsidRDefault="00527C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9E8B" w14:textId="77777777" w:rsidR="00527CD2" w:rsidRDefault="00527C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2A068" w14:textId="77777777" w:rsidR="00484A3D" w:rsidRDefault="00484A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2F889" w14:textId="756069C7" w:rsidR="00484A3D" w:rsidRDefault="00484A3D">
    <w:pPr>
      <w:pStyle w:val="Footer"/>
      <w:jc w:val="center"/>
    </w:pPr>
    <w:r>
      <w:fldChar w:fldCharType="begin"/>
    </w:r>
    <w:r>
      <w:instrText xml:space="preserve"> PAGE   \* MERGEFORMAT </w:instrText>
    </w:r>
    <w:r>
      <w:fldChar w:fldCharType="separate"/>
    </w:r>
    <w:r w:rsidR="00506A12">
      <w:rPr>
        <w:noProof/>
      </w:rPr>
      <w:t>2</w:t>
    </w:r>
    <w:r>
      <w:fldChar w:fldCharType="end"/>
    </w:r>
  </w:p>
  <w:p w14:paraId="737569A5" w14:textId="77777777" w:rsidR="00484A3D" w:rsidRDefault="00484A3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F0986" w14:textId="77777777" w:rsidR="00484A3D" w:rsidRDefault="00484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91E7A" w14:textId="77777777" w:rsidR="00B125E5" w:rsidRDefault="00B125E5" w:rsidP="00A44A15">
      <w:pPr>
        <w:spacing w:after="0" w:line="240" w:lineRule="auto"/>
      </w:pPr>
      <w:r>
        <w:separator/>
      </w:r>
    </w:p>
  </w:footnote>
  <w:footnote w:type="continuationSeparator" w:id="0">
    <w:p w14:paraId="0BEEB44B" w14:textId="77777777" w:rsidR="00B125E5" w:rsidRDefault="00B125E5" w:rsidP="00A44A15">
      <w:pPr>
        <w:spacing w:after="0" w:line="240" w:lineRule="auto"/>
      </w:pPr>
      <w:r>
        <w:continuationSeparator/>
      </w:r>
    </w:p>
  </w:footnote>
  <w:footnote w:type="continuationNotice" w:id="1">
    <w:p w14:paraId="64687EC9" w14:textId="77777777" w:rsidR="00B125E5" w:rsidRDefault="00B125E5">
      <w:pPr>
        <w:spacing w:after="0" w:line="240" w:lineRule="auto"/>
      </w:pPr>
    </w:p>
  </w:footnote>
  <w:footnote w:id="2">
    <w:p w14:paraId="393439C8" w14:textId="1CA0B706" w:rsidR="00527CD2" w:rsidRDefault="00527CD2" w:rsidP="00A44A15">
      <w:pPr>
        <w:pStyle w:val="FootnoteText"/>
      </w:pPr>
      <w:r>
        <w:rPr>
          <w:rStyle w:val="FootnoteReference"/>
        </w:rPr>
        <w:footnoteRef/>
      </w:r>
      <w:r>
        <w:rPr>
          <w:rStyle w:val="FootnoteReference"/>
        </w:rPr>
        <w:tab/>
      </w:r>
      <w:r w:rsidRPr="000E0F9B">
        <w:t>OJ L 433I, 22.12.2020, p. 11</w:t>
      </w:r>
      <w:r w:rsidR="0013627E">
        <w:t>.</w:t>
      </w:r>
    </w:p>
  </w:footnote>
  <w:footnote w:id="3">
    <w:p w14:paraId="2B2DD12C" w14:textId="1DD27448" w:rsidR="00407ACD" w:rsidRPr="00FC6CD6" w:rsidRDefault="00407ACD" w:rsidP="00D35D06">
      <w:pPr>
        <w:pStyle w:val="FootnoteText"/>
        <w:rPr>
          <w:lang w:val="en-IE"/>
        </w:rPr>
      </w:pPr>
      <w:r>
        <w:rPr>
          <w:rStyle w:val="FootnoteReference"/>
        </w:rPr>
        <w:footnoteRef/>
      </w:r>
      <w:r>
        <w:tab/>
      </w:r>
      <w:r w:rsidR="00D35D06" w:rsidRPr="00FD2B12">
        <w:rPr>
          <w:lang w:val="en-IE"/>
        </w:rPr>
        <w:t xml:space="preserve">OJ L, 2024/765, 29.2.2024, </w:t>
      </w:r>
      <w:r w:rsidR="00D35D06" w:rsidRPr="00D35D06">
        <w:rPr>
          <w:i/>
          <w:iCs/>
          <w:lang w:val="en-IE"/>
        </w:rPr>
        <w:t>ELI: </w:t>
      </w:r>
      <w:hyperlink r:id="rId1" w:tgtFrame="_blank" w:tooltip="Gives access to this document through its ELI URI." w:history="1">
        <w:r w:rsidR="00D35D06" w:rsidRPr="00D35D06">
          <w:rPr>
            <w:rStyle w:val="Hyperlink"/>
            <w:i/>
            <w:iCs/>
            <w:lang w:val="en-IE"/>
          </w:rPr>
          <w:t>http://data.europa.eu/eli/reg/2024/765/oj</w:t>
        </w:r>
      </w:hyperlink>
      <w:r w:rsidR="00D35D06" w:rsidRPr="00D35D06">
        <w:rPr>
          <w:iCs/>
          <w:lang w:val="en-IE"/>
        </w:rPr>
        <w:t>.</w:t>
      </w:r>
    </w:p>
  </w:footnote>
  <w:footnote w:id="4">
    <w:p w14:paraId="23997178" w14:textId="77777777" w:rsidR="00527CD2" w:rsidRDefault="00527CD2" w:rsidP="00A44A15">
      <w:pPr>
        <w:pStyle w:val="FootnoteText"/>
      </w:pPr>
      <w:r>
        <w:rPr>
          <w:rStyle w:val="FootnoteReference"/>
        </w:rPr>
        <w:footnoteRef/>
      </w:r>
      <w:r>
        <w:rPr>
          <w:rStyle w:val="FootnoteReference"/>
        </w:rPr>
        <w:tab/>
      </w:r>
      <w:r w:rsidRPr="005A414B">
        <w:t>OJ L 40, 4.2.2021, p. 8</w:t>
      </w:r>
      <w:r>
        <w:t>.</w:t>
      </w:r>
    </w:p>
  </w:footnote>
  <w:footnote w:id="5">
    <w:p w14:paraId="104C16BD" w14:textId="6FF02E5D" w:rsidR="008C4302" w:rsidRDefault="008C4302" w:rsidP="008C4302">
      <w:pPr>
        <w:pStyle w:val="FootnoteText"/>
      </w:pPr>
      <w:r>
        <w:rPr>
          <w:rStyle w:val="FootnoteReference"/>
        </w:rPr>
        <w:footnoteRef/>
      </w:r>
      <w:r>
        <w:t xml:space="preserve"> </w:t>
      </w:r>
      <w:r>
        <w:tab/>
        <w:t xml:space="preserve">OJ L </w:t>
      </w:r>
      <w:r w:rsidR="00EF73DD">
        <w:t>435</w:t>
      </w:r>
      <w:r w:rsidR="00B36C1F">
        <w:t>,</w:t>
      </w:r>
      <w:r>
        <w:t xml:space="preserve"> </w:t>
      </w:r>
      <w:r w:rsidR="00B35BFF">
        <w:t>6</w:t>
      </w:r>
      <w:r>
        <w:t>.12.</w:t>
      </w:r>
      <w:r w:rsidR="00B35BFF">
        <w:t>2021</w:t>
      </w:r>
      <w:r w:rsidR="00B36C1F">
        <w:t>,</w:t>
      </w:r>
      <w:r>
        <w:t xml:space="preserve"> p.</w:t>
      </w:r>
      <w:r w:rsidR="00484A3D">
        <w:t xml:space="preserve"> </w:t>
      </w:r>
      <w:r w:rsidR="00EB5F43">
        <w:t>187</w:t>
      </w:r>
      <w:r w:rsidR="00B36C1F">
        <w:t>.</w:t>
      </w:r>
    </w:p>
  </w:footnote>
  <w:footnote w:id="6">
    <w:p w14:paraId="5210FD77" w14:textId="28C4EDCC" w:rsidR="00527CD2" w:rsidRDefault="00527CD2" w:rsidP="00A44A15">
      <w:pPr>
        <w:pStyle w:val="FootnoteText"/>
      </w:pPr>
      <w:r>
        <w:rPr>
          <w:rStyle w:val="FootnoteReference"/>
        </w:rPr>
        <w:footnoteRef/>
      </w:r>
      <w:r>
        <w:rPr>
          <w:sz w:val="18"/>
          <w:szCs w:val="18"/>
        </w:rPr>
        <w:tab/>
      </w:r>
      <w:r w:rsidR="57DE3101">
        <w:t>These monthly declarations of expenditure are transmitted by the Member States by the 7</w:t>
      </w:r>
      <w:r w:rsidR="57DE3101">
        <w:rPr>
          <w:vertAlign w:val="superscript"/>
        </w:rPr>
        <w:t>th</w:t>
      </w:r>
      <w:r w:rsidR="57DE3101">
        <w:t xml:space="preserve"> of the month N+1.</w:t>
      </w:r>
    </w:p>
  </w:footnote>
  <w:footnote w:id="7">
    <w:p w14:paraId="6106A0F7" w14:textId="77777777" w:rsidR="006C1868" w:rsidRDefault="006C1868" w:rsidP="006C1868">
      <w:pPr>
        <w:pStyle w:val="FootnoteText"/>
      </w:pPr>
      <w:r>
        <w:rPr>
          <w:rStyle w:val="FootnoteReference"/>
        </w:rPr>
        <w:footnoteRef/>
      </w:r>
      <w:r>
        <w:t xml:space="preserve"> </w:t>
      </w:r>
      <w:r>
        <w:tab/>
        <w:t>OJ L 435, 6.12.2021, p. 187.</w:t>
      </w:r>
    </w:p>
  </w:footnote>
  <w:footnote w:id="8">
    <w:p w14:paraId="70D8AFE5" w14:textId="46BACDC7" w:rsidR="00527CD2" w:rsidRDefault="00527CD2" w:rsidP="00A44A15">
      <w:pPr>
        <w:pStyle w:val="FootnoteText"/>
      </w:pPr>
      <w:r>
        <w:rPr>
          <w:rStyle w:val="FootnoteReference"/>
        </w:rPr>
        <w:footnoteRef/>
      </w:r>
      <w:r>
        <w:t xml:space="preserve"> </w:t>
      </w:r>
      <w:r>
        <w:tab/>
        <w:t>This figure includes the reimbursement of the financial discipline related to the agricultural crisis reserve carried over from financial year 202</w:t>
      </w:r>
      <w:r w:rsidR="00556669">
        <w:t>2</w:t>
      </w:r>
      <w:r>
        <w:t xml:space="preserve">. </w:t>
      </w:r>
    </w:p>
  </w:footnote>
  <w:footnote w:id="9">
    <w:p w14:paraId="08D7E46F" w14:textId="25E37344" w:rsidR="00EC65D2" w:rsidRPr="0089061A" w:rsidRDefault="00EC65D2" w:rsidP="00B429E0">
      <w:pPr>
        <w:pStyle w:val="FootnoteText"/>
        <w:ind w:left="0" w:firstLine="0"/>
        <w:rPr>
          <w:lang w:val="en-IE"/>
        </w:rPr>
      </w:pPr>
      <w:r>
        <w:rPr>
          <w:rStyle w:val="FootnoteReference"/>
        </w:rPr>
        <w:footnoteRef/>
      </w:r>
      <w:r w:rsidRPr="0089061A">
        <w:rPr>
          <w:lang w:val="en-IE"/>
        </w:rPr>
        <w:tab/>
        <w:t>OJ L 181</w:t>
      </w:r>
      <w:r w:rsidR="006E1C5A" w:rsidRPr="0089061A">
        <w:rPr>
          <w:lang w:val="en-IE"/>
        </w:rPr>
        <w:t>,</w:t>
      </w:r>
      <w:r w:rsidRPr="0089061A">
        <w:rPr>
          <w:lang w:val="en-IE"/>
        </w:rPr>
        <w:t xml:space="preserve"> 20.6.2014</w:t>
      </w:r>
      <w:r w:rsidR="006E1C5A" w:rsidRPr="0089061A">
        <w:rPr>
          <w:lang w:val="en-IE"/>
        </w:rPr>
        <w:t>,</w:t>
      </w:r>
      <w:r w:rsidRPr="0089061A">
        <w:rPr>
          <w:lang w:val="en-IE"/>
        </w:rPr>
        <w:t xml:space="preserve"> p.</w:t>
      </w:r>
      <w:r w:rsidR="00484A3D">
        <w:rPr>
          <w:lang w:val="en-IE"/>
        </w:rPr>
        <w:t xml:space="preserve"> </w:t>
      </w:r>
      <w:r w:rsidRPr="0089061A">
        <w:rPr>
          <w:lang w:val="en-IE"/>
        </w:rPr>
        <w:t>48</w:t>
      </w:r>
      <w:r w:rsidR="006E1C5A" w:rsidRPr="0089061A">
        <w:rPr>
          <w:lang w:val="en-IE"/>
        </w:rPr>
        <w:t>.</w:t>
      </w:r>
    </w:p>
  </w:footnote>
  <w:footnote w:id="10">
    <w:p w14:paraId="5D633ABB" w14:textId="77777777" w:rsidR="00756D7D" w:rsidRPr="00756D7D" w:rsidRDefault="00756D7D">
      <w:pPr>
        <w:pStyle w:val="FootnoteText"/>
      </w:pPr>
      <w:r>
        <w:rPr>
          <w:rStyle w:val="FootnoteReference"/>
        </w:rPr>
        <w:footnoteRef/>
      </w:r>
      <w:r>
        <w:t xml:space="preserve"> </w:t>
      </w:r>
      <w:r>
        <w:tab/>
        <w:t>OJ L 227, 31.7.2014, p. 69.</w:t>
      </w:r>
    </w:p>
  </w:footnote>
  <w:footnote w:id="11">
    <w:p w14:paraId="36FBBD40" w14:textId="504DF484" w:rsidR="00D060E5" w:rsidRDefault="00EC65D2" w:rsidP="00D060E5">
      <w:pPr>
        <w:rPr>
          <w:lang w:val="en-IE"/>
        </w:rPr>
      </w:pPr>
      <w:r>
        <w:rPr>
          <w:rStyle w:val="FootnoteReference"/>
        </w:rPr>
        <w:footnoteRef/>
      </w:r>
      <w:r>
        <w:t xml:space="preserve"> </w:t>
      </w:r>
      <w:r>
        <w:tab/>
      </w:r>
      <w:r w:rsidRPr="002E59D4">
        <w:rPr>
          <w:rFonts w:ascii="Times New Roman" w:hAnsi="Times New Roman" w:cs="Times New Roman"/>
          <w:lang w:val="en-IE"/>
        </w:rPr>
        <w:t xml:space="preserve">The DG AGRI Annual Activity Reports can be found at: </w:t>
      </w:r>
      <w:hyperlink r:id="rId2" w:history="1">
        <w:r w:rsidR="003B1662" w:rsidRPr="00B82E9A">
          <w:rPr>
            <w:rStyle w:val="Hyperlink"/>
            <w:lang w:val="en-IE"/>
          </w:rPr>
          <w:t>https://commission.europa.eu/publications/annual-activity-report-2023-agriculture-and-rural-development_en</w:t>
        </w:r>
      </w:hyperlink>
    </w:p>
    <w:p w14:paraId="25E71AB1" w14:textId="77777777" w:rsidR="003B1662" w:rsidRDefault="003B1662" w:rsidP="00D060E5"/>
    <w:p w14:paraId="42D111EB" w14:textId="106B0565" w:rsidR="00EC65D2" w:rsidRDefault="00EC65D2" w:rsidP="00EC65D2">
      <w:pPr>
        <w:pStyle w:val="FootnoteText"/>
      </w:pPr>
    </w:p>
  </w:footnote>
  <w:footnote w:id="12">
    <w:p w14:paraId="680141EC" w14:textId="635A3191" w:rsidR="007F7E98" w:rsidRPr="0089061A" w:rsidRDefault="007F7E98">
      <w:pPr>
        <w:pStyle w:val="FootnoteText"/>
        <w:rPr>
          <w:lang w:val="en-IE"/>
        </w:rPr>
      </w:pPr>
      <w:r>
        <w:rPr>
          <w:rStyle w:val="FootnoteReference"/>
        </w:rPr>
        <w:footnoteRef/>
      </w:r>
      <w:r w:rsidR="00E24524">
        <w:t xml:space="preserve"> </w:t>
      </w:r>
      <w:r w:rsidR="006F2F50">
        <w:tab/>
      </w:r>
      <w:r w:rsidR="00E24524">
        <w:t>I</w:t>
      </w:r>
      <w:r>
        <w:t>rregularities cases for which primary administrative or juridical finding (PACA) was not established before the 16 October 2014.</w:t>
      </w:r>
      <w:r w:rsidR="006F2F50">
        <w:t xml:space="preserve"> In case the PACA was established before that date, the cases are to be classified as “old cases”</w:t>
      </w:r>
    </w:p>
  </w:footnote>
  <w:footnote w:id="13">
    <w:p w14:paraId="6FCA8883" w14:textId="15A72E9D" w:rsidR="006B103F" w:rsidRPr="0089061A" w:rsidRDefault="006B103F">
      <w:pPr>
        <w:pStyle w:val="FootnoteText"/>
        <w:rPr>
          <w:lang w:val="en-IE"/>
        </w:rPr>
      </w:pPr>
      <w:r>
        <w:rPr>
          <w:rStyle w:val="FootnoteReference"/>
        </w:rPr>
        <w:footnoteRef/>
      </w:r>
      <w:r>
        <w:t xml:space="preserve"> </w:t>
      </w:r>
      <w:r>
        <w:tab/>
        <w:t xml:space="preserve">Cases declared irrecoverable as per provision of Article 54(3) of Regulation (EU) </w:t>
      </w:r>
      <w:r w:rsidR="00C920F4">
        <w:t xml:space="preserve">No </w:t>
      </w:r>
      <w:r>
        <w:t>1306/2013.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B3226" w14:textId="77777777" w:rsidR="00506A12" w:rsidRPr="00506A12" w:rsidRDefault="00506A12" w:rsidP="00506A12">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08066" w14:textId="77777777" w:rsidR="00506A12" w:rsidRPr="00506A12" w:rsidRDefault="00506A12" w:rsidP="00506A1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A5B5" w14:textId="77777777" w:rsidR="00506A12" w:rsidRPr="00506A12" w:rsidRDefault="00506A12" w:rsidP="00506A1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03D8A" w14:textId="77777777" w:rsidR="00527CD2" w:rsidRDefault="00527C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3DBA" w14:textId="77777777" w:rsidR="00527CD2" w:rsidRDefault="00527C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0777" w14:textId="77777777" w:rsidR="00527CD2" w:rsidRDefault="00527C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E0816" w14:textId="77777777" w:rsidR="00484A3D" w:rsidRDefault="00484A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49C4" w14:textId="77777777" w:rsidR="00484A3D" w:rsidRDefault="00484A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BCB5" w14:textId="77777777" w:rsidR="00484A3D" w:rsidRDefault="00484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FAFEA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80"/>
    <w:multiLevelType w:val="singleLevel"/>
    <w:tmpl w:val="3C40B182"/>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F212747"/>
    <w:multiLevelType w:val="multilevel"/>
    <w:tmpl w:val="FBD0F488"/>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1274355"/>
    <w:multiLevelType w:val="hybridMultilevel"/>
    <w:tmpl w:val="BE903E60"/>
    <w:lvl w:ilvl="0" w:tplc="DF14A648">
      <w:start w:val="1"/>
      <w:numFmt w:val="decimal"/>
      <w:lvlText w:val="(%1)"/>
      <w:lvlJc w:val="left"/>
      <w:pPr>
        <w:ind w:left="1210" w:hanging="360"/>
      </w:pPr>
      <w:rPr>
        <w:rFonts w:cs="Times New Roman" w:hint="default"/>
      </w:rPr>
    </w:lvl>
    <w:lvl w:ilvl="1" w:tplc="08090019" w:tentative="1">
      <w:start w:val="1"/>
      <w:numFmt w:val="lowerLetter"/>
      <w:lvlText w:val="%2."/>
      <w:lvlJc w:val="left"/>
      <w:pPr>
        <w:ind w:left="1930" w:hanging="360"/>
      </w:pPr>
      <w:rPr>
        <w:rFonts w:cs="Times New Roman"/>
      </w:rPr>
    </w:lvl>
    <w:lvl w:ilvl="2" w:tplc="0809001B" w:tentative="1">
      <w:start w:val="1"/>
      <w:numFmt w:val="lowerRoman"/>
      <w:lvlText w:val="%3."/>
      <w:lvlJc w:val="right"/>
      <w:pPr>
        <w:ind w:left="2650" w:hanging="180"/>
      </w:pPr>
      <w:rPr>
        <w:rFonts w:cs="Times New Roman"/>
      </w:rPr>
    </w:lvl>
    <w:lvl w:ilvl="3" w:tplc="0809000F" w:tentative="1">
      <w:start w:val="1"/>
      <w:numFmt w:val="decimal"/>
      <w:lvlText w:val="%4."/>
      <w:lvlJc w:val="left"/>
      <w:pPr>
        <w:ind w:left="3370" w:hanging="360"/>
      </w:pPr>
      <w:rPr>
        <w:rFonts w:cs="Times New Roman"/>
      </w:rPr>
    </w:lvl>
    <w:lvl w:ilvl="4" w:tplc="08090019" w:tentative="1">
      <w:start w:val="1"/>
      <w:numFmt w:val="lowerLetter"/>
      <w:lvlText w:val="%5."/>
      <w:lvlJc w:val="left"/>
      <w:pPr>
        <w:ind w:left="4090" w:hanging="360"/>
      </w:pPr>
      <w:rPr>
        <w:rFonts w:cs="Times New Roman"/>
      </w:rPr>
    </w:lvl>
    <w:lvl w:ilvl="5" w:tplc="0809001B" w:tentative="1">
      <w:start w:val="1"/>
      <w:numFmt w:val="lowerRoman"/>
      <w:lvlText w:val="%6."/>
      <w:lvlJc w:val="right"/>
      <w:pPr>
        <w:ind w:left="4810" w:hanging="180"/>
      </w:pPr>
      <w:rPr>
        <w:rFonts w:cs="Times New Roman"/>
      </w:rPr>
    </w:lvl>
    <w:lvl w:ilvl="6" w:tplc="0809000F" w:tentative="1">
      <w:start w:val="1"/>
      <w:numFmt w:val="decimal"/>
      <w:lvlText w:val="%7."/>
      <w:lvlJc w:val="left"/>
      <w:pPr>
        <w:ind w:left="5530" w:hanging="360"/>
      </w:pPr>
      <w:rPr>
        <w:rFonts w:cs="Times New Roman"/>
      </w:rPr>
    </w:lvl>
    <w:lvl w:ilvl="7" w:tplc="08090019" w:tentative="1">
      <w:start w:val="1"/>
      <w:numFmt w:val="lowerLetter"/>
      <w:lvlText w:val="%8."/>
      <w:lvlJc w:val="left"/>
      <w:pPr>
        <w:ind w:left="6250" w:hanging="360"/>
      </w:pPr>
      <w:rPr>
        <w:rFonts w:cs="Times New Roman"/>
      </w:rPr>
    </w:lvl>
    <w:lvl w:ilvl="8" w:tplc="0809001B" w:tentative="1">
      <w:start w:val="1"/>
      <w:numFmt w:val="lowerRoman"/>
      <w:lvlText w:val="%9."/>
      <w:lvlJc w:val="right"/>
      <w:pPr>
        <w:ind w:left="6970" w:hanging="180"/>
      </w:pPr>
      <w:rPr>
        <w:rFonts w:cs="Times New Roman"/>
      </w:rPr>
    </w:lvl>
  </w:abstractNum>
  <w:abstractNum w:abstractNumId="6" w15:restartNumberingAfterBreak="0">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15:restartNumberingAfterBreak="0">
    <w:nsid w:val="149674C4"/>
    <w:multiLevelType w:val="singleLevel"/>
    <w:tmpl w:val="1C5C3756"/>
    <w:name w:val="0,6340992"/>
    <w:lvl w:ilvl="0">
      <w:start w:val="1"/>
      <w:numFmt w:val="bullet"/>
      <w:lvlRestart w:val="0"/>
      <w:pStyle w:val="Tiret1"/>
      <w:lvlText w:val="–"/>
      <w:lvlJc w:val="left"/>
      <w:pPr>
        <w:tabs>
          <w:tab w:val="num" w:pos="1417"/>
        </w:tabs>
        <w:ind w:left="1417" w:hanging="567"/>
      </w:pPr>
    </w:lvl>
  </w:abstractNum>
  <w:abstractNum w:abstractNumId="8" w15:restartNumberingAfterBreak="0">
    <w:nsid w:val="15592001"/>
    <w:multiLevelType w:val="singleLevel"/>
    <w:tmpl w:val="3C6C7C7E"/>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 w15:restartNumberingAfterBreak="0">
    <w:nsid w:val="158411A6"/>
    <w:multiLevelType w:val="singleLevel"/>
    <w:tmpl w:val="891A2EB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15:restartNumberingAfterBreak="0">
    <w:nsid w:val="241162DB"/>
    <w:multiLevelType w:val="singleLevel"/>
    <w:tmpl w:val="B27E1B54"/>
    <w:lvl w:ilvl="0">
      <w:start w:val="1"/>
      <w:numFmt w:val="bullet"/>
      <w:lvlRestart w:val="0"/>
      <w:pStyle w:val="Tiret2"/>
      <w:lvlText w:val="–"/>
      <w:lvlJc w:val="left"/>
      <w:pPr>
        <w:tabs>
          <w:tab w:val="num" w:pos="1984"/>
        </w:tabs>
        <w:ind w:left="1984" w:hanging="567"/>
      </w:pPr>
    </w:lvl>
  </w:abstractNum>
  <w:abstractNum w:abstractNumId="11"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F076C74"/>
    <w:multiLevelType w:val="multilevel"/>
    <w:tmpl w:val="CC8EDB14"/>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3" w15:restartNumberingAfterBreak="0">
    <w:nsid w:val="30ED4279"/>
    <w:multiLevelType w:val="hybridMultilevel"/>
    <w:tmpl w:val="8228AC36"/>
    <w:lvl w:ilvl="0" w:tplc="7C6CAEFC">
      <w:start w:val="3"/>
      <w:numFmt w:val="bullet"/>
      <w:lvlText w:val="-"/>
      <w:lvlJc w:val="left"/>
      <w:pPr>
        <w:ind w:left="1211" w:hanging="360"/>
      </w:pPr>
      <w:rPr>
        <w:rFonts w:ascii="Times New Roman" w:eastAsia="MS PGothic" w:hAnsi="Times New Roman" w:cs="Times New Roman"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14" w15:restartNumberingAfterBreak="0">
    <w:nsid w:val="322F797B"/>
    <w:multiLevelType w:val="hybridMultilevel"/>
    <w:tmpl w:val="98EC018E"/>
    <w:lvl w:ilvl="0" w:tplc="E698F6CE">
      <w:start w:val="1"/>
      <w:numFmt w:val="bullet"/>
      <w:lvlText w:val="–"/>
      <w:lvlJc w:val="left"/>
      <w:pPr>
        <w:ind w:left="720" w:hanging="360"/>
      </w:pPr>
      <w:rPr>
        <w:rFonts w:ascii="Times New Roman" w:hAnsi="Times New Roman" w:hint="default"/>
      </w:rPr>
    </w:lvl>
    <w:lvl w:ilvl="1" w:tplc="DE90F62A">
      <w:start w:val="1"/>
      <w:numFmt w:val="bullet"/>
      <w:lvlText w:val="o"/>
      <w:lvlJc w:val="left"/>
      <w:pPr>
        <w:ind w:left="1440" w:hanging="360"/>
      </w:pPr>
      <w:rPr>
        <w:rFonts w:ascii="Courier New" w:hAnsi="Courier New" w:hint="default"/>
      </w:rPr>
    </w:lvl>
    <w:lvl w:ilvl="2" w:tplc="428A1ED8">
      <w:start w:val="1"/>
      <w:numFmt w:val="bullet"/>
      <w:lvlText w:val=""/>
      <w:lvlJc w:val="left"/>
      <w:pPr>
        <w:ind w:left="2160" w:hanging="360"/>
      </w:pPr>
      <w:rPr>
        <w:rFonts w:ascii="Wingdings" w:hAnsi="Wingdings" w:hint="default"/>
      </w:rPr>
    </w:lvl>
    <w:lvl w:ilvl="3" w:tplc="AC5E15D6">
      <w:start w:val="1"/>
      <w:numFmt w:val="bullet"/>
      <w:lvlText w:val=""/>
      <w:lvlJc w:val="left"/>
      <w:pPr>
        <w:ind w:left="2880" w:hanging="360"/>
      </w:pPr>
      <w:rPr>
        <w:rFonts w:ascii="Symbol" w:hAnsi="Symbol" w:hint="default"/>
      </w:rPr>
    </w:lvl>
    <w:lvl w:ilvl="4" w:tplc="0F14B35A">
      <w:start w:val="1"/>
      <w:numFmt w:val="bullet"/>
      <w:lvlText w:val="o"/>
      <w:lvlJc w:val="left"/>
      <w:pPr>
        <w:ind w:left="3600" w:hanging="360"/>
      </w:pPr>
      <w:rPr>
        <w:rFonts w:ascii="Courier New" w:hAnsi="Courier New" w:hint="default"/>
      </w:rPr>
    </w:lvl>
    <w:lvl w:ilvl="5" w:tplc="175C94B8">
      <w:start w:val="1"/>
      <w:numFmt w:val="bullet"/>
      <w:lvlText w:val=""/>
      <w:lvlJc w:val="left"/>
      <w:pPr>
        <w:ind w:left="4320" w:hanging="360"/>
      </w:pPr>
      <w:rPr>
        <w:rFonts w:ascii="Wingdings" w:hAnsi="Wingdings" w:hint="default"/>
      </w:rPr>
    </w:lvl>
    <w:lvl w:ilvl="6" w:tplc="F90490B4">
      <w:start w:val="1"/>
      <w:numFmt w:val="bullet"/>
      <w:lvlText w:val=""/>
      <w:lvlJc w:val="left"/>
      <w:pPr>
        <w:ind w:left="5040" w:hanging="360"/>
      </w:pPr>
      <w:rPr>
        <w:rFonts w:ascii="Symbol" w:hAnsi="Symbol" w:hint="default"/>
      </w:rPr>
    </w:lvl>
    <w:lvl w:ilvl="7" w:tplc="AC1C242E">
      <w:start w:val="1"/>
      <w:numFmt w:val="bullet"/>
      <w:lvlText w:val="o"/>
      <w:lvlJc w:val="left"/>
      <w:pPr>
        <w:ind w:left="5760" w:hanging="360"/>
      </w:pPr>
      <w:rPr>
        <w:rFonts w:ascii="Courier New" w:hAnsi="Courier New" w:hint="default"/>
      </w:rPr>
    </w:lvl>
    <w:lvl w:ilvl="8" w:tplc="7CC04884">
      <w:start w:val="1"/>
      <w:numFmt w:val="bullet"/>
      <w:lvlText w:val=""/>
      <w:lvlJc w:val="left"/>
      <w:pPr>
        <w:ind w:left="6480" w:hanging="360"/>
      </w:pPr>
      <w:rPr>
        <w:rFonts w:ascii="Wingdings" w:hAnsi="Wingdings" w:hint="default"/>
      </w:rPr>
    </w:lvl>
  </w:abstractNum>
  <w:abstractNum w:abstractNumId="15"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6"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7" w15:restartNumberingAfterBreak="0">
    <w:nsid w:val="40FF3500"/>
    <w:multiLevelType w:val="singleLevel"/>
    <w:tmpl w:val="84DA1EE8"/>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4BF12751"/>
    <w:multiLevelType w:val="multilevel"/>
    <w:tmpl w:val="0809001F"/>
    <w:name w:val="NumPar"/>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4FE679FC"/>
    <w:multiLevelType w:val="hybridMultilevel"/>
    <w:tmpl w:val="3578ABC2"/>
    <w:lvl w:ilvl="0" w:tplc="0B38CBBA">
      <w:start w:val="1"/>
      <w:numFmt w:val="bullet"/>
      <w:lvlText w:val=""/>
      <w:lvlJc w:val="left"/>
      <w:pPr>
        <w:ind w:left="1570" w:hanging="360"/>
      </w:pPr>
      <w:rPr>
        <w:rFonts w:ascii="Symbol" w:hAnsi="Symbol"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20" w15:restartNumberingAfterBreak="0">
    <w:nsid w:val="57C85C6C"/>
    <w:multiLevelType w:val="hybridMultilevel"/>
    <w:tmpl w:val="721C3FF6"/>
    <w:lvl w:ilvl="0" w:tplc="0B38CBBA">
      <w:start w:val="1"/>
      <w:numFmt w:val="bullet"/>
      <w:lvlText w:val=""/>
      <w:lvlJc w:val="left"/>
      <w:pPr>
        <w:ind w:left="1570" w:hanging="360"/>
      </w:pPr>
      <w:rPr>
        <w:rFonts w:ascii="Symbol" w:hAnsi="Symbol"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21" w15:restartNumberingAfterBreak="0">
    <w:nsid w:val="596D67A1"/>
    <w:multiLevelType w:val="singleLevel"/>
    <w:tmpl w:val="9AC8831A"/>
    <w:name w:val="Tiret 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15:restartNumberingAfterBreak="0">
    <w:nsid w:val="5F8C3B69"/>
    <w:multiLevelType w:val="multilevel"/>
    <w:tmpl w:val="9B14DAA8"/>
    <w:name w:val="Bullet 0"/>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12064BE"/>
    <w:multiLevelType w:val="hybridMultilevel"/>
    <w:tmpl w:val="CE22AD48"/>
    <w:lvl w:ilvl="0" w:tplc="0B38CBBA">
      <w:start w:val="1"/>
      <w:numFmt w:val="bullet"/>
      <w:lvlText w:val=""/>
      <w:lvlJc w:val="left"/>
      <w:pPr>
        <w:ind w:left="1570" w:hanging="360"/>
      </w:pPr>
      <w:rPr>
        <w:rFonts w:ascii="Symbol" w:hAnsi="Symbol"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24" w15:restartNumberingAfterBreak="0">
    <w:nsid w:val="62A8042C"/>
    <w:multiLevelType w:val="singleLevel"/>
    <w:tmpl w:val="CCF20C06"/>
    <w:name w:val="Bullet 2"/>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5" w15:restartNumberingAfterBreak="0">
    <w:nsid w:val="63B26268"/>
    <w:multiLevelType w:val="singleLevel"/>
    <w:tmpl w:val="491E6360"/>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26" w15:restartNumberingAfterBreak="0">
    <w:nsid w:val="64304DA4"/>
    <w:multiLevelType w:val="hybridMultilevel"/>
    <w:tmpl w:val="AFAA88F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7" w15:restartNumberingAfterBreak="0">
    <w:nsid w:val="65221EBE"/>
    <w:multiLevelType w:val="hybridMultilevel"/>
    <w:tmpl w:val="EC7AB760"/>
    <w:lvl w:ilvl="0" w:tplc="51409574">
      <w:start w:val="3"/>
      <w:numFmt w:val="bullet"/>
      <w:lvlText w:val="-"/>
      <w:lvlJc w:val="left"/>
      <w:pPr>
        <w:ind w:left="1211" w:hanging="360"/>
      </w:pPr>
      <w:rPr>
        <w:rFonts w:ascii="Times New Roman" w:eastAsia="MS PGothic" w:hAnsi="Times New Roman" w:cs="Times New Roman"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28" w15:restartNumberingAfterBreak="0">
    <w:nsid w:val="67917F1D"/>
    <w:multiLevelType w:val="hybridMultilevel"/>
    <w:tmpl w:val="4B6495F6"/>
    <w:lvl w:ilvl="0" w:tplc="0B38CBBA">
      <w:start w:val="1"/>
      <w:numFmt w:val="bullet"/>
      <w:lvlText w:val=""/>
      <w:lvlJc w:val="left"/>
      <w:pPr>
        <w:ind w:left="1570" w:hanging="360"/>
      </w:pPr>
      <w:rPr>
        <w:rFonts w:ascii="Symbol" w:hAnsi="Symbol"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29" w15:restartNumberingAfterBreak="0">
    <w:nsid w:val="6A6901C1"/>
    <w:multiLevelType w:val="singleLevel"/>
    <w:tmpl w:val="208841AE"/>
    <w:name w:val="0,8228368"/>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0" w15:restartNumberingAfterBreak="0">
    <w:nsid w:val="6D2B5511"/>
    <w:multiLevelType w:val="singleLevel"/>
    <w:tmpl w:val="74A09970"/>
    <w:name w:val="5,794489E-0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1" w15:restartNumberingAfterBreak="0">
    <w:nsid w:val="6EC300CA"/>
    <w:multiLevelType w:val="singleLevel"/>
    <w:tmpl w:val="055ABBD0"/>
    <w:name w:val="Point"/>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15:restartNumberingAfterBreak="0">
    <w:nsid w:val="70542883"/>
    <w:multiLevelType w:val="hybridMultilevel"/>
    <w:tmpl w:val="EA78B5D2"/>
    <w:lvl w:ilvl="0" w:tplc="0B38CBBA">
      <w:start w:val="1"/>
      <w:numFmt w:val="bullet"/>
      <w:lvlText w:val=""/>
      <w:lvlJc w:val="left"/>
      <w:pPr>
        <w:ind w:left="1570" w:hanging="360"/>
      </w:pPr>
      <w:rPr>
        <w:rFonts w:ascii="Symbol" w:hAnsi="Symbol"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33" w15:restartNumberingAfterBreak="0">
    <w:nsid w:val="712E4B18"/>
    <w:multiLevelType w:val="singleLevel"/>
    <w:tmpl w:val="66ECC298"/>
    <w:lvl w:ilvl="0">
      <w:start w:val="1"/>
      <w:numFmt w:val="bullet"/>
      <w:lvlRestart w:val="0"/>
      <w:pStyle w:val="Tiret3"/>
      <w:lvlText w:val="–"/>
      <w:lvlJc w:val="left"/>
      <w:pPr>
        <w:tabs>
          <w:tab w:val="num" w:pos="2551"/>
        </w:tabs>
        <w:ind w:left="2551" w:hanging="567"/>
      </w:pPr>
    </w:lvl>
  </w:abstractNum>
  <w:abstractNum w:abstractNumId="34" w15:restartNumberingAfterBreak="0">
    <w:nsid w:val="729504D5"/>
    <w:multiLevelType w:val="singleLevel"/>
    <w:tmpl w:val="1BC6DBFC"/>
    <w:name w:val="0,1023829"/>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78A241BD"/>
    <w:multiLevelType w:val="singleLevel"/>
    <w:tmpl w:val="53C4DF32"/>
    <w:name w:val="0,4901348"/>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6" w15:restartNumberingAfterBreak="0">
    <w:nsid w:val="79C96D36"/>
    <w:multiLevelType w:val="multilevel"/>
    <w:tmpl w:val="BE983CE4"/>
    <w:name w:val="0,38967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B454D54"/>
    <w:multiLevelType w:val="singleLevel"/>
    <w:tmpl w:val="8A02E4B2"/>
    <w:lvl w:ilvl="0">
      <w:start w:val="1"/>
      <w:numFmt w:val="bullet"/>
      <w:lvlRestart w:val="0"/>
      <w:pStyle w:val="Tiret4"/>
      <w:lvlText w:val="–"/>
      <w:lvlJc w:val="left"/>
      <w:pPr>
        <w:tabs>
          <w:tab w:val="num" w:pos="3118"/>
        </w:tabs>
        <w:ind w:left="3118" w:hanging="567"/>
      </w:pPr>
    </w:lvl>
  </w:abstractNum>
  <w:abstractNum w:abstractNumId="38"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15:restartNumberingAfterBreak="0">
    <w:nsid w:val="7E8224EA"/>
    <w:multiLevelType w:val="singleLevel"/>
    <w:tmpl w:val="34DEB8CE"/>
    <w:lvl w:ilvl="0">
      <w:start w:val="1"/>
      <w:numFmt w:val="bullet"/>
      <w:lvlRestart w:val="0"/>
      <w:pStyle w:val="Tiret0"/>
      <w:lvlText w:val="–"/>
      <w:lvlJc w:val="left"/>
      <w:pPr>
        <w:tabs>
          <w:tab w:val="num" w:pos="850"/>
        </w:tabs>
        <w:ind w:left="850" w:hanging="850"/>
      </w:pPr>
    </w:lvl>
  </w:abstractNum>
  <w:abstractNum w:abstractNumId="40" w15:restartNumberingAfterBreak="0">
    <w:nsid w:val="7F7154E1"/>
    <w:multiLevelType w:val="singleLevel"/>
    <w:tmpl w:val="E3F6D2C6"/>
    <w:name w:val="0,109158"/>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4"/>
  </w:num>
  <w:num w:numId="2">
    <w:abstractNumId w:val="1"/>
  </w:num>
  <w:num w:numId="3">
    <w:abstractNumId w:val="0"/>
  </w:num>
  <w:num w:numId="4">
    <w:abstractNumId w:val="39"/>
  </w:num>
  <w:num w:numId="5">
    <w:abstractNumId w:val="7"/>
  </w:num>
  <w:num w:numId="6">
    <w:abstractNumId w:val="10"/>
  </w:num>
  <w:num w:numId="7">
    <w:abstractNumId w:val="33"/>
  </w:num>
  <w:num w:numId="8">
    <w:abstractNumId w:val="37"/>
  </w:num>
  <w:num w:numId="9">
    <w:abstractNumId w:val="4"/>
  </w:num>
  <w:num w:numId="10">
    <w:abstractNumId w:val="12"/>
  </w:num>
  <w:num w:numId="11">
    <w:abstractNumId w:val="8"/>
  </w:num>
  <w:num w:numId="12">
    <w:abstractNumId w:val="17"/>
  </w:num>
  <w:num w:numId="13">
    <w:abstractNumId w:val="9"/>
  </w:num>
  <w:num w:numId="14">
    <w:abstractNumId w:val="34"/>
  </w:num>
  <w:num w:numId="15">
    <w:abstractNumId w:val="31"/>
  </w:num>
  <w:num w:numId="16">
    <w:abstractNumId w:val="25"/>
  </w:num>
  <w:num w:numId="17">
    <w:abstractNumId w:val="18"/>
  </w:num>
  <w:num w:numId="18">
    <w:abstractNumId w:val="22"/>
  </w:num>
  <w:num w:numId="19">
    <w:abstractNumId w:val="36"/>
  </w:num>
  <w:num w:numId="20">
    <w:abstractNumId w:val="11"/>
  </w:num>
  <w:num w:numId="21">
    <w:abstractNumId w:val="3"/>
  </w:num>
  <w:num w:numId="22">
    <w:abstractNumId w:val="2"/>
  </w:num>
  <w:num w:numId="23">
    <w:abstractNumId w:val="30"/>
  </w:num>
  <w:num w:numId="24">
    <w:abstractNumId w:val="29"/>
  </w:num>
  <w:num w:numId="25">
    <w:abstractNumId w:val="6"/>
  </w:num>
  <w:num w:numId="26">
    <w:abstractNumId w:val="15"/>
  </w:num>
  <w:num w:numId="27">
    <w:abstractNumId w:val="40"/>
  </w:num>
  <w:num w:numId="28">
    <w:abstractNumId w:val="16"/>
  </w:num>
  <w:num w:numId="29">
    <w:abstractNumId w:val="24"/>
  </w:num>
  <w:num w:numId="30">
    <w:abstractNumId w:val="21"/>
  </w:num>
  <w:num w:numId="31">
    <w:abstractNumId w:val="35"/>
  </w:num>
  <w:num w:numId="32">
    <w:abstractNumId w:val="38"/>
  </w:num>
  <w:num w:numId="33">
    <w:abstractNumId w:val="26"/>
  </w:num>
  <w:num w:numId="34">
    <w:abstractNumId w:val="5"/>
  </w:num>
  <w:num w:numId="35">
    <w:abstractNumId w:val="19"/>
  </w:num>
  <w:num w:numId="36">
    <w:abstractNumId w:val="32"/>
  </w:num>
  <w:num w:numId="37">
    <w:abstractNumId w:val="23"/>
  </w:num>
  <w:num w:numId="38">
    <w:abstractNumId w:val="20"/>
  </w:num>
  <w:num w:numId="39">
    <w:abstractNumId w:val="28"/>
  </w:num>
  <w:num w:numId="40">
    <w:abstractNumId w:val="13"/>
  </w:num>
  <w:num w:numId="41">
    <w:abstractNumId w:val="2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D5E08D95-2251-45FA-AEC9-7A62BCEF971C"/>
    <w:docVar w:name="LW_COVERPAGE_TYPE" w:val="1"/>
    <w:docVar w:name="LW_CROSSREFERENCE" w:val="&lt;UNUSED&gt;"/>
    <w:docVar w:name="LW_DocType" w:val="NORMAL"/>
    <w:docVar w:name="LW_EMISSION" w:val="26.9.2024"/>
    <w:docVar w:name="LW_EMISSION_ISODATE" w:val="2024-09-2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41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INANCIAL REPORT FROM THE COMMISSION TO THE EUROPEAN PARLIAMENT AND THE COUNCIL ON THE EUROPEAN AGRICULTURAL GUARANTEE FUND AND THE EUROPEAN AGRICULTURAL FUND FOR RURAL DEVELOPMENT_x000d__x000d__x000d__x000d__x000d__x000d__x000d__x000b__x000d__x000d__x000d__x000d__x000d__x000d__x000d__x000b_2023 FINANCIAL YEAR_x000d__x000d__x000d__x000d__x000d__x000d__x000d__x000d__x000b_"/>
    <w:docVar w:name="LW_TYPE.DOC.CP" w:val="REPORT FROM THE COMMISSION TO THE EUROPEAN PARLIAMENT AND THE COUNCIL"/>
    <w:docVar w:name="LwApiVersions" w:val="LW4CoDe 1.24.5.0; LW 9.0, Build 20240221"/>
  </w:docVars>
  <w:rsids>
    <w:rsidRoot w:val="00A44A15"/>
    <w:rsid w:val="00000C87"/>
    <w:rsid w:val="00002DE4"/>
    <w:rsid w:val="00003FB4"/>
    <w:rsid w:val="00005E87"/>
    <w:rsid w:val="0000BAFB"/>
    <w:rsid w:val="00010D4E"/>
    <w:rsid w:val="000113F6"/>
    <w:rsid w:val="00011868"/>
    <w:rsid w:val="00011D4A"/>
    <w:rsid w:val="00011DF5"/>
    <w:rsid w:val="0001239F"/>
    <w:rsid w:val="000153C1"/>
    <w:rsid w:val="00015C4D"/>
    <w:rsid w:val="00016647"/>
    <w:rsid w:val="000170BC"/>
    <w:rsid w:val="00017132"/>
    <w:rsid w:val="000174DB"/>
    <w:rsid w:val="00017A09"/>
    <w:rsid w:val="00021458"/>
    <w:rsid w:val="00021B55"/>
    <w:rsid w:val="00021CC9"/>
    <w:rsid w:val="000231CC"/>
    <w:rsid w:val="0003042A"/>
    <w:rsid w:val="0003227B"/>
    <w:rsid w:val="00032316"/>
    <w:rsid w:val="00032DF6"/>
    <w:rsid w:val="0003316B"/>
    <w:rsid w:val="000334E1"/>
    <w:rsid w:val="0003407F"/>
    <w:rsid w:val="00034566"/>
    <w:rsid w:val="0003538C"/>
    <w:rsid w:val="00035EA1"/>
    <w:rsid w:val="000367A4"/>
    <w:rsid w:val="00037B3E"/>
    <w:rsid w:val="00037D30"/>
    <w:rsid w:val="00040EAD"/>
    <w:rsid w:val="00041249"/>
    <w:rsid w:val="00041A6B"/>
    <w:rsid w:val="00042578"/>
    <w:rsid w:val="00042871"/>
    <w:rsid w:val="00042903"/>
    <w:rsid w:val="00044276"/>
    <w:rsid w:val="000448A6"/>
    <w:rsid w:val="00044FD9"/>
    <w:rsid w:val="00045C26"/>
    <w:rsid w:val="000475CA"/>
    <w:rsid w:val="00047831"/>
    <w:rsid w:val="000500C1"/>
    <w:rsid w:val="00050101"/>
    <w:rsid w:val="00050340"/>
    <w:rsid w:val="00050998"/>
    <w:rsid w:val="0005188B"/>
    <w:rsid w:val="0005257E"/>
    <w:rsid w:val="00055281"/>
    <w:rsid w:val="00055C92"/>
    <w:rsid w:val="000604C0"/>
    <w:rsid w:val="000620CF"/>
    <w:rsid w:val="000622D6"/>
    <w:rsid w:val="00063279"/>
    <w:rsid w:val="0006328F"/>
    <w:rsid w:val="0006417D"/>
    <w:rsid w:val="000642D8"/>
    <w:rsid w:val="000647DE"/>
    <w:rsid w:val="00064C31"/>
    <w:rsid w:val="000664D4"/>
    <w:rsid w:val="00073FE9"/>
    <w:rsid w:val="00074B84"/>
    <w:rsid w:val="00075CDF"/>
    <w:rsid w:val="000763C9"/>
    <w:rsid w:val="000765EE"/>
    <w:rsid w:val="0007663F"/>
    <w:rsid w:val="00076CC6"/>
    <w:rsid w:val="00076EE4"/>
    <w:rsid w:val="000778D2"/>
    <w:rsid w:val="00080B9D"/>
    <w:rsid w:val="00080FC5"/>
    <w:rsid w:val="00081945"/>
    <w:rsid w:val="0008198C"/>
    <w:rsid w:val="000825FE"/>
    <w:rsid w:val="00083118"/>
    <w:rsid w:val="000857C3"/>
    <w:rsid w:val="00087DDF"/>
    <w:rsid w:val="00090020"/>
    <w:rsid w:val="000913C7"/>
    <w:rsid w:val="00091F8E"/>
    <w:rsid w:val="0009522F"/>
    <w:rsid w:val="00095948"/>
    <w:rsid w:val="00095C3A"/>
    <w:rsid w:val="00095E20"/>
    <w:rsid w:val="000A072C"/>
    <w:rsid w:val="000A2350"/>
    <w:rsid w:val="000A2E72"/>
    <w:rsid w:val="000A3695"/>
    <w:rsid w:val="000A46C1"/>
    <w:rsid w:val="000A4CAD"/>
    <w:rsid w:val="000A5CE3"/>
    <w:rsid w:val="000A5DB8"/>
    <w:rsid w:val="000A67E6"/>
    <w:rsid w:val="000B22D7"/>
    <w:rsid w:val="000B543C"/>
    <w:rsid w:val="000B592B"/>
    <w:rsid w:val="000B6385"/>
    <w:rsid w:val="000B6BB6"/>
    <w:rsid w:val="000B71F2"/>
    <w:rsid w:val="000C01BD"/>
    <w:rsid w:val="000C2802"/>
    <w:rsid w:val="000C41F0"/>
    <w:rsid w:val="000C4A02"/>
    <w:rsid w:val="000C4D1E"/>
    <w:rsid w:val="000C5A99"/>
    <w:rsid w:val="000D038E"/>
    <w:rsid w:val="000D13E0"/>
    <w:rsid w:val="000D1700"/>
    <w:rsid w:val="000D1955"/>
    <w:rsid w:val="000D1FC7"/>
    <w:rsid w:val="000D23D7"/>
    <w:rsid w:val="000D588F"/>
    <w:rsid w:val="000D5FFC"/>
    <w:rsid w:val="000D6F18"/>
    <w:rsid w:val="000D7B5D"/>
    <w:rsid w:val="000E0D27"/>
    <w:rsid w:val="000E19F6"/>
    <w:rsid w:val="000E2F2A"/>
    <w:rsid w:val="000E37CA"/>
    <w:rsid w:val="000E3BA6"/>
    <w:rsid w:val="000E4208"/>
    <w:rsid w:val="000E48D5"/>
    <w:rsid w:val="000E4C4F"/>
    <w:rsid w:val="000E7A0D"/>
    <w:rsid w:val="000F017E"/>
    <w:rsid w:val="000F088E"/>
    <w:rsid w:val="000F3B95"/>
    <w:rsid w:val="000F3C71"/>
    <w:rsid w:val="000F3F19"/>
    <w:rsid w:val="000F3FD7"/>
    <w:rsid w:val="000F45D3"/>
    <w:rsid w:val="000F4A2A"/>
    <w:rsid w:val="000F72AD"/>
    <w:rsid w:val="00100D52"/>
    <w:rsid w:val="0010145A"/>
    <w:rsid w:val="00101AC9"/>
    <w:rsid w:val="00101F8B"/>
    <w:rsid w:val="00102BE2"/>
    <w:rsid w:val="00102F4F"/>
    <w:rsid w:val="001031BE"/>
    <w:rsid w:val="00103C49"/>
    <w:rsid w:val="001055B3"/>
    <w:rsid w:val="0010584F"/>
    <w:rsid w:val="00105B09"/>
    <w:rsid w:val="00106A63"/>
    <w:rsid w:val="00112E24"/>
    <w:rsid w:val="00115339"/>
    <w:rsid w:val="0011546A"/>
    <w:rsid w:val="0012273F"/>
    <w:rsid w:val="00123ADA"/>
    <w:rsid w:val="00125163"/>
    <w:rsid w:val="001259C1"/>
    <w:rsid w:val="001259FC"/>
    <w:rsid w:val="0012618E"/>
    <w:rsid w:val="00126F91"/>
    <w:rsid w:val="00127769"/>
    <w:rsid w:val="00127E0A"/>
    <w:rsid w:val="001310EB"/>
    <w:rsid w:val="001318FE"/>
    <w:rsid w:val="001331D2"/>
    <w:rsid w:val="00133F3A"/>
    <w:rsid w:val="00135A9A"/>
    <w:rsid w:val="00135FE3"/>
    <w:rsid w:val="0013627E"/>
    <w:rsid w:val="00137CBE"/>
    <w:rsid w:val="00142527"/>
    <w:rsid w:val="00142A92"/>
    <w:rsid w:val="00142BFD"/>
    <w:rsid w:val="001431A8"/>
    <w:rsid w:val="00146A38"/>
    <w:rsid w:val="00146AFC"/>
    <w:rsid w:val="001500DA"/>
    <w:rsid w:val="00150BFE"/>
    <w:rsid w:val="00151873"/>
    <w:rsid w:val="001521AE"/>
    <w:rsid w:val="00153B3B"/>
    <w:rsid w:val="00155986"/>
    <w:rsid w:val="00156994"/>
    <w:rsid w:val="00156F3F"/>
    <w:rsid w:val="00157C0B"/>
    <w:rsid w:val="001636F2"/>
    <w:rsid w:val="001645E9"/>
    <w:rsid w:val="00165BC3"/>
    <w:rsid w:val="001665B5"/>
    <w:rsid w:val="00166E78"/>
    <w:rsid w:val="00167931"/>
    <w:rsid w:val="001701C9"/>
    <w:rsid w:val="001720E8"/>
    <w:rsid w:val="0017309A"/>
    <w:rsid w:val="00174687"/>
    <w:rsid w:val="001750DE"/>
    <w:rsid w:val="00177195"/>
    <w:rsid w:val="00177C3A"/>
    <w:rsid w:val="00180D8C"/>
    <w:rsid w:val="001830CF"/>
    <w:rsid w:val="00183BD0"/>
    <w:rsid w:val="00183FEE"/>
    <w:rsid w:val="00184087"/>
    <w:rsid w:val="00184372"/>
    <w:rsid w:val="00184553"/>
    <w:rsid w:val="00184862"/>
    <w:rsid w:val="00184AD3"/>
    <w:rsid w:val="00186093"/>
    <w:rsid w:val="00192D63"/>
    <w:rsid w:val="001931AD"/>
    <w:rsid w:val="00194843"/>
    <w:rsid w:val="001972E2"/>
    <w:rsid w:val="00197970"/>
    <w:rsid w:val="001A08EC"/>
    <w:rsid w:val="001A345A"/>
    <w:rsid w:val="001A3C03"/>
    <w:rsid w:val="001B039C"/>
    <w:rsid w:val="001B0520"/>
    <w:rsid w:val="001B14F9"/>
    <w:rsid w:val="001B55BC"/>
    <w:rsid w:val="001B5861"/>
    <w:rsid w:val="001B5CDE"/>
    <w:rsid w:val="001B6043"/>
    <w:rsid w:val="001C1B70"/>
    <w:rsid w:val="001C3DB5"/>
    <w:rsid w:val="001C4ACF"/>
    <w:rsid w:val="001C5269"/>
    <w:rsid w:val="001C5AB4"/>
    <w:rsid w:val="001C679C"/>
    <w:rsid w:val="001C6BF7"/>
    <w:rsid w:val="001C6C3D"/>
    <w:rsid w:val="001C758A"/>
    <w:rsid w:val="001C7C41"/>
    <w:rsid w:val="001D05C3"/>
    <w:rsid w:val="001D07EE"/>
    <w:rsid w:val="001D1284"/>
    <w:rsid w:val="001D3D49"/>
    <w:rsid w:val="001D4474"/>
    <w:rsid w:val="001D5253"/>
    <w:rsid w:val="001D5442"/>
    <w:rsid w:val="001D6763"/>
    <w:rsid w:val="001E034B"/>
    <w:rsid w:val="001E084E"/>
    <w:rsid w:val="001E0D2E"/>
    <w:rsid w:val="001E156C"/>
    <w:rsid w:val="001E2DAE"/>
    <w:rsid w:val="001E35B8"/>
    <w:rsid w:val="001E46AD"/>
    <w:rsid w:val="001E5EB4"/>
    <w:rsid w:val="001E67AC"/>
    <w:rsid w:val="001E7CD7"/>
    <w:rsid w:val="001F0B86"/>
    <w:rsid w:val="001F2AB3"/>
    <w:rsid w:val="001F3641"/>
    <w:rsid w:val="001F3826"/>
    <w:rsid w:val="001F437C"/>
    <w:rsid w:val="001F465C"/>
    <w:rsid w:val="001F5018"/>
    <w:rsid w:val="001F552C"/>
    <w:rsid w:val="001F5539"/>
    <w:rsid w:val="001F5B2C"/>
    <w:rsid w:val="001F7117"/>
    <w:rsid w:val="002011A5"/>
    <w:rsid w:val="0020137B"/>
    <w:rsid w:val="0020169D"/>
    <w:rsid w:val="00201DB1"/>
    <w:rsid w:val="00201DED"/>
    <w:rsid w:val="002025A7"/>
    <w:rsid w:val="00202E39"/>
    <w:rsid w:val="00203451"/>
    <w:rsid w:val="00203E28"/>
    <w:rsid w:val="00204BB5"/>
    <w:rsid w:val="00204F06"/>
    <w:rsid w:val="00205386"/>
    <w:rsid w:val="002065CE"/>
    <w:rsid w:val="00210A9F"/>
    <w:rsid w:val="00210D14"/>
    <w:rsid w:val="002144F5"/>
    <w:rsid w:val="00215762"/>
    <w:rsid w:val="00215771"/>
    <w:rsid w:val="00217274"/>
    <w:rsid w:val="002178C7"/>
    <w:rsid w:val="002202BC"/>
    <w:rsid w:val="00222817"/>
    <w:rsid w:val="0022472C"/>
    <w:rsid w:val="00226591"/>
    <w:rsid w:val="00230683"/>
    <w:rsid w:val="002332A2"/>
    <w:rsid w:val="0023639C"/>
    <w:rsid w:val="002366B2"/>
    <w:rsid w:val="00236D02"/>
    <w:rsid w:val="002372E9"/>
    <w:rsid w:val="00237493"/>
    <w:rsid w:val="002401C3"/>
    <w:rsid w:val="00240473"/>
    <w:rsid w:val="00240829"/>
    <w:rsid w:val="00241814"/>
    <w:rsid w:val="00242C80"/>
    <w:rsid w:val="0024366A"/>
    <w:rsid w:val="00243673"/>
    <w:rsid w:val="00243A73"/>
    <w:rsid w:val="00244269"/>
    <w:rsid w:val="0024482C"/>
    <w:rsid w:val="00245EDF"/>
    <w:rsid w:val="00245FCD"/>
    <w:rsid w:val="002554BF"/>
    <w:rsid w:val="00257AF4"/>
    <w:rsid w:val="00260643"/>
    <w:rsid w:val="002637FF"/>
    <w:rsid w:val="00263FD9"/>
    <w:rsid w:val="0026508C"/>
    <w:rsid w:val="002700BF"/>
    <w:rsid w:val="002703BC"/>
    <w:rsid w:val="00271E97"/>
    <w:rsid w:val="00274813"/>
    <w:rsid w:val="002755C8"/>
    <w:rsid w:val="00275F0E"/>
    <w:rsid w:val="002768C7"/>
    <w:rsid w:val="002817F7"/>
    <w:rsid w:val="00282DD0"/>
    <w:rsid w:val="002839A2"/>
    <w:rsid w:val="002861B9"/>
    <w:rsid w:val="002905B0"/>
    <w:rsid w:val="00292B86"/>
    <w:rsid w:val="00293CF2"/>
    <w:rsid w:val="00295C74"/>
    <w:rsid w:val="00295E17"/>
    <w:rsid w:val="00295EA2"/>
    <w:rsid w:val="002975CB"/>
    <w:rsid w:val="002976D3"/>
    <w:rsid w:val="00297DA6"/>
    <w:rsid w:val="002A02A8"/>
    <w:rsid w:val="002A0328"/>
    <w:rsid w:val="002A0AA1"/>
    <w:rsid w:val="002A1051"/>
    <w:rsid w:val="002A1EF0"/>
    <w:rsid w:val="002A22A9"/>
    <w:rsid w:val="002A28E8"/>
    <w:rsid w:val="002A3941"/>
    <w:rsid w:val="002A3D02"/>
    <w:rsid w:val="002A4E76"/>
    <w:rsid w:val="002A50C1"/>
    <w:rsid w:val="002A618F"/>
    <w:rsid w:val="002A7A51"/>
    <w:rsid w:val="002B0A10"/>
    <w:rsid w:val="002B0D36"/>
    <w:rsid w:val="002B11E3"/>
    <w:rsid w:val="002B1CE3"/>
    <w:rsid w:val="002B236F"/>
    <w:rsid w:val="002B24DD"/>
    <w:rsid w:val="002B2D7A"/>
    <w:rsid w:val="002B3935"/>
    <w:rsid w:val="002B44EE"/>
    <w:rsid w:val="002B4523"/>
    <w:rsid w:val="002B5206"/>
    <w:rsid w:val="002B6B16"/>
    <w:rsid w:val="002C0802"/>
    <w:rsid w:val="002C2527"/>
    <w:rsid w:val="002C34CA"/>
    <w:rsid w:val="002C352B"/>
    <w:rsid w:val="002C383C"/>
    <w:rsid w:val="002C4AA8"/>
    <w:rsid w:val="002C5B17"/>
    <w:rsid w:val="002C73C3"/>
    <w:rsid w:val="002D0327"/>
    <w:rsid w:val="002D05BA"/>
    <w:rsid w:val="002D0BF6"/>
    <w:rsid w:val="002D1BC0"/>
    <w:rsid w:val="002D28F4"/>
    <w:rsid w:val="002D3A88"/>
    <w:rsid w:val="002D4F60"/>
    <w:rsid w:val="002D4F79"/>
    <w:rsid w:val="002D5426"/>
    <w:rsid w:val="002D6D83"/>
    <w:rsid w:val="002D6FF8"/>
    <w:rsid w:val="002D7574"/>
    <w:rsid w:val="002E0121"/>
    <w:rsid w:val="002E1611"/>
    <w:rsid w:val="002E1E8F"/>
    <w:rsid w:val="002E1FE9"/>
    <w:rsid w:val="002E58A6"/>
    <w:rsid w:val="002E59D4"/>
    <w:rsid w:val="002F0CB2"/>
    <w:rsid w:val="002F1E36"/>
    <w:rsid w:val="002F30F2"/>
    <w:rsid w:val="002F3A7F"/>
    <w:rsid w:val="002F46C6"/>
    <w:rsid w:val="002F53B1"/>
    <w:rsid w:val="002F6C1B"/>
    <w:rsid w:val="002F7D89"/>
    <w:rsid w:val="003002BA"/>
    <w:rsid w:val="00300BD2"/>
    <w:rsid w:val="003013DF"/>
    <w:rsid w:val="0030209A"/>
    <w:rsid w:val="0030264A"/>
    <w:rsid w:val="00302E92"/>
    <w:rsid w:val="0030358A"/>
    <w:rsid w:val="0030429E"/>
    <w:rsid w:val="0030496E"/>
    <w:rsid w:val="003052DB"/>
    <w:rsid w:val="00305DC5"/>
    <w:rsid w:val="0030650C"/>
    <w:rsid w:val="00307026"/>
    <w:rsid w:val="0030733B"/>
    <w:rsid w:val="00312F9A"/>
    <w:rsid w:val="00313350"/>
    <w:rsid w:val="00313BF5"/>
    <w:rsid w:val="00313ED4"/>
    <w:rsid w:val="0031574A"/>
    <w:rsid w:val="003200D5"/>
    <w:rsid w:val="003206BF"/>
    <w:rsid w:val="00321565"/>
    <w:rsid w:val="0032185B"/>
    <w:rsid w:val="00321861"/>
    <w:rsid w:val="003230D9"/>
    <w:rsid w:val="0032427C"/>
    <w:rsid w:val="00326608"/>
    <w:rsid w:val="00327C6F"/>
    <w:rsid w:val="00327D51"/>
    <w:rsid w:val="00330126"/>
    <w:rsid w:val="00331A18"/>
    <w:rsid w:val="0033224E"/>
    <w:rsid w:val="00332E54"/>
    <w:rsid w:val="003333E3"/>
    <w:rsid w:val="00334190"/>
    <w:rsid w:val="00334D7F"/>
    <w:rsid w:val="00335519"/>
    <w:rsid w:val="00335D5E"/>
    <w:rsid w:val="003366F9"/>
    <w:rsid w:val="00337B32"/>
    <w:rsid w:val="00341327"/>
    <w:rsid w:val="003413CC"/>
    <w:rsid w:val="00344527"/>
    <w:rsid w:val="0034536E"/>
    <w:rsid w:val="00345481"/>
    <w:rsid w:val="0034565E"/>
    <w:rsid w:val="00346A0F"/>
    <w:rsid w:val="00347A80"/>
    <w:rsid w:val="00350C28"/>
    <w:rsid w:val="00352FAB"/>
    <w:rsid w:val="00355437"/>
    <w:rsid w:val="00356F32"/>
    <w:rsid w:val="003579C0"/>
    <w:rsid w:val="003602E5"/>
    <w:rsid w:val="003604C8"/>
    <w:rsid w:val="003616E9"/>
    <w:rsid w:val="00361867"/>
    <w:rsid w:val="00361883"/>
    <w:rsid w:val="00361D37"/>
    <w:rsid w:val="00362360"/>
    <w:rsid w:val="0036364D"/>
    <w:rsid w:val="00367251"/>
    <w:rsid w:val="003705B6"/>
    <w:rsid w:val="003705E8"/>
    <w:rsid w:val="00371BF6"/>
    <w:rsid w:val="003742A7"/>
    <w:rsid w:val="00376DFC"/>
    <w:rsid w:val="00380A18"/>
    <w:rsid w:val="00382331"/>
    <w:rsid w:val="00384438"/>
    <w:rsid w:val="00387780"/>
    <w:rsid w:val="00387960"/>
    <w:rsid w:val="00390D68"/>
    <w:rsid w:val="003910EA"/>
    <w:rsid w:val="00392050"/>
    <w:rsid w:val="00392B1A"/>
    <w:rsid w:val="00395F72"/>
    <w:rsid w:val="00397F13"/>
    <w:rsid w:val="003A0ED5"/>
    <w:rsid w:val="003A1681"/>
    <w:rsid w:val="003A27AF"/>
    <w:rsid w:val="003A3F9C"/>
    <w:rsid w:val="003A5009"/>
    <w:rsid w:val="003A6127"/>
    <w:rsid w:val="003A619C"/>
    <w:rsid w:val="003A7FF0"/>
    <w:rsid w:val="003B0090"/>
    <w:rsid w:val="003B05F8"/>
    <w:rsid w:val="003B1477"/>
    <w:rsid w:val="003B1662"/>
    <w:rsid w:val="003B29AB"/>
    <w:rsid w:val="003B30A6"/>
    <w:rsid w:val="003B46A9"/>
    <w:rsid w:val="003B62A7"/>
    <w:rsid w:val="003B653A"/>
    <w:rsid w:val="003C0824"/>
    <w:rsid w:val="003C0B12"/>
    <w:rsid w:val="003C1183"/>
    <w:rsid w:val="003C12ED"/>
    <w:rsid w:val="003C25FA"/>
    <w:rsid w:val="003C2CB8"/>
    <w:rsid w:val="003C2EC4"/>
    <w:rsid w:val="003C3575"/>
    <w:rsid w:val="003C39D9"/>
    <w:rsid w:val="003C3E96"/>
    <w:rsid w:val="003C4B23"/>
    <w:rsid w:val="003C6572"/>
    <w:rsid w:val="003C65A3"/>
    <w:rsid w:val="003C77E9"/>
    <w:rsid w:val="003C7D7E"/>
    <w:rsid w:val="003C7E77"/>
    <w:rsid w:val="003D188E"/>
    <w:rsid w:val="003D2572"/>
    <w:rsid w:val="003D342C"/>
    <w:rsid w:val="003D3766"/>
    <w:rsid w:val="003D4125"/>
    <w:rsid w:val="003D4249"/>
    <w:rsid w:val="003D4264"/>
    <w:rsid w:val="003D61DA"/>
    <w:rsid w:val="003D6B10"/>
    <w:rsid w:val="003D6D88"/>
    <w:rsid w:val="003E296A"/>
    <w:rsid w:val="003E313A"/>
    <w:rsid w:val="003E369C"/>
    <w:rsid w:val="003E3A95"/>
    <w:rsid w:val="003E67F3"/>
    <w:rsid w:val="003E7EED"/>
    <w:rsid w:val="003F07E1"/>
    <w:rsid w:val="003F25C0"/>
    <w:rsid w:val="003F30C6"/>
    <w:rsid w:val="003F3ABA"/>
    <w:rsid w:val="003F3CCC"/>
    <w:rsid w:val="003F4485"/>
    <w:rsid w:val="003F5350"/>
    <w:rsid w:val="003F6232"/>
    <w:rsid w:val="003F65AD"/>
    <w:rsid w:val="003F6C2F"/>
    <w:rsid w:val="0040015C"/>
    <w:rsid w:val="004002B3"/>
    <w:rsid w:val="00402E8C"/>
    <w:rsid w:val="00404F84"/>
    <w:rsid w:val="00405E30"/>
    <w:rsid w:val="0040625D"/>
    <w:rsid w:val="00407ACD"/>
    <w:rsid w:val="00410DE1"/>
    <w:rsid w:val="00411786"/>
    <w:rsid w:val="00412A3E"/>
    <w:rsid w:val="004141C2"/>
    <w:rsid w:val="004142C2"/>
    <w:rsid w:val="00414ECA"/>
    <w:rsid w:val="00415D7A"/>
    <w:rsid w:val="00420206"/>
    <w:rsid w:val="0042082E"/>
    <w:rsid w:val="00421B55"/>
    <w:rsid w:val="00421CE3"/>
    <w:rsid w:val="00422D45"/>
    <w:rsid w:val="00423A61"/>
    <w:rsid w:val="00424875"/>
    <w:rsid w:val="00424941"/>
    <w:rsid w:val="0042522F"/>
    <w:rsid w:val="004264CE"/>
    <w:rsid w:val="00430704"/>
    <w:rsid w:val="00430BF2"/>
    <w:rsid w:val="00431006"/>
    <w:rsid w:val="00431130"/>
    <w:rsid w:val="00432150"/>
    <w:rsid w:val="00432275"/>
    <w:rsid w:val="004334B3"/>
    <w:rsid w:val="004335CF"/>
    <w:rsid w:val="00433869"/>
    <w:rsid w:val="00434176"/>
    <w:rsid w:val="00436C21"/>
    <w:rsid w:val="004376F1"/>
    <w:rsid w:val="00437D2D"/>
    <w:rsid w:val="00440920"/>
    <w:rsid w:val="0044102F"/>
    <w:rsid w:val="0044222A"/>
    <w:rsid w:val="00442310"/>
    <w:rsid w:val="00442DCA"/>
    <w:rsid w:val="00443049"/>
    <w:rsid w:val="00444D1A"/>
    <w:rsid w:val="00447052"/>
    <w:rsid w:val="00447B3C"/>
    <w:rsid w:val="00447D74"/>
    <w:rsid w:val="004506FE"/>
    <w:rsid w:val="004515E5"/>
    <w:rsid w:val="00453242"/>
    <w:rsid w:val="00453636"/>
    <w:rsid w:val="00455B69"/>
    <w:rsid w:val="004560E8"/>
    <w:rsid w:val="004564E0"/>
    <w:rsid w:val="004609EB"/>
    <w:rsid w:val="0046137F"/>
    <w:rsid w:val="00464448"/>
    <w:rsid w:val="00465233"/>
    <w:rsid w:val="00465C5D"/>
    <w:rsid w:val="004676DD"/>
    <w:rsid w:val="00467829"/>
    <w:rsid w:val="00470386"/>
    <w:rsid w:val="00471F12"/>
    <w:rsid w:val="004723B3"/>
    <w:rsid w:val="004729B0"/>
    <w:rsid w:val="00472A13"/>
    <w:rsid w:val="004732B8"/>
    <w:rsid w:val="0047346C"/>
    <w:rsid w:val="00474081"/>
    <w:rsid w:val="0047646B"/>
    <w:rsid w:val="00477026"/>
    <w:rsid w:val="00477138"/>
    <w:rsid w:val="004774DD"/>
    <w:rsid w:val="004778DA"/>
    <w:rsid w:val="00477C48"/>
    <w:rsid w:val="00481A50"/>
    <w:rsid w:val="00482759"/>
    <w:rsid w:val="00482A5E"/>
    <w:rsid w:val="004835D8"/>
    <w:rsid w:val="00483CCB"/>
    <w:rsid w:val="00484A3D"/>
    <w:rsid w:val="00491E2B"/>
    <w:rsid w:val="004928C0"/>
    <w:rsid w:val="004929CE"/>
    <w:rsid w:val="0049380C"/>
    <w:rsid w:val="00493EE4"/>
    <w:rsid w:val="00494ED0"/>
    <w:rsid w:val="00495ECB"/>
    <w:rsid w:val="004960B0"/>
    <w:rsid w:val="004975DD"/>
    <w:rsid w:val="004A131B"/>
    <w:rsid w:val="004A138B"/>
    <w:rsid w:val="004A14FB"/>
    <w:rsid w:val="004A1F50"/>
    <w:rsid w:val="004A3D63"/>
    <w:rsid w:val="004A5ADA"/>
    <w:rsid w:val="004A5EE7"/>
    <w:rsid w:val="004A6D99"/>
    <w:rsid w:val="004A7498"/>
    <w:rsid w:val="004A7943"/>
    <w:rsid w:val="004A7F3D"/>
    <w:rsid w:val="004B00E5"/>
    <w:rsid w:val="004B0390"/>
    <w:rsid w:val="004B0D2D"/>
    <w:rsid w:val="004B0ECB"/>
    <w:rsid w:val="004B3B5B"/>
    <w:rsid w:val="004B432E"/>
    <w:rsid w:val="004B4825"/>
    <w:rsid w:val="004B63F5"/>
    <w:rsid w:val="004B723C"/>
    <w:rsid w:val="004C0DA2"/>
    <w:rsid w:val="004C14C4"/>
    <w:rsid w:val="004C1AAF"/>
    <w:rsid w:val="004C23A2"/>
    <w:rsid w:val="004C28FD"/>
    <w:rsid w:val="004C4BA1"/>
    <w:rsid w:val="004C4EAE"/>
    <w:rsid w:val="004C6AC3"/>
    <w:rsid w:val="004C6E44"/>
    <w:rsid w:val="004C7443"/>
    <w:rsid w:val="004D0E1B"/>
    <w:rsid w:val="004D1392"/>
    <w:rsid w:val="004D160A"/>
    <w:rsid w:val="004D1BD7"/>
    <w:rsid w:val="004D1DD7"/>
    <w:rsid w:val="004D252A"/>
    <w:rsid w:val="004D48D0"/>
    <w:rsid w:val="004D4DE8"/>
    <w:rsid w:val="004D702B"/>
    <w:rsid w:val="004D72D9"/>
    <w:rsid w:val="004E05E8"/>
    <w:rsid w:val="004E0886"/>
    <w:rsid w:val="004E2FD4"/>
    <w:rsid w:val="004E4A25"/>
    <w:rsid w:val="004F07EA"/>
    <w:rsid w:val="004F0E3A"/>
    <w:rsid w:val="004F12CF"/>
    <w:rsid w:val="004F23AC"/>
    <w:rsid w:val="004F27F6"/>
    <w:rsid w:val="004F2942"/>
    <w:rsid w:val="004F29C3"/>
    <w:rsid w:val="004F392F"/>
    <w:rsid w:val="004F433D"/>
    <w:rsid w:val="004F4BB0"/>
    <w:rsid w:val="004F54FE"/>
    <w:rsid w:val="004F6840"/>
    <w:rsid w:val="004F7211"/>
    <w:rsid w:val="004F7CF9"/>
    <w:rsid w:val="004F7D99"/>
    <w:rsid w:val="00501417"/>
    <w:rsid w:val="00503CFE"/>
    <w:rsid w:val="00505AB7"/>
    <w:rsid w:val="00506A12"/>
    <w:rsid w:val="00506D1D"/>
    <w:rsid w:val="00510416"/>
    <w:rsid w:val="00510422"/>
    <w:rsid w:val="00510678"/>
    <w:rsid w:val="00510C8B"/>
    <w:rsid w:val="00511588"/>
    <w:rsid w:val="0051337D"/>
    <w:rsid w:val="00516766"/>
    <w:rsid w:val="005179F2"/>
    <w:rsid w:val="00521702"/>
    <w:rsid w:val="0052170A"/>
    <w:rsid w:val="00521C8E"/>
    <w:rsid w:val="00522348"/>
    <w:rsid w:val="0052244B"/>
    <w:rsid w:val="00522BFE"/>
    <w:rsid w:val="00522E54"/>
    <w:rsid w:val="0052399F"/>
    <w:rsid w:val="00523F2F"/>
    <w:rsid w:val="00524FEF"/>
    <w:rsid w:val="0052509C"/>
    <w:rsid w:val="00525DBE"/>
    <w:rsid w:val="00527B2A"/>
    <w:rsid w:val="00527CD2"/>
    <w:rsid w:val="00531CCE"/>
    <w:rsid w:val="00531F63"/>
    <w:rsid w:val="00532006"/>
    <w:rsid w:val="005341C4"/>
    <w:rsid w:val="005379B7"/>
    <w:rsid w:val="00541B7E"/>
    <w:rsid w:val="00542E7D"/>
    <w:rsid w:val="005446CD"/>
    <w:rsid w:val="00544BBE"/>
    <w:rsid w:val="00547119"/>
    <w:rsid w:val="005522F8"/>
    <w:rsid w:val="00552DEE"/>
    <w:rsid w:val="00554662"/>
    <w:rsid w:val="0055597E"/>
    <w:rsid w:val="0055623D"/>
    <w:rsid w:val="00556669"/>
    <w:rsid w:val="005569C0"/>
    <w:rsid w:val="00556EDE"/>
    <w:rsid w:val="0056024E"/>
    <w:rsid w:val="005602A3"/>
    <w:rsid w:val="00562A3A"/>
    <w:rsid w:val="005640F2"/>
    <w:rsid w:val="00564FC5"/>
    <w:rsid w:val="00565908"/>
    <w:rsid w:val="0056717D"/>
    <w:rsid w:val="00567583"/>
    <w:rsid w:val="005677C6"/>
    <w:rsid w:val="00571107"/>
    <w:rsid w:val="005711B7"/>
    <w:rsid w:val="00573C8A"/>
    <w:rsid w:val="00573F60"/>
    <w:rsid w:val="005746B1"/>
    <w:rsid w:val="00574996"/>
    <w:rsid w:val="00574F5A"/>
    <w:rsid w:val="00574F81"/>
    <w:rsid w:val="005751B9"/>
    <w:rsid w:val="00575244"/>
    <w:rsid w:val="005753CD"/>
    <w:rsid w:val="00575D1A"/>
    <w:rsid w:val="00576327"/>
    <w:rsid w:val="00576AE1"/>
    <w:rsid w:val="00576BFE"/>
    <w:rsid w:val="005774BB"/>
    <w:rsid w:val="005804CE"/>
    <w:rsid w:val="00580528"/>
    <w:rsid w:val="00581EFB"/>
    <w:rsid w:val="00582F6A"/>
    <w:rsid w:val="0058479D"/>
    <w:rsid w:val="00586808"/>
    <w:rsid w:val="005871D6"/>
    <w:rsid w:val="0058729B"/>
    <w:rsid w:val="00590C3F"/>
    <w:rsid w:val="005911F1"/>
    <w:rsid w:val="00591754"/>
    <w:rsid w:val="00592F77"/>
    <w:rsid w:val="0059467F"/>
    <w:rsid w:val="00595037"/>
    <w:rsid w:val="00596304"/>
    <w:rsid w:val="0059663D"/>
    <w:rsid w:val="00596D7A"/>
    <w:rsid w:val="005A06ED"/>
    <w:rsid w:val="005A07CC"/>
    <w:rsid w:val="005A213B"/>
    <w:rsid w:val="005A2A77"/>
    <w:rsid w:val="005A2E46"/>
    <w:rsid w:val="005A3641"/>
    <w:rsid w:val="005A3CE0"/>
    <w:rsid w:val="005A6905"/>
    <w:rsid w:val="005A7427"/>
    <w:rsid w:val="005A7D0B"/>
    <w:rsid w:val="005B20A8"/>
    <w:rsid w:val="005B2135"/>
    <w:rsid w:val="005B38F6"/>
    <w:rsid w:val="005B4ECD"/>
    <w:rsid w:val="005B576C"/>
    <w:rsid w:val="005B6958"/>
    <w:rsid w:val="005B764D"/>
    <w:rsid w:val="005C0329"/>
    <w:rsid w:val="005C162D"/>
    <w:rsid w:val="005C41B9"/>
    <w:rsid w:val="005C498F"/>
    <w:rsid w:val="005D027B"/>
    <w:rsid w:val="005D05EB"/>
    <w:rsid w:val="005D0C55"/>
    <w:rsid w:val="005D38E8"/>
    <w:rsid w:val="005D55BE"/>
    <w:rsid w:val="005E1694"/>
    <w:rsid w:val="005E20F8"/>
    <w:rsid w:val="005E2E88"/>
    <w:rsid w:val="005E3307"/>
    <w:rsid w:val="005E3916"/>
    <w:rsid w:val="005E3A2E"/>
    <w:rsid w:val="005E3DA7"/>
    <w:rsid w:val="005E4699"/>
    <w:rsid w:val="005E52B0"/>
    <w:rsid w:val="005E6508"/>
    <w:rsid w:val="005F19D3"/>
    <w:rsid w:val="005F2799"/>
    <w:rsid w:val="005F4BE4"/>
    <w:rsid w:val="005F5462"/>
    <w:rsid w:val="005F63AB"/>
    <w:rsid w:val="005F6469"/>
    <w:rsid w:val="005F654A"/>
    <w:rsid w:val="005F6D71"/>
    <w:rsid w:val="005F7AFC"/>
    <w:rsid w:val="00600371"/>
    <w:rsid w:val="006015D0"/>
    <w:rsid w:val="006036E1"/>
    <w:rsid w:val="00604BBD"/>
    <w:rsid w:val="006073A0"/>
    <w:rsid w:val="00607CF4"/>
    <w:rsid w:val="0061016D"/>
    <w:rsid w:val="0061077A"/>
    <w:rsid w:val="00610A69"/>
    <w:rsid w:val="00614750"/>
    <w:rsid w:val="00617D55"/>
    <w:rsid w:val="00621A44"/>
    <w:rsid w:val="0062266F"/>
    <w:rsid w:val="00622EFA"/>
    <w:rsid w:val="00623E46"/>
    <w:rsid w:val="0062424F"/>
    <w:rsid w:val="006243A1"/>
    <w:rsid w:val="0062473A"/>
    <w:rsid w:val="00624BD6"/>
    <w:rsid w:val="0062662D"/>
    <w:rsid w:val="00627A94"/>
    <w:rsid w:val="00630148"/>
    <w:rsid w:val="00630755"/>
    <w:rsid w:val="00633706"/>
    <w:rsid w:val="006340ED"/>
    <w:rsid w:val="00634C49"/>
    <w:rsid w:val="0063511E"/>
    <w:rsid w:val="00636666"/>
    <w:rsid w:val="00641733"/>
    <w:rsid w:val="0064419D"/>
    <w:rsid w:val="00644EB3"/>
    <w:rsid w:val="0064569C"/>
    <w:rsid w:val="00645938"/>
    <w:rsid w:val="00645D5A"/>
    <w:rsid w:val="00645EC5"/>
    <w:rsid w:val="0064759E"/>
    <w:rsid w:val="0065044D"/>
    <w:rsid w:val="00650D30"/>
    <w:rsid w:val="00652B88"/>
    <w:rsid w:val="0065380E"/>
    <w:rsid w:val="006555D7"/>
    <w:rsid w:val="006569CC"/>
    <w:rsid w:val="00656EFF"/>
    <w:rsid w:val="00657349"/>
    <w:rsid w:val="00657E36"/>
    <w:rsid w:val="006613CD"/>
    <w:rsid w:val="00664027"/>
    <w:rsid w:val="00664DDA"/>
    <w:rsid w:val="0066524A"/>
    <w:rsid w:val="006655AE"/>
    <w:rsid w:val="00666251"/>
    <w:rsid w:val="00667D7F"/>
    <w:rsid w:val="0067027E"/>
    <w:rsid w:val="0067165D"/>
    <w:rsid w:val="00674071"/>
    <w:rsid w:val="00676BA5"/>
    <w:rsid w:val="00677058"/>
    <w:rsid w:val="006770E6"/>
    <w:rsid w:val="006771C5"/>
    <w:rsid w:val="00677BF6"/>
    <w:rsid w:val="00680014"/>
    <w:rsid w:val="00681033"/>
    <w:rsid w:val="00681AEE"/>
    <w:rsid w:val="006827A2"/>
    <w:rsid w:val="00685BE4"/>
    <w:rsid w:val="00685D1A"/>
    <w:rsid w:val="00686BE5"/>
    <w:rsid w:val="00687990"/>
    <w:rsid w:val="00694181"/>
    <w:rsid w:val="006941BD"/>
    <w:rsid w:val="00694A58"/>
    <w:rsid w:val="00694DA5"/>
    <w:rsid w:val="0069521A"/>
    <w:rsid w:val="00696119"/>
    <w:rsid w:val="00696124"/>
    <w:rsid w:val="006962D9"/>
    <w:rsid w:val="00696749"/>
    <w:rsid w:val="00697046"/>
    <w:rsid w:val="00697350"/>
    <w:rsid w:val="00697B20"/>
    <w:rsid w:val="006A1EF1"/>
    <w:rsid w:val="006A2753"/>
    <w:rsid w:val="006A40FD"/>
    <w:rsid w:val="006B0D2C"/>
    <w:rsid w:val="006B103F"/>
    <w:rsid w:val="006B3B01"/>
    <w:rsid w:val="006B63A2"/>
    <w:rsid w:val="006B7288"/>
    <w:rsid w:val="006B7513"/>
    <w:rsid w:val="006B7642"/>
    <w:rsid w:val="006C110B"/>
    <w:rsid w:val="006C1543"/>
    <w:rsid w:val="006C15A4"/>
    <w:rsid w:val="006C1868"/>
    <w:rsid w:val="006C34BF"/>
    <w:rsid w:val="006C3922"/>
    <w:rsid w:val="006C5092"/>
    <w:rsid w:val="006C7DBE"/>
    <w:rsid w:val="006D2A67"/>
    <w:rsid w:val="006D47DE"/>
    <w:rsid w:val="006D6462"/>
    <w:rsid w:val="006D7E27"/>
    <w:rsid w:val="006D7FE3"/>
    <w:rsid w:val="006E0E10"/>
    <w:rsid w:val="006E1C5A"/>
    <w:rsid w:val="006E1DE6"/>
    <w:rsid w:val="006E235F"/>
    <w:rsid w:val="006E2EBF"/>
    <w:rsid w:val="006E5237"/>
    <w:rsid w:val="006E63B3"/>
    <w:rsid w:val="006E7F52"/>
    <w:rsid w:val="006F0A9D"/>
    <w:rsid w:val="006F0F56"/>
    <w:rsid w:val="006F13F8"/>
    <w:rsid w:val="006F2865"/>
    <w:rsid w:val="006F2F50"/>
    <w:rsid w:val="006F3202"/>
    <w:rsid w:val="006F6463"/>
    <w:rsid w:val="00700CE7"/>
    <w:rsid w:val="00702C93"/>
    <w:rsid w:val="007042ED"/>
    <w:rsid w:val="00707498"/>
    <w:rsid w:val="0071011E"/>
    <w:rsid w:val="007101C9"/>
    <w:rsid w:val="00710F8B"/>
    <w:rsid w:val="00710FFB"/>
    <w:rsid w:val="00712336"/>
    <w:rsid w:val="0071368D"/>
    <w:rsid w:val="00713E18"/>
    <w:rsid w:val="00717399"/>
    <w:rsid w:val="00717795"/>
    <w:rsid w:val="0072049D"/>
    <w:rsid w:val="00720EA9"/>
    <w:rsid w:val="0072169B"/>
    <w:rsid w:val="007221F6"/>
    <w:rsid w:val="007223AA"/>
    <w:rsid w:val="00723500"/>
    <w:rsid w:val="00724349"/>
    <w:rsid w:val="007257F3"/>
    <w:rsid w:val="00726633"/>
    <w:rsid w:val="007272C4"/>
    <w:rsid w:val="0073018C"/>
    <w:rsid w:val="00732ACF"/>
    <w:rsid w:val="00732EA4"/>
    <w:rsid w:val="00732FD1"/>
    <w:rsid w:val="0073544C"/>
    <w:rsid w:val="00736441"/>
    <w:rsid w:val="00736C78"/>
    <w:rsid w:val="0073724D"/>
    <w:rsid w:val="0073732B"/>
    <w:rsid w:val="00737B85"/>
    <w:rsid w:val="00741EFC"/>
    <w:rsid w:val="00744187"/>
    <w:rsid w:val="00744678"/>
    <w:rsid w:val="00744C9B"/>
    <w:rsid w:val="00746D75"/>
    <w:rsid w:val="00747B2E"/>
    <w:rsid w:val="007529B3"/>
    <w:rsid w:val="007537FB"/>
    <w:rsid w:val="00753FC6"/>
    <w:rsid w:val="00755B4E"/>
    <w:rsid w:val="00755FA0"/>
    <w:rsid w:val="007563E1"/>
    <w:rsid w:val="00756989"/>
    <w:rsid w:val="00756AA0"/>
    <w:rsid w:val="00756B0E"/>
    <w:rsid w:val="00756D7D"/>
    <w:rsid w:val="00757920"/>
    <w:rsid w:val="00757EEE"/>
    <w:rsid w:val="007609F6"/>
    <w:rsid w:val="007634A3"/>
    <w:rsid w:val="0076361A"/>
    <w:rsid w:val="00765450"/>
    <w:rsid w:val="00767D16"/>
    <w:rsid w:val="00767E7C"/>
    <w:rsid w:val="007702B4"/>
    <w:rsid w:val="00770A43"/>
    <w:rsid w:val="00772191"/>
    <w:rsid w:val="00774AC2"/>
    <w:rsid w:val="00777576"/>
    <w:rsid w:val="00777659"/>
    <w:rsid w:val="00780291"/>
    <w:rsid w:val="00781337"/>
    <w:rsid w:val="0078352B"/>
    <w:rsid w:val="007838DD"/>
    <w:rsid w:val="00783DE4"/>
    <w:rsid w:val="00783EEE"/>
    <w:rsid w:val="00783F35"/>
    <w:rsid w:val="00784B69"/>
    <w:rsid w:val="00784CB7"/>
    <w:rsid w:val="00784DAE"/>
    <w:rsid w:val="00786D11"/>
    <w:rsid w:val="00790B0E"/>
    <w:rsid w:val="00790F49"/>
    <w:rsid w:val="00791FF3"/>
    <w:rsid w:val="00792EE3"/>
    <w:rsid w:val="007938DC"/>
    <w:rsid w:val="0079391A"/>
    <w:rsid w:val="00793F85"/>
    <w:rsid w:val="0079487B"/>
    <w:rsid w:val="00795544"/>
    <w:rsid w:val="007A146E"/>
    <w:rsid w:val="007A14A2"/>
    <w:rsid w:val="007A617B"/>
    <w:rsid w:val="007A6433"/>
    <w:rsid w:val="007B04A6"/>
    <w:rsid w:val="007B1A56"/>
    <w:rsid w:val="007B1F8A"/>
    <w:rsid w:val="007B2D28"/>
    <w:rsid w:val="007B5A01"/>
    <w:rsid w:val="007B6669"/>
    <w:rsid w:val="007C1663"/>
    <w:rsid w:val="007C184B"/>
    <w:rsid w:val="007C26FC"/>
    <w:rsid w:val="007C2AF3"/>
    <w:rsid w:val="007C5507"/>
    <w:rsid w:val="007C6D86"/>
    <w:rsid w:val="007C6E26"/>
    <w:rsid w:val="007C7B97"/>
    <w:rsid w:val="007D38E1"/>
    <w:rsid w:val="007D40D3"/>
    <w:rsid w:val="007D7FB2"/>
    <w:rsid w:val="007E0E8A"/>
    <w:rsid w:val="007E52E5"/>
    <w:rsid w:val="007E52FD"/>
    <w:rsid w:val="007E74C7"/>
    <w:rsid w:val="007F0172"/>
    <w:rsid w:val="007F06F1"/>
    <w:rsid w:val="007F24C2"/>
    <w:rsid w:val="007F3A90"/>
    <w:rsid w:val="007F674D"/>
    <w:rsid w:val="007F7764"/>
    <w:rsid w:val="007F7E98"/>
    <w:rsid w:val="0080014C"/>
    <w:rsid w:val="00801173"/>
    <w:rsid w:val="00801DBF"/>
    <w:rsid w:val="008021B5"/>
    <w:rsid w:val="00802AA8"/>
    <w:rsid w:val="00802CE0"/>
    <w:rsid w:val="008049BF"/>
    <w:rsid w:val="00804C3B"/>
    <w:rsid w:val="0080537E"/>
    <w:rsid w:val="00806DFF"/>
    <w:rsid w:val="0080741F"/>
    <w:rsid w:val="00807811"/>
    <w:rsid w:val="00807B6C"/>
    <w:rsid w:val="008101E5"/>
    <w:rsid w:val="00810479"/>
    <w:rsid w:val="00810D99"/>
    <w:rsid w:val="00810DFA"/>
    <w:rsid w:val="008110E3"/>
    <w:rsid w:val="0081132B"/>
    <w:rsid w:val="00812A08"/>
    <w:rsid w:val="008138B4"/>
    <w:rsid w:val="008141A5"/>
    <w:rsid w:val="008147F1"/>
    <w:rsid w:val="008154A0"/>
    <w:rsid w:val="00816559"/>
    <w:rsid w:val="0081757F"/>
    <w:rsid w:val="00817C6A"/>
    <w:rsid w:val="008225DC"/>
    <w:rsid w:val="00822C66"/>
    <w:rsid w:val="00822EE4"/>
    <w:rsid w:val="00822F73"/>
    <w:rsid w:val="008230E4"/>
    <w:rsid w:val="00823475"/>
    <w:rsid w:val="00825A93"/>
    <w:rsid w:val="0082740F"/>
    <w:rsid w:val="00827480"/>
    <w:rsid w:val="00830F77"/>
    <w:rsid w:val="00831AC6"/>
    <w:rsid w:val="00832599"/>
    <w:rsid w:val="008327AA"/>
    <w:rsid w:val="0083335A"/>
    <w:rsid w:val="0083453B"/>
    <w:rsid w:val="008354B4"/>
    <w:rsid w:val="008362CE"/>
    <w:rsid w:val="0083700E"/>
    <w:rsid w:val="00840A68"/>
    <w:rsid w:val="00840A9D"/>
    <w:rsid w:val="00841604"/>
    <w:rsid w:val="0084737F"/>
    <w:rsid w:val="00847AAA"/>
    <w:rsid w:val="00850E65"/>
    <w:rsid w:val="00851FA8"/>
    <w:rsid w:val="0085267C"/>
    <w:rsid w:val="008530DC"/>
    <w:rsid w:val="00853755"/>
    <w:rsid w:val="00853EC1"/>
    <w:rsid w:val="00854159"/>
    <w:rsid w:val="00855008"/>
    <w:rsid w:val="00855BA6"/>
    <w:rsid w:val="00856440"/>
    <w:rsid w:val="00856F3B"/>
    <w:rsid w:val="00860A4E"/>
    <w:rsid w:val="008611C6"/>
    <w:rsid w:val="008612CC"/>
    <w:rsid w:val="008649C8"/>
    <w:rsid w:val="0086684B"/>
    <w:rsid w:val="0087012C"/>
    <w:rsid w:val="00870FE2"/>
    <w:rsid w:val="00871A1D"/>
    <w:rsid w:val="00872DFA"/>
    <w:rsid w:val="00874481"/>
    <w:rsid w:val="00874E40"/>
    <w:rsid w:val="008753B2"/>
    <w:rsid w:val="00875D67"/>
    <w:rsid w:val="008765F9"/>
    <w:rsid w:val="008809A2"/>
    <w:rsid w:val="00881A07"/>
    <w:rsid w:val="00884D59"/>
    <w:rsid w:val="00885309"/>
    <w:rsid w:val="008861D0"/>
    <w:rsid w:val="0089061A"/>
    <w:rsid w:val="00892C6A"/>
    <w:rsid w:val="00893533"/>
    <w:rsid w:val="008939C0"/>
    <w:rsid w:val="00894ED8"/>
    <w:rsid w:val="00894F73"/>
    <w:rsid w:val="00895135"/>
    <w:rsid w:val="00896343"/>
    <w:rsid w:val="00896A41"/>
    <w:rsid w:val="00897858"/>
    <w:rsid w:val="008979D4"/>
    <w:rsid w:val="008A18BC"/>
    <w:rsid w:val="008A23B3"/>
    <w:rsid w:val="008A290D"/>
    <w:rsid w:val="008A2C14"/>
    <w:rsid w:val="008A30A9"/>
    <w:rsid w:val="008A50BE"/>
    <w:rsid w:val="008A74A6"/>
    <w:rsid w:val="008A7C76"/>
    <w:rsid w:val="008B05C1"/>
    <w:rsid w:val="008B0F5D"/>
    <w:rsid w:val="008B1EEB"/>
    <w:rsid w:val="008B22FE"/>
    <w:rsid w:val="008B281E"/>
    <w:rsid w:val="008B41DA"/>
    <w:rsid w:val="008B71CF"/>
    <w:rsid w:val="008B73A9"/>
    <w:rsid w:val="008B7B4E"/>
    <w:rsid w:val="008B7CE6"/>
    <w:rsid w:val="008C3B85"/>
    <w:rsid w:val="008C4302"/>
    <w:rsid w:val="008C4636"/>
    <w:rsid w:val="008C5F90"/>
    <w:rsid w:val="008C6062"/>
    <w:rsid w:val="008C7CDF"/>
    <w:rsid w:val="008D10CD"/>
    <w:rsid w:val="008D1E9F"/>
    <w:rsid w:val="008D27E2"/>
    <w:rsid w:val="008D2886"/>
    <w:rsid w:val="008D4244"/>
    <w:rsid w:val="008D4447"/>
    <w:rsid w:val="008D4DC6"/>
    <w:rsid w:val="008D6AEA"/>
    <w:rsid w:val="008D78E6"/>
    <w:rsid w:val="008E1262"/>
    <w:rsid w:val="008E1E8A"/>
    <w:rsid w:val="008E4165"/>
    <w:rsid w:val="008E464F"/>
    <w:rsid w:val="008E6020"/>
    <w:rsid w:val="008E6995"/>
    <w:rsid w:val="008E7657"/>
    <w:rsid w:val="008F055C"/>
    <w:rsid w:val="008F22C3"/>
    <w:rsid w:val="008F38B4"/>
    <w:rsid w:val="008F43CE"/>
    <w:rsid w:val="008F536B"/>
    <w:rsid w:val="008F53AD"/>
    <w:rsid w:val="008F551E"/>
    <w:rsid w:val="008F6D1F"/>
    <w:rsid w:val="008F75FE"/>
    <w:rsid w:val="00900C5E"/>
    <w:rsid w:val="00901006"/>
    <w:rsid w:val="00903269"/>
    <w:rsid w:val="009033D2"/>
    <w:rsid w:val="00903E62"/>
    <w:rsid w:val="00904280"/>
    <w:rsid w:val="00904C97"/>
    <w:rsid w:val="00906FB1"/>
    <w:rsid w:val="00911CDF"/>
    <w:rsid w:val="00911DEC"/>
    <w:rsid w:val="00912715"/>
    <w:rsid w:val="00912944"/>
    <w:rsid w:val="00914464"/>
    <w:rsid w:val="009151D5"/>
    <w:rsid w:val="00915A03"/>
    <w:rsid w:val="00917DA7"/>
    <w:rsid w:val="00920525"/>
    <w:rsid w:val="00920952"/>
    <w:rsid w:val="00921081"/>
    <w:rsid w:val="0092311F"/>
    <w:rsid w:val="0092565F"/>
    <w:rsid w:val="009269CD"/>
    <w:rsid w:val="00927244"/>
    <w:rsid w:val="00927A58"/>
    <w:rsid w:val="00930A9E"/>
    <w:rsid w:val="009315A6"/>
    <w:rsid w:val="00931646"/>
    <w:rsid w:val="009322EF"/>
    <w:rsid w:val="00933DDD"/>
    <w:rsid w:val="009347B5"/>
    <w:rsid w:val="00934EDA"/>
    <w:rsid w:val="00934FAA"/>
    <w:rsid w:val="009352E7"/>
    <w:rsid w:val="00941E65"/>
    <w:rsid w:val="009426A6"/>
    <w:rsid w:val="0094274E"/>
    <w:rsid w:val="00942A00"/>
    <w:rsid w:val="00943512"/>
    <w:rsid w:val="00943CED"/>
    <w:rsid w:val="009440D2"/>
    <w:rsid w:val="009441D2"/>
    <w:rsid w:val="00944922"/>
    <w:rsid w:val="009460EB"/>
    <w:rsid w:val="00946612"/>
    <w:rsid w:val="0094669D"/>
    <w:rsid w:val="00947B0C"/>
    <w:rsid w:val="0094C503"/>
    <w:rsid w:val="0095145E"/>
    <w:rsid w:val="0095147F"/>
    <w:rsid w:val="00951A49"/>
    <w:rsid w:val="00951CC4"/>
    <w:rsid w:val="00952D03"/>
    <w:rsid w:val="00953397"/>
    <w:rsid w:val="009535C1"/>
    <w:rsid w:val="00954C03"/>
    <w:rsid w:val="00955460"/>
    <w:rsid w:val="009576C5"/>
    <w:rsid w:val="00962621"/>
    <w:rsid w:val="00963B53"/>
    <w:rsid w:val="009649E5"/>
    <w:rsid w:val="00966DB6"/>
    <w:rsid w:val="009670C1"/>
    <w:rsid w:val="00967284"/>
    <w:rsid w:val="0096764E"/>
    <w:rsid w:val="009676B0"/>
    <w:rsid w:val="009702CD"/>
    <w:rsid w:val="00972003"/>
    <w:rsid w:val="00972338"/>
    <w:rsid w:val="00973374"/>
    <w:rsid w:val="00973713"/>
    <w:rsid w:val="00975DF9"/>
    <w:rsid w:val="009801CF"/>
    <w:rsid w:val="0098024C"/>
    <w:rsid w:val="00980B51"/>
    <w:rsid w:val="00980EF9"/>
    <w:rsid w:val="00981595"/>
    <w:rsid w:val="00981856"/>
    <w:rsid w:val="00982716"/>
    <w:rsid w:val="00984B91"/>
    <w:rsid w:val="0098560D"/>
    <w:rsid w:val="009872FC"/>
    <w:rsid w:val="00990270"/>
    <w:rsid w:val="00992655"/>
    <w:rsid w:val="009929FE"/>
    <w:rsid w:val="009942A7"/>
    <w:rsid w:val="00994F5D"/>
    <w:rsid w:val="009964AB"/>
    <w:rsid w:val="00996F63"/>
    <w:rsid w:val="009A0353"/>
    <w:rsid w:val="009A0D57"/>
    <w:rsid w:val="009A0F11"/>
    <w:rsid w:val="009A3052"/>
    <w:rsid w:val="009A3141"/>
    <w:rsid w:val="009A5021"/>
    <w:rsid w:val="009A64C8"/>
    <w:rsid w:val="009A6DE2"/>
    <w:rsid w:val="009A79F5"/>
    <w:rsid w:val="009B15A7"/>
    <w:rsid w:val="009B1AC0"/>
    <w:rsid w:val="009B2821"/>
    <w:rsid w:val="009B4384"/>
    <w:rsid w:val="009B44A1"/>
    <w:rsid w:val="009B5240"/>
    <w:rsid w:val="009B6318"/>
    <w:rsid w:val="009B6668"/>
    <w:rsid w:val="009B6DE7"/>
    <w:rsid w:val="009C2A6C"/>
    <w:rsid w:val="009C43B0"/>
    <w:rsid w:val="009C516C"/>
    <w:rsid w:val="009C79C9"/>
    <w:rsid w:val="009D0AE0"/>
    <w:rsid w:val="009D2B61"/>
    <w:rsid w:val="009D3C07"/>
    <w:rsid w:val="009D40E5"/>
    <w:rsid w:val="009D483F"/>
    <w:rsid w:val="009D5C40"/>
    <w:rsid w:val="009D5E75"/>
    <w:rsid w:val="009D5F51"/>
    <w:rsid w:val="009D65D7"/>
    <w:rsid w:val="009D6756"/>
    <w:rsid w:val="009E07C4"/>
    <w:rsid w:val="009E0909"/>
    <w:rsid w:val="009F0FD4"/>
    <w:rsid w:val="009F20B4"/>
    <w:rsid w:val="009F4538"/>
    <w:rsid w:val="009F4DFE"/>
    <w:rsid w:val="009F6406"/>
    <w:rsid w:val="009F6B83"/>
    <w:rsid w:val="009F7856"/>
    <w:rsid w:val="009F7F77"/>
    <w:rsid w:val="00A01287"/>
    <w:rsid w:val="00A015DF"/>
    <w:rsid w:val="00A0339E"/>
    <w:rsid w:val="00A03C49"/>
    <w:rsid w:val="00A03E9E"/>
    <w:rsid w:val="00A051B7"/>
    <w:rsid w:val="00A052BE"/>
    <w:rsid w:val="00A054AE"/>
    <w:rsid w:val="00A05E48"/>
    <w:rsid w:val="00A060CB"/>
    <w:rsid w:val="00A068FF"/>
    <w:rsid w:val="00A06FE2"/>
    <w:rsid w:val="00A10E32"/>
    <w:rsid w:val="00A1187A"/>
    <w:rsid w:val="00A1202F"/>
    <w:rsid w:val="00A12E57"/>
    <w:rsid w:val="00A147A2"/>
    <w:rsid w:val="00A1480F"/>
    <w:rsid w:val="00A14C10"/>
    <w:rsid w:val="00A15668"/>
    <w:rsid w:val="00A15AE9"/>
    <w:rsid w:val="00A1604F"/>
    <w:rsid w:val="00A172F0"/>
    <w:rsid w:val="00A20696"/>
    <w:rsid w:val="00A20BC6"/>
    <w:rsid w:val="00A2319D"/>
    <w:rsid w:val="00A23CFB"/>
    <w:rsid w:val="00A254D0"/>
    <w:rsid w:val="00A25A29"/>
    <w:rsid w:val="00A26B2D"/>
    <w:rsid w:val="00A30ACC"/>
    <w:rsid w:val="00A30FDC"/>
    <w:rsid w:val="00A31794"/>
    <w:rsid w:val="00A322B6"/>
    <w:rsid w:val="00A32C01"/>
    <w:rsid w:val="00A35FCB"/>
    <w:rsid w:val="00A42282"/>
    <w:rsid w:val="00A434AB"/>
    <w:rsid w:val="00A44165"/>
    <w:rsid w:val="00A44A15"/>
    <w:rsid w:val="00A44B68"/>
    <w:rsid w:val="00A45B7F"/>
    <w:rsid w:val="00A46144"/>
    <w:rsid w:val="00A51AB6"/>
    <w:rsid w:val="00A535C8"/>
    <w:rsid w:val="00A5389B"/>
    <w:rsid w:val="00A53BA7"/>
    <w:rsid w:val="00A54B80"/>
    <w:rsid w:val="00A55446"/>
    <w:rsid w:val="00A60192"/>
    <w:rsid w:val="00A60C3F"/>
    <w:rsid w:val="00A64004"/>
    <w:rsid w:val="00A647A1"/>
    <w:rsid w:val="00A64F34"/>
    <w:rsid w:val="00A65870"/>
    <w:rsid w:val="00A65C2E"/>
    <w:rsid w:val="00A65FED"/>
    <w:rsid w:val="00A663CD"/>
    <w:rsid w:val="00A67855"/>
    <w:rsid w:val="00A710BC"/>
    <w:rsid w:val="00A71882"/>
    <w:rsid w:val="00A71B25"/>
    <w:rsid w:val="00A73719"/>
    <w:rsid w:val="00A738FA"/>
    <w:rsid w:val="00A74BD4"/>
    <w:rsid w:val="00A75B7C"/>
    <w:rsid w:val="00A76EEB"/>
    <w:rsid w:val="00A822EF"/>
    <w:rsid w:val="00A829F8"/>
    <w:rsid w:val="00A84247"/>
    <w:rsid w:val="00A8441A"/>
    <w:rsid w:val="00A84C15"/>
    <w:rsid w:val="00A862AB"/>
    <w:rsid w:val="00A867CF"/>
    <w:rsid w:val="00A8682E"/>
    <w:rsid w:val="00A8723E"/>
    <w:rsid w:val="00A87B50"/>
    <w:rsid w:val="00A87C5A"/>
    <w:rsid w:val="00A912D4"/>
    <w:rsid w:val="00A91828"/>
    <w:rsid w:val="00A91D2B"/>
    <w:rsid w:val="00A92311"/>
    <w:rsid w:val="00A93A3E"/>
    <w:rsid w:val="00A93FDC"/>
    <w:rsid w:val="00A94CC4"/>
    <w:rsid w:val="00A95CBC"/>
    <w:rsid w:val="00A96782"/>
    <w:rsid w:val="00A96CE9"/>
    <w:rsid w:val="00A9793A"/>
    <w:rsid w:val="00A97B15"/>
    <w:rsid w:val="00AA003B"/>
    <w:rsid w:val="00AA132B"/>
    <w:rsid w:val="00AA14B1"/>
    <w:rsid w:val="00AA178A"/>
    <w:rsid w:val="00AA3C83"/>
    <w:rsid w:val="00AA3DDE"/>
    <w:rsid w:val="00AA52E4"/>
    <w:rsid w:val="00AA5A03"/>
    <w:rsid w:val="00AA6351"/>
    <w:rsid w:val="00AA6B58"/>
    <w:rsid w:val="00AA755A"/>
    <w:rsid w:val="00AB0188"/>
    <w:rsid w:val="00AB1AE7"/>
    <w:rsid w:val="00AB229E"/>
    <w:rsid w:val="00AB3114"/>
    <w:rsid w:val="00AB4DB3"/>
    <w:rsid w:val="00AB5FC3"/>
    <w:rsid w:val="00AB7D51"/>
    <w:rsid w:val="00AC2A73"/>
    <w:rsid w:val="00AC62FD"/>
    <w:rsid w:val="00AC646A"/>
    <w:rsid w:val="00AC751E"/>
    <w:rsid w:val="00AD2146"/>
    <w:rsid w:val="00AD2989"/>
    <w:rsid w:val="00AD49A7"/>
    <w:rsid w:val="00AD68BB"/>
    <w:rsid w:val="00AD7912"/>
    <w:rsid w:val="00AD7F8E"/>
    <w:rsid w:val="00AE07BC"/>
    <w:rsid w:val="00AE2193"/>
    <w:rsid w:val="00AE3FA1"/>
    <w:rsid w:val="00AE5A8D"/>
    <w:rsid w:val="00AF01F6"/>
    <w:rsid w:val="00AF0AED"/>
    <w:rsid w:val="00AF2247"/>
    <w:rsid w:val="00AF4140"/>
    <w:rsid w:val="00AF4E33"/>
    <w:rsid w:val="00AF528A"/>
    <w:rsid w:val="00AF5A5D"/>
    <w:rsid w:val="00AF6B29"/>
    <w:rsid w:val="00AF6B8F"/>
    <w:rsid w:val="00AF71C8"/>
    <w:rsid w:val="00AF74A9"/>
    <w:rsid w:val="00AF7F7D"/>
    <w:rsid w:val="00B00F09"/>
    <w:rsid w:val="00B01466"/>
    <w:rsid w:val="00B01601"/>
    <w:rsid w:val="00B03079"/>
    <w:rsid w:val="00B04271"/>
    <w:rsid w:val="00B04443"/>
    <w:rsid w:val="00B04FCB"/>
    <w:rsid w:val="00B05B94"/>
    <w:rsid w:val="00B060BD"/>
    <w:rsid w:val="00B07099"/>
    <w:rsid w:val="00B07D1D"/>
    <w:rsid w:val="00B07FB8"/>
    <w:rsid w:val="00B11016"/>
    <w:rsid w:val="00B111A4"/>
    <w:rsid w:val="00B11C12"/>
    <w:rsid w:val="00B11CAB"/>
    <w:rsid w:val="00B121D0"/>
    <w:rsid w:val="00B125E5"/>
    <w:rsid w:val="00B13D41"/>
    <w:rsid w:val="00B1680D"/>
    <w:rsid w:val="00B17485"/>
    <w:rsid w:val="00B17E58"/>
    <w:rsid w:val="00B22994"/>
    <w:rsid w:val="00B23282"/>
    <w:rsid w:val="00B24B14"/>
    <w:rsid w:val="00B253F6"/>
    <w:rsid w:val="00B26AF5"/>
    <w:rsid w:val="00B27052"/>
    <w:rsid w:val="00B2785E"/>
    <w:rsid w:val="00B30905"/>
    <w:rsid w:val="00B30ADB"/>
    <w:rsid w:val="00B31644"/>
    <w:rsid w:val="00B324C6"/>
    <w:rsid w:val="00B32C2F"/>
    <w:rsid w:val="00B33653"/>
    <w:rsid w:val="00B3377A"/>
    <w:rsid w:val="00B347C0"/>
    <w:rsid w:val="00B3515A"/>
    <w:rsid w:val="00B3523C"/>
    <w:rsid w:val="00B3550A"/>
    <w:rsid w:val="00B35BFF"/>
    <w:rsid w:val="00B35C4D"/>
    <w:rsid w:val="00B36033"/>
    <w:rsid w:val="00B367F2"/>
    <w:rsid w:val="00B36C1F"/>
    <w:rsid w:val="00B36E2E"/>
    <w:rsid w:val="00B3738C"/>
    <w:rsid w:val="00B37BC8"/>
    <w:rsid w:val="00B40587"/>
    <w:rsid w:val="00B40A1A"/>
    <w:rsid w:val="00B41C92"/>
    <w:rsid w:val="00B429E0"/>
    <w:rsid w:val="00B430F3"/>
    <w:rsid w:val="00B43F3F"/>
    <w:rsid w:val="00B449D0"/>
    <w:rsid w:val="00B461D3"/>
    <w:rsid w:val="00B46485"/>
    <w:rsid w:val="00B46516"/>
    <w:rsid w:val="00B46C1D"/>
    <w:rsid w:val="00B46DD7"/>
    <w:rsid w:val="00B51F5A"/>
    <w:rsid w:val="00B523B5"/>
    <w:rsid w:val="00B53A7B"/>
    <w:rsid w:val="00B53D95"/>
    <w:rsid w:val="00B53F54"/>
    <w:rsid w:val="00B54543"/>
    <w:rsid w:val="00B54802"/>
    <w:rsid w:val="00B553CD"/>
    <w:rsid w:val="00B555DD"/>
    <w:rsid w:val="00B5573E"/>
    <w:rsid w:val="00B56168"/>
    <w:rsid w:val="00B562A7"/>
    <w:rsid w:val="00B56D59"/>
    <w:rsid w:val="00B5713A"/>
    <w:rsid w:val="00B5FF65"/>
    <w:rsid w:val="00B615BF"/>
    <w:rsid w:val="00B61CB4"/>
    <w:rsid w:val="00B62CEC"/>
    <w:rsid w:val="00B62D2D"/>
    <w:rsid w:val="00B63B62"/>
    <w:rsid w:val="00B641AD"/>
    <w:rsid w:val="00B651A2"/>
    <w:rsid w:val="00B67443"/>
    <w:rsid w:val="00B676F8"/>
    <w:rsid w:val="00B679F5"/>
    <w:rsid w:val="00B67D9F"/>
    <w:rsid w:val="00B67E8B"/>
    <w:rsid w:val="00B71366"/>
    <w:rsid w:val="00B71BDC"/>
    <w:rsid w:val="00B727A7"/>
    <w:rsid w:val="00B72A04"/>
    <w:rsid w:val="00B7342E"/>
    <w:rsid w:val="00B740BF"/>
    <w:rsid w:val="00B74FDC"/>
    <w:rsid w:val="00B76BF9"/>
    <w:rsid w:val="00B8045B"/>
    <w:rsid w:val="00B80E0C"/>
    <w:rsid w:val="00B82DEA"/>
    <w:rsid w:val="00B830CC"/>
    <w:rsid w:val="00B83687"/>
    <w:rsid w:val="00B85127"/>
    <w:rsid w:val="00B8768B"/>
    <w:rsid w:val="00B901C4"/>
    <w:rsid w:val="00B913FD"/>
    <w:rsid w:val="00B91756"/>
    <w:rsid w:val="00B92928"/>
    <w:rsid w:val="00B93FA7"/>
    <w:rsid w:val="00B95301"/>
    <w:rsid w:val="00BA0AA3"/>
    <w:rsid w:val="00BA19FF"/>
    <w:rsid w:val="00BA3EC6"/>
    <w:rsid w:val="00BA40F0"/>
    <w:rsid w:val="00BA5C47"/>
    <w:rsid w:val="00BA5D49"/>
    <w:rsid w:val="00BA5EAE"/>
    <w:rsid w:val="00BA77E5"/>
    <w:rsid w:val="00BB0B1E"/>
    <w:rsid w:val="00BB107F"/>
    <w:rsid w:val="00BB19C6"/>
    <w:rsid w:val="00BB1A4B"/>
    <w:rsid w:val="00BB25C3"/>
    <w:rsid w:val="00BB2727"/>
    <w:rsid w:val="00BB35FE"/>
    <w:rsid w:val="00BB3A04"/>
    <w:rsid w:val="00BB3B62"/>
    <w:rsid w:val="00BB4639"/>
    <w:rsid w:val="00BB7DA0"/>
    <w:rsid w:val="00BB7DC5"/>
    <w:rsid w:val="00BC2758"/>
    <w:rsid w:val="00BC2DA2"/>
    <w:rsid w:val="00BC2EDB"/>
    <w:rsid w:val="00BC4ACA"/>
    <w:rsid w:val="00BC57A9"/>
    <w:rsid w:val="00BC76A1"/>
    <w:rsid w:val="00BD15BD"/>
    <w:rsid w:val="00BD4999"/>
    <w:rsid w:val="00BD4CC2"/>
    <w:rsid w:val="00BE0B5A"/>
    <w:rsid w:val="00BE1229"/>
    <w:rsid w:val="00BE21CB"/>
    <w:rsid w:val="00BE3CEB"/>
    <w:rsid w:val="00BE57F8"/>
    <w:rsid w:val="00BE5AD9"/>
    <w:rsid w:val="00BE5C5A"/>
    <w:rsid w:val="00BE6744"/>
    <w:rsid w:val="00BF064C"/>
    <w:rsid w:val="00BF0C5E"/>
    <w:rsid w:val="00BF27F3"/>
    <w:rsid w:val="00BF3305"/>
    <w:rsid w:val="00BF3380"/>
    <w:rsid w:val="00BF3807"/>
    <w:rsid w:val="00BF48F9"/>
    <w:rsid w:val="00BF4E7A"/>
    <w:rsid w:val="00BF5331"/>
    <w:rsid w:val="00BF7102"/>
    <w:rsid w:val="00C02055"/>
    <w:rsid w:val="00C02BD9"/>
    <w:rsid w:val="00C02EB5"/>
    <w:rsid w:val="00C03E98"/>
    <w:rsid w:val="00C04D6A"/>
    <w:rsid w:val="00C05356"/>
    <w:rsid w:val="00C0595D"/>
    <w:rsid w:val="00C0664D"/>
    <w:rsid w:val="00C06BB2"/>
    <w:rsid w:val="00C06E30"/>
    <w:rsid w:val="00C06EEE"/>
    <w:rsid w:val="00C07FE5"/>
    <w:rsid w:val="00C10553"/>
    <w:rsid w:val="00C1085B"/>
    <w:rsid w:val="00C131C0"/>
    <w:rsid w:val="00C144B4"/>
    <w:rsid w:val="00C16542"/>
    <w:rsid w:val="00C205C1"/>
    <w:rsid w:val="00C211C5"/>
    <w:rsid w:val="00C22C75"/>
    <w:rsid w:val="00C22E17"/>
    <w:rsid w:val="00C23262"/>
    <w:rsid w:val="00C244E1"/>
    <w:rsid w:val="00C24CC7"/>
    <w:rsid w:val="00C25174"/>
    <w:rsid w:val="00C26325"/>
    <w:rsid w:val="00C26598"/>
    <w:rsid w:val="00C26E42"/>
    <w:rsid w:val="00C27CB0"/>
    <w:rsid w:val="00C33B41"/>
    <w:rsid w:val="00C34573"/>
    <w:rsid w:val="00C34D2F"/>
    <w:rsid w:val="00C36525"/>
    <w:rsid w:val="00C37271"/>
    <w:rsid w:val="00C40B64"/>
    <w:rsid w:val="00C4132F"/>
    <w:rsid w:val="00C43DA2"/>
    <w:rsid w:val="00C441FB"/>
    <w:rsid w:val="00C44812"/>
    <w:rsid w:val="00C448E3"/>
    <w:rsid w:val="00C4626D"/>
    <w:rsid w:val="00C46607"/>
    <w:rsid w:val="00C46BD5"/>
    <w:rsid w:val="00C46ED0"/>
    <w:rsid w:val="00C502D4"/>
    <w:rsid w:val="00C50376"/>
    <w:rsid w:val="00C503DE"/>
    <w:rsid w:val="00C54406"/>
    <w:rsid w:val="00C54F93"/>
    <w:rsid w:val="00C55308"/>
    <w:rsid w:val="00C5613E"/>
    <w:rsid w:val="00C576C0"/>
    <w:rsid w:val="00C60270"/>
    <w:rsid w:val="00C616EC"/>
    <w:rsid w:val="00C61F2A"/>
    <w:rsid w:val="00C6298C"/>
    <w:rsid w:val="00C639A0"/>
    <w:rsid w:val="00C64B22"/>
    <w:rsid w:val="00C65F54"/>
    <w:rsid w:val="00C707AD"/>
    <w:rsid w:val="00C72795"/>
    <w:rsid w:val="00C72B96"/>
    <w:rsid w:val="00C75D4B"/>
    <w:rsid w:val="00C761FF"/>
    <w:rsid w:val="00C76491"/>
    <w:rsid w:val="00C76E6D"/>
    <w:rsid w:val="00C77C9A"/>
    <w:rsid w:val="00C81B14"/>
    <w:rsid w:val="00C821DE"/>
    <w:rsid w:val="00C835EF"/>
    <w:rsid w:val="00C84E21"/>
    <w:rsid w:val="00C87A41"/>
    <w:rsid w:val="00C902BC"/>
    <w:rsid w:val="00C91624"/>
    <w:rsid w:val="00C916DB"/>
    <w:rsid w:val="00C920F4"/>
    <w:rsid w:val="00C92452"/>
    <w:rsid w:val="00C955E2"/>
    <w:rsid w:val="00C95EE7"/>
    <w:rsid w:val="00CA086D"/>
    <w:rsid w:val="00CA228C"/>
    <w:rsid w:val="00CA29C7"/>
    <w:rsid w:val="00CA4126"/>
    <w:rsid w:val="00CA513B"/>
    <w:rsid w:val="00CA5FA9"/>
    <w:rsid w:val="00CB22D8"/>
    <w:rsid w:val="00CB2D77"/>
    <w:rsid w:val="00CB4026"/>
    <w:rsid w:val="00CB4DBB"/>
    <w:rsid w:val="00CB603C"/>
    <w:rsid w:val="00CB6A19"/>
    <w:rsid w:val="00CB6A31"/>
    <w:rsid w:val="00CB7ABB"/>
    <w:rsid w:val="00CC0640"/>
    <w:rsid w:val="00CC0912"/>
    <w:rsid w:val="00CC0ACC"/>
    <w:rsid w:val="00CC1CE1"/>
    <w:rsid w:val="00CC2973"/>
    <w:rsid w:val="00CC29D1"/>
    <w:rsid w:val="00CC3914"/>
    <w:rsid w:val="00CC4B2B"/>
    <w:rsid w:val="00CC5B11"/>
    <w:rsid w:val="00CC6700"/>
    <w:rsid w:val="00CC725C"/>
    <w:rsid w:val="00CC7D63"/>
    <w:rsid w:val="00CD07CA"/>
    <w:rsid w:val="00CD0C1E"/>
    <w:rsid w:val="00CD2743"/>
    <w:rsid w:val="00CD3A78"/>
    <w:rsid w:val="00CD57CB"/>
    <w:rsid w:val="00CD660A"/>
    <w:rsid w:val="00CD6687"/>
    <w:rsid w:val="00CE235B"/>
    <w:rsid w:val="00CE379D"/>
    <w:rsid w:val="00CE6EDE"/>
    <w:rsid w:val="00CE7C94"/>
    <w:rsid w:val="00CF4749"/>
    <w:rsid w:val="00CF5929"/>
    <w:rsid w:val="00CF68F4"/>
    <w:rsid w:val="00D006F7"/>
    <w:rsid w:val="00D028A5"/>
    <w:rsid w:val="00D02C9B"/>
    <w:rsid w:val="00D03AAF"/>
    <w:rsid w:val="00D05615"/>
    <w:rsid w:val="00D05B1F"/>
    <w:rsid w:val="00D06040"/>
    <w:rsid w:val="00D060E5"/>
    <w:rsid w:val="00D07D99"/>
    <w:rsid w:val="00D07FFC"/>
    <w:rsid w:val="00D10C48"/>
    <w:rsid w:val="00D10E6F"/>
    <w:rsid w:val="00D12B1A"/>
    <w:rsid w:val="00D13774"/>
    <w:rsid w:val="00D13E9E"/>
    <w:rsid w:val="00D14562"/>
    <w:rsid w:val="00D14AFF"/>
    <w:rsid w:val="00D14EA2"/>
    <w:rsid w:val="00D15984"/>
    <w:rsid w:val="00D1655B"/>
    <w:rsid w:val="00D201B1"/>
    <w:rsid w:val="00D201E6"/>
    <w:rsid w:val="00D20771"/>
    <w:rsid w:val="00D21407"/>
    <w:rsid w:val="00D22B2E"/>
    <w:rsid w:val="00D22CB3"/>
    <w:rsid w:val="00D22EB7"/>
    <w:rsid w:val="00D23917"/>
    <w:rsid w:val="00D266C0"/>
    <w:rsid w:val="00D30D9E"/>
    <w:rsid w:val="00D324F3"/>
    <w:rsid w:val="00D336BB"/>
    <w:rsid w:val="00D34BBF"/>
    <w:rsid w:val="00D355B1"/>
    <w:rsid w:val="00D35D06"/>
    <w:rsid w:val="00D36238"/>
    <w:rsid w:val="00D369E5"/>
    <w:rsid w:val="00D36D35"/>
    <w:rsid w:val="00D36F23"/>
    <w:rsid w:val="00D3753B"/>
    <w:rsid w:val="00D37849"/>
    <w:rsid w:val="00D408FE"/>
    <w:rsid w:val="00D40E11"/>
    <w:rsid w:val="00D410A2"/>
    <w:rsid w:val="00D41385"/>
    <w:rsid w:val="00D41915"/>
    <w:rsid w:val="00D41981"/>
    <w:rsid w:val="00D41D33"/>
    <w:rsid w:val="00D4450C"/>
    <w:rsid w:val="00D44AF6"/>
    <w:rsid w:val="00D455C3"/>
    <w:rsid w:val="00D503B2"/>
    <w:rsid w:val="00D50684"/>
    <w:rsid w:val="00D50C6E"/>
    <w:rsid w:val="00D51119"/>
    <w:rsid w:val="00D51F74"/>
    <w:rsid w:val="00D52DC0"/>
    <w:rsid w:val="00D541B9"/>
    <w:rsid w:val="00D60265"/>
    <w:rsid w:val="00D612AF"/>
    <w:rsid w:val="00D630C9"/>
    <w:rsid w:val="00D64F4E"/>
    <w:rsid w:val="00D6508C"/>
    <w:rsid w:val="00D65796"/>
    <w:rsid w:val="00D660C2"/>
    <w:rsid w:val="00D667D3"/>
    <w:rsid w:val="00D66C8D"/>
    <w:rsid w:val="00D67967"/>
    <w:rsid w:val="00D704E3"/>
    <w:rsid w:val="00D71272"/>
    <w:rsid w:val="00D7169C"/>
    <w:rsid w:val="00D725DA"/>
    <w:rsid w:val="00D7410F"/>
    <w:rsid w:val="00D76312"/>
    <w:rsid w:val="00D815BD"/>
    <w:rsid w:val="00D83914"/>
    <w:rsid w:val="00D83A40"/>
    <w:rsid w:val="00D8403C"/>
    <w:rsid w:val="00D850DF"/>
    <w:rsid w:val="00D85144"/>
    <w:rsid w:val="00D85A04"/>
    <w:rsid w:val="00D85BF7"/>
    <w:rsid w:val="00D9282C"/>
    <w:rsid w:val="00D9445F"/>
    <w:rsid w:val="00D95F3A"/>
    <w:rsid w:val="00D96495"/>
    <w:rsid w:val="00D96AF4"/>
    <w:rsid w:val="00D97243"/>
    <w:rsid w:val="00DA048B"/>
    <w:rsid w:val="00DA089F"/>
    <w:rsid w:val="00DA38D7"/>
    <w:rsid w:val="00DB00D7"/>
    <w:rsid w:val="00DB00FD"/>
    <w:rsid w:val="00DB0987"/>
    <w:rsid w:val="00DB11EE"/>
    <w:rsid w:val="00DB2EE3"/>
    <w:rsid w:val="00DB34A2"/>
    <w:rsid w:val="00DB41AC"/>
    <w:rsid w:val="00DB4545"/>
    <w:rsid w:val="00DB4E73"/>
    <w:rsid w:val="00DB53B3"/>
    <w:rsid w:val="00DB5D31"/>
    <w:rsid w:val="00DB5D77"/>
    <w:rsid w:val="00DB6CEE"/>
    <w:rsid w:val="00DB7396"/>
    <w:rsid w:val="00DB7980"/>
    <w:rsid w:val="00DC0076"/>
    <w:rsid w:val="00DC2470"/>
    <w:rsid w:val="00DC25B3"/>
    <w:rsid w:val="00DC36C7"/>
    <w:rsid w:val="00DC4AF4"/>
    <w:rsid w:val="00DC4BC2"/>
    <w:rsid w:val="00DC5AB6"/>
    <w:rsid w:val="00DC5D6F"/>
    <w:rsid w:val="00DC6180"/>
    <w:rsid w:val="00DC6C5C"/>
    <w:rsid w:val="00DC7803"/>
    <w:rsid w:val="00DC7F48"/>
    <w:rsid w:val="00DD2B2A"/>
    <w:rsid w:val="00DD44A3"/>
    <w:rsid w:val="00DE0DF1"/>
    <w:rsid w:val="00DE1613"/>
    <w:rsid w:val="00DE522F"/>
    <w:rsid w:val="00DE5B44"/>
    <w:rsid w:val="00DF006C"/>
    <w:rsid w:val="00DF09F0"/>
    <w:rsid w:val="00DF2C07"/>
    <w:rsid w:val="00DF32A4"/>
    <w:rsid w:val="00DF46CD"/>
    <w:rsid w:val="00DF4E73"/>
    <w:rsid w:val="00DF771B"/>
    <w:rsid w:val="00E02268"/>
    <w:rsid w:val="00E0251E"/>
    <w:rsid w:val="00E02A5F"/>
    <w:rsid w:val="00E034AB"/>
    <w:rsid w:val="00E04E6E"/>
    <w:rsid w:val="00E07131"/>
    <w:rsid w:val="00E07A95"/>
    <w:rsid w:val="00E107B6"/>
    <w:rsid w:val="00E11352"/>
    <w:rsid w:val="00E115C1"/>
    <w:rsid w:val="00E116D8"/>
    <w:rsid w:val="00E13660"/>
    <w:rsid w:val="00E1529E"/>
    <w:rsid w:val="00E17E33"/>
    <w:rsid w:val="00E21456"/>
    <w:rsid w:val="00E21FB9"/>
    <w:rsid w:val="00E2224C"/>
    <w:rsid w:val="00E24524"/>
    <w:rsid w:val="00E247FF"/>
    <w:rsid w:val="00E2665F"/>
    <w:rsid w:val="00E2677F"/>
    <w:rsid w:val="00E27118"/>
    <w:rsid w:val="00E31F41"/>
    <w:rsid w:val="00E31F4C"/>
    <w:rsid w:val="00E327B2"/>
    <w:rsid w:val="00E33BA0"/>
    <w:rsid w:val="00E342F3"/>
    <w:rsid w:val="00E345AB"/>
    <w:rsid w:val="00E35F60"/>
    <w:rsid w:val="00E36C75"/>
    <w:rsid w:val="00E401B7"/>
    <w:rsid w:val="00E402F2"/>
    <w:rsid w:val="00E40447"/>
    <w:rsid w:val="00E43C0A"/>
    <w:rsid w:val="00E45493"/>
    <w:rsid w:val="00E461AF"/>
    <w:rsid w:val="00E463B3"/>
    <w:rsid w:val="00E46952"/>
    <w:rsid w:val="00E5007A"/>
    <w:rsid w:val="00E5079D"/>
    <w:rsid w:val="00E52C09"/>
    <w:rsid w:val="00E52CBC"/>
    <w:rsid w:val="00E5373A"/>
    <w:rsid w:val="00E5446F"/>
    <w:rsid w:val="00E546BA"/>
    <w:rsid w:val="00E54A90"/>
    <w:rsid w:val="00E578AF"/>
    <w:rsid w:val="00E60B49"/>
    <w:rsid w:val="00E63761"/>
    <w:rsid w:val="00E671B6"/>
    <w:rsid w:val="00E672CC"/>
    <w:rsid w:val="00E70506"/>
    <w:rsid w:val="00E70F6F"/>
    <w:rsid w:val="00E71831"/>
    <w:rsid w:val="00E732AC"/>
    <w:rsid w:val="00E73C14"/>
    <w:rsid w:val="00E74C4F"/>
    <w:rsid w:val="00E75D95"/>
    <w:rsid w:val="00E80808"/>
    <w:rsid w:val="00E83638"/>
    <w:rsid w:val="00E83B66"/>
    <w:rsid w:val="00E8469A"/>
    <w:rsid w:val="00E84996"/>
    <w:rsid w:val="00E84CD1"/>
    <w:rsid w:val="00E86806"/>
    <w:rsid w:val="00E87C66"/>
    <w:rsid w:val="00E87E28"/>
    <w:rsid w:val="00E901F5"/>
    <w:rsid w:val="00E9155D"/>
    <w:rsid w:val="00E91C24"/>
    <w:rsid w:val="00E93D8C"/>
    <w:rsid w:val="00E945A2"/>
    <w:rsid w:val="00E94DC5"/>
    <w:rsid w:val="00E96C44"/>
    <w:rsid w:val="00E970D9"/>
    <w:rsid w:val="00E9765B"/>
    <w:rsid w:val="00EA00CB"/>
    <w:rsid w:val="00EA0192"/>
    <w:rsid w:val="00EA0D7F"/>
    <w:rsid w:val="00EA1794"/>
    <w:rsid w:val="00EA2A2C"/>
    <w:rsid w:val="00EA43D5"/>
    <w:rsid w:val="00EA5F28"/>
    <w:rsid w:val="00EA7FC8"/>
    <w:rsid w:val="00EB0BD5"/>
    <w:rsid w:val="00EB3D16"/>
    <w:rsid w:val="00EB5638"/>
    <w:rsid w:val="00EB5B72"/>
    <w:rsid w:val="00EB5F43"/>
    <w:rsid w:val="00EB6DA3"/>
    <w:rsid w:val="00EB7BB1"/>
    <w:rsid w:val="00EC1115"/>
    <w:rsid w:val="00EC163D"/>
    <w:rsid w:val="00EC1B77"/>
    <w:rsid w:val="00EC3DFB"/>
    <w:rsid w:val="00EC425F"/>
    <w:rsid w:val="00EC4968"/>
    <w:rsid w:val="00EC59DB"/>
    <w:rsid w:val="00EC65D2"/>
    <w:rsid w:val="00EC7513"/>
    <w:rsid w:val="00EC79EE"/>
    <w:rsid w:val="00ED0BA2"/>
    <w:rsid w:val="00ED1419"/>
    <w:rsid w:val="00ED533B"/>
    <w:rsid w:val="00ED654B"/>
    <w:rsid w:val="00ED794D"/>
    <w:rsid w:val="00ED7C86"/>
    <w:rsid w:val="00EE00D3"/>
    <w:rsid w:val="00EE0F14"/>
    <w:rsid w:val="00EE224C"/>
    <w:rsid w:val="00EE367B"/>
    <w:rsid w:val="00EE37C4"/>
    <w:rsid w:val="00EE3E31"/>
    <w:rsid w:val="00EE40CD"/>
    <w:rsid w:val="00EE4279"/>
    <w:rsid w:val="00EE4576"/>
    <w:rsid w:val="00EE5918"/>
    <w:rsid w:val="00EE7A0D"/>
    <w:rsid w:val="00EF1096"/>
    <w:rsid w:val="00EF13FF"/>
    <w:rsid w:val="00EF21E3"/>
    <w:rsid w:val="00EF3A53"/>
    <w:rsid w:val="00EF4336"/>
    <w:rsid w:val="00EF5207"/>
    <w:rsid w:val="00EF590F"/>
    <w:rsid w:val="00EF6DC1"/>
    <w:rsid w:val="00EF73DD"/>
    <w:rsid w:val="00F00AE7"/>
    <w:rsid w:val="00F02388"/>
    <w:rsid w:val="00F02ADA"/>
    <w:rsid w:val="00F03221"/>
    <w:rsid w:val="00F04A58"/>
    <w:rsid w:val="00F10B4E"/>
    <w:rsid w:val="00F114CE"/>
    <w:rsid w:val="00F131D3"/>
    <w:rsid w:val="00F13842"/>
    <w:rsid w:val="00F144CA"/>
    <w:rsid w:val="00F1619B"/>
    <w:rsid w:val="00F17151"/>
    <w:rsid w:val="00F1728D"/>
    <w:rsid w:val="00F200FD"/>
    <w:rsid w:val="00F20BAC"/>
    <w:rsid w:val="00F22803"/>
    <w:rsid w:val="00F24B99"/>
    <w:rsid w:val="00F25B27"/>
    <w:rsid w:val="00F27ACB"/>
    <w:rsid w:val="00F30123"/>
    <w:rsid w:val="00F31CE0"/>
    <w:rsid w:val="00F33C29"/>
    <w:rsid w:val="00F33CBB"/>
    <w:rsid w:val="00F3420C"/>
    <w:rsid w:val="00F34DA5"/>
    <w:rsid w:val="00F36A2D"/>
    <w:rsid w:val="00F40C45"/>
    <w:rsid w:val="00F43387"/>
    <w:rsid w:val="00F43F19"/>
    <w:rsid w:val="00F44E5E"/>
    <w:rsid w:val="00F4724C"/>
    <w:rsid w:val="00F51CA7"/>
    <w:rsid w:val="00F51DF7"/>
    <w:rsid w:val="00F53146"/>
    <w:rsid w:val="00F5348B"/>
    <w:rsid w:val="00F541E0"/>
    <w:rsid w:val="00F5467D"/>
    <w:rsid w:val="00F5730E"/>
    <w:rsid w:val="00F57E5E"/>
    <w:rsid w:val="00F60B94"/>
    <w:rsid w:val="00F61261"/>
    <w:rsid w:val="00F6164C"/>
    <w:rsid w:val="00F61686"/>
    <w:rsid w:val="00F61A71"/>
    <w:rsid w:val="00F65F73"/>
    <w:rsid w:val="00F65FB3"/>
    <w:rsid w:val="00F66040"/>
    <w:rsid w:val="00F66A03"/>
    <w:rsid w:val="00F66B43"/>
    <w:rsid w:val="00F71EDC"/>
    <w:rsid w:val="00F72197"/>
    <w:rsid w:val="00F72B4E"/>
    <w:rsid w:val="00F739FA"/>
    <w:rsid w:val="00F73ED7"/>
    <w:rsid w:val="00F764F6"/>
    <w:rsid w:val="00F7745F"/>
    <w:rsid w:val="00F775BA"/>
    <w:rsid w:val="00F822AF"/>
    <w:rsid w:val="00F82515"/>
    <w:rsid w:val="00F82774"/>
    <w:rsid w:val="00F82A4A"/>
    <w:rsid w:val="00F834A4"/>
    <w:rsid w:val="00F84686"/>
    <w:rsid w:val="00F8572E"/>
    <w:rsid w:val="00F85AC4"/>
    <w:rsid w:val="00F85CF0"/>
    <w:rsid w:val="00F8772D"/>
    <w:rsid w:val="00F90A38"/>
    <w:rsid w:val="00F91D4C"/>
    <w:rsid w:val="00F922A5"/>
    <w:rsid w:val="00F923AF"/>
    <w:rsid w:val="00F932F8"/>
    <w:rsid w:val="00F9385A"/>
    <w:rsid w:val="00F93976"/>
    <w:rsid w:val="00F95DFD"/>
    <w:rsid w:val="00F96747"/>
    <w:rsid w:val="00F97E03"/>
    <w:rsid w:val="00FA020F"/>
    <w:rsid w:val="00FA0D1A"/>
    <w:rsid w:val="00FA1496"/>
    <w:rsid w:val="00FA1731"/>
    <w:rsid w:val="00FA2DF2"/>
    <w:rsid w:val="00FA5AE3"/>
    <w:rsid w:val="00FA6220"/>
    <w:rsid w:val="00FA65A2"/>
    <w:rsid w:val="00FA7D71"/>
    <w:rsid w:val="00FA7F95"/>
    <w:rsid w:val="00FB0845"/>
    <w:rsid w:val="00FB0F24"/>
    <w:rsid w:val="00FB406A"/>
    <w:rsid w:val="00FB41E3"/>
    <w:rsid w:val="00FB46BA"/>
    <w:rsid w:val="00FB4700"/>
    <w:rsid w:val="00FB4789"/>
    <w:rsid w:val="00FB67DE"/>
    <w:rsid w:val="00FC0A09"/>
    <w:rsid w:val="00FC158C"/>
    <w:rsid w:val="00FC374E"/>
    <w:rsid w:val="00FC3E46"/>
    <w:rsid w:val="00FC4292"/>
    <w:rsid w:val="00FC453B"/>
    <w:rsid w:val="00FC477B"/>
    <w:rsid w:val="00FC56BC"/>
    <w:rsid w:val="00FC5BE4"/>
    <w:rsid w:val="00FC65E8"/>
    <w:rsid w:val="00FC6624"/>
    <w:rsid w:val="00FC6CD6"/>
    <w:rsid w:val="00FD1D16"/>
    <w:rsid w:val="00FD43AB"/>
    <w:rsid w:val="00FD585F"/>
    <w:rsid w:val="00FD750D"/>
    <w:rsid w:val="00FD79CC"/>
    <w:rsid w:val="00FD7CDA"/>
    <w:rsid w:val="00FE06E8"/>
    <w:rsid w:val="00FE263D"/>
    <w:rsid w:val="00FE3248"/>
    <w:rsid w:val="00FE3618"/>
    <w:rsid w:val="00FE665D"/>
    <w:rsid w:val="00FE7516"/>
    <w:rsid w:val="00FE7699"/>
    <w:rsid w:val="00FE7749"/>
    <w:rsid w:val="00FE7A04"/>
    <w:rsid w:val="00FF0822"/>
    <w:rsid w:val="00FF085A"/>
    <w:rsid w:val="00FF0AC4"/>
    <w:rsid w:val="00FF19BF"/>
    <w:rsid w:val="00FF2165"/>
    <w:rsid w:val="00FF3016"/>
    <w:rsid w:val="00FF55F7"/>
    <w:rsid w:val="0135C10F"/>
    <w:rsid w:val="013B24A3"/>
    <w:rsid w:val="018C3584"/>
    <w:rsid w:val="01C69AE3"/>
    <w:rsid w:val="021523D1"/>
    <w:rsid w:val="027C41D3"/>
    <w:rsid w:val="02A285C0"/>
    <w:rsid w:val="02E3A8CE"/>
    <w:rsid w:val="02F19B37"/>
    <w:rsid w:val="03421F95"/>
    <w:rsid w:val="036A3873"/>
    <w:rsid w:val="036CC540"/>
    <w:rsid w:val="0379E662"/>
    <w:rsid w:val="03F67779"/>
    <w:rsid w:val="04386BC7"/>
    <w:rsid w:val="043AC21C"/>
    <w:rsid w:val="04748FAB"/>
    <w:rsid w:val="04B81075"/>
    <w:rsid w:val="0502DAA1"/>
    <w:rsid w:val="051A1AD2"/>
    <w:rsid w:val="053117F4"/>
    <w:rsid w:val="05481CA7"/>
    <w:rsid w:val="055BDFFD"/>
    <w:rsid w:val="0563448F"/>
    <w:rsid w:val="0566D46E"/>
    <w:rsid w:val="056C0109"/>
    <w:rsid w:val="05793F29"/>
    <w:rsid w:val="057DAB74"/>
    <w:rsid w:val="058119F3"/>
    <w:rsid w:val="05860249"/>
    <w:rsid w:val="05A33EA4"/>
    <w:rsid w:val="05DEEAB7"/>
    <w:rsid w:val="05EB467E"/>
    <w:rsid w:val="05EB4E10"/>
    <w:rsid w:val="0626AC4C"/>
    <w:rsid w:val="0637640D"/>
    <w:rsid w:val="063A5732"/>
    <w:rsid w:val="063AB10F"/>
    <w:rsid w:val="065033B8"/>
    <w:rsid w:val="065DE4C3"/>
    <w:rsid w:val="0678675E"/>
    <w:rsid w:val="07071885"/>
    <w:rsid w:val="071B336C"/>
    <w:rsid w:val="07322F4F"/>
    <w:rsid w:val="07550F1E"/>
    <w:rsid w:val="075BCE61"/>
    <w:rsid w:val="07BB874F"/>
    <w:rsid w:val="07C171C8"/>
    <w:rsid w:val="07D82116"/>
    <w:rsid w:val="0869DBEB"/>
    <w:rsid w:val="086E8A44"/>
    <w:rsid w:val="0872F0AF"/>
    <w:rsid w:val="08D5F1E8"/>
    <w:rsid w:val="08EC4DA0"/>
    <w:rsid w:val="092652D6"/>
    <w:rsid w:val="0948560D"/>
    <w:rsid w:val="09730EBE"/>
    <w:rsid w:val="09837C4D"/>
    <w:rsid w:val="0986D177"/>
    <w:rsid w:val="09A0995F"/>
    <w:rsid w:val="09A2C7BB"/>
    <w:rsid w:val="09B255E5"/>
    <w:rsid w:val="09C3F0F6"/>
    <w:rsid w:val="09C8A98A"/>
    <w:rsid w:val="09D20FB5"/>
    <w:rsid w:val="0A416C5D"/>
    <w:rsid w:val="0A462831"/>
    <w:rsid w:val="0A731F5B"/>
    <w:rsid w:val="0A780E28"/>
    <w:rsid w:val="0A9842F7"/>
    <w:rsid w:val="0AC993C5"/>
    <w:rsid w:val="0AFC43AA"/>
    <w:rsid w:val="0B3202FB"/>
    <w:rsid w:val="0B6D8D25"/>
    <w:rsid w:val="0B7D2DC4"/>
    <w:rsid w:val="0B86E1D8"/>
    <w:rsid w:val="0B999C97"/>
    <w:rsid w:val="0BAB4B7D"/>
    <w:rsid w:val="0BB0F3FD"/>
    <w:rsid w:val="0C15DCBB"/>
    <w:rsid w:val="0C3AFBBF"/>
    <w:rsid w:val="0C52E2CF"/>
    <w:rsid w:val="0C546180"/>
    <w:rsid w:val="0C87A221"/>
    <w:rsid w:val="0CF16A94"/>
    <w:rsid w:val="0CF1FCA6"/>
    <w:rsid w:val="0DB099FD"/>
    <w:rsid w:val="0DB9FE4E"/>
    <w:rsid w:val="0DDC0C2C"/>
    <w:rsid w:val="0E4D6706"/>
    <w:rsid w:val="0E67E7CA"/>
    <w:rsid w:val="0EB06D08"/>
    <w:rsid w:val="0EDD5FF7"/>
    <w:rsid w:val="0F04DEFE"/>
    <w:rsid w:val="0F0CCFB3"/>
    <w:rsid w:val="0F6D4BCD"/>
    <w:rsid w:val="0FCE5CA5"/>
    <w:rsid w:val="1059DC9B"/>
    <w:rsid w:val="10C2A65A"/>
    <w:rsid w:val="10D09D11"/>
    <w:rsid w:val="112DB7ED"/>
    <w:rsid w:val="114DA138"/>
    <w:rsid w:val="11520A15"/>
    <w:rsid w:val="11CB82F1"/>
    <w:rsid w:val="11D99DCA"/>
    <w:rsid w:val="11E1B6FF"/>
    <w:rsid w:val="1205ED1E"/>
    <w:rsid w:val="123243E3"/>
    <w:rsid w:val="1246626E"/>
    <w:rsid w:val="12468673"/>
    <w:rsid w:val="1248786E"/>
    <w:rsid w:val="125FA772"/>
    <w:rsid w:val="126928F2"/>
    <w:rsid w:val="1287E8D2"/>
    <w:rsid w:val="12E05CF1"/>
    <w:rsid w:val="12E9699D"/>
    <w:rsid w:val="12F8D0F8"/>
    <w:rsid w:val="13224524"/>
    <w:rsid w:val="1369FC4B"/>
    <w:rsid w:val="139DBEE5"/>
    <w:rsid w:val="13F7BEA0"/>
    <w:rsid w:val="14234940"/>
    <w:rsid w:val="14460EBB"/>
    <w:rsid w:val="144F9FB5"/>
    <w:rsid w:val="1499F60C"/>
    <w:rsid w:val="14B7457E"/>
    <w:rsid w:val="14F241FD"/>
    <w:rsid w:val="1588E168"/>
    <w:rsid w:val="159EA38E"/>
    <w:rsid w:val="15D0E1DE"/>
    <w:rsid w:val="15D5F1F3"/>
    <w:rsid w:val="161EE0B1"/>
    <w:rsid w:val="16507370"/>
    <w:rsid w:val="166B8160"/>
    <w:rsid w:val="16718E6F"/>
    <w:rsid w:val="16A11B67"/>
    <w:rsid w:val="16AAF02F"/>
    <w:rsid w:val="16AAFCE6"/>
    <w:rsid w:val="16D7B53F"/>
    <w:rsid w:val="16EA34EB"/>
    <w:rsid w:val="1720EFB0"/>
    <w:rsid w:val="17384A37"/>
    <w:rsid w:val="175A179B"/>
    <w:rsid w:val="1777F9B0"/>
    <w:rsid w:val="17832E1B"/>
    <w:rsid w:val="18945020"/>
    <w:rsid w:val="18EE983A"/>
    <w:rsid w:val="18F0398C"/>
    <w:rsid w:val="1913F144"/>
    <w:rsid w:val="19DDD6DF"/>
    <w:rsid w:val="19F7639F"/>
    <w:rsid w:val="19FD30A3"/>
    <w:rsid w:val="1A7ABF84"/>
    <w:rsid w:val="1A83AF36"/>
    <w:rsid w:val="1A919409"/>
    <w:rsid w:val="1ACE4115"/>
    <w:rsid w:val="1AD03673"/>
    <w:rsid w:val="1B1E3E95"/>
    <w:rsid w:val="1B285450"/>
    <w:rsid w:val="1B7F7ADF"/>
    <w:rsid w:val="1B91C498"/>
    <w:rsid w:val="1BEBFAC9"/>
    <w:rsid w:val="1BFC6801"/>
    <w:rsid w:val="1C36706F"/>
    <w:rsid w:val="1C6D9B73"/>
    <w:rsid w:val="1C7FDD01"/>
    <w:rsid w:val="1C9032F9"/>
    <w:rsid w:val="1CD68854"/>
    <w:rsid w:val="1D377802"/>
    <w:rsid w:val="1D68D566"/>
    <w:rsid w:val="1DC21745"/>
    <w:rsid w:val="1DF1048F"/>
    <w:rsid w:val="1E3A0658"/>
    <w:rsid w:val="1E5E385B"/>
    <w:rsid w:val="1E5E9C96"/>
    <w:rsid w:val="1E72A853"/>
    <w:rsid w:val="1EC4BA48"/>
    <w:rsid w:val="1EF5D6EC"/>
    <w:rsid w:val="1F2BB288"/>
    <w:rsid w:val="1F587ABE"/>
    <w:rsid w:val="1FA4A5BE"/>
    <w:rsid w:val="1FBF9D88"/>
    <w:rsid w:val="1FF4211B"/>
    <w:rsid w:val="1FF4E1F9"/>
    <w:rsid w:val="200B02D3"/>
    <w:rsid w:val="2032CA44"/>
    <w:rsid w:val="20F1E825"/>
    <w:rsid w:val="2125CA8C"/>
    <w:rsid w:val="214D444B"/>
    <w:rsid w:val="2185ECA3"/>
    <w:rsid w:val="2188A4F6"/>
    <w:rsid w:val="219D0B6C"/>
    <w:rsid w:val="21B303E2"/>
    <w:rsid w:val="21D7E13E"/>
    <w:rsid w:val="21DF3440"/>
    <w:rsid w:val="21F50BAB"/>
    <w:rsid w:val="21F59EC4"/>
    <w:rsid w:val="21FF0806"/>
    <w:rsid w:val="2286B689"/>
    <w:rsid w:val="231477DF"/>
    <w:rsid w:val="234C0311"/>
    <w:rsid w:val="23522700"/>
    <w:rsid w:val="2360A9D6"/>
    <w:rsid w:val="2365C6CD"/>
    <w:rsid w:val="239B3A0B"/>
    <w:rsid w:val="24B6D064"/>
    <w:rsid w:val="24C45D69"/>
    <w:rsid w:val="24DD09C8"/>
    <w:rsid w:val="25A4EBBE"/>
    <w:rsid w:val="25F3239C"/>
    <w:rsid w:val="25F755E4"/>
    <w:rsid w:val="26011EA0"/>
    <w:rsid w:val="2601A73E"/>
    <w:rsid w:val="265AC6D9"/>
    <w:rsid w:val="265B3710"/>
    <w:rsid w:val="268C507A"/>
    <w:rsid w:val="26AE1F3C"/>
    <w:rsid w:val="26DC3AD0"/>
    <w:rsid w:val="2728C5EB"/>
    <w:rsid w:val="276BD5AB"/>
    <w:rsid w:val="27814272"/>
    <w:rsid w:val="27953549"/>
    <w:rsid w:val="27ACC27E"/>
    <w:rsid w:val="27C18F46"/>
    <w:rsid w:val="27D1374B"/>
    <w:rsid w:val="27DF5CE9"/>
    <w:rsid w:val="282C3C0A"/>
    <w:rsid w:val="2847D600"/>
    <w:rsid w:val="28754D23"/>
    <w:rsid w:val="288A9EF2"/>
    <w:rsid w:val="288DEFAC"/>
    <w:rsid w:val="28E1E6C1"/>
    <w:rsid w:val="28E9CA27"/>
    <w:rsid w:val="28EB85ED"/>
    <w:rsid w:val="29504D58"/>
    <w:rsid w:val="2953EF27"/>
    <w:rsid w:val="295D8DF4"/>
    <w:rsid w:val="296D07AC"/>
    <w:rsid w:val="299966BB"/>
    <w:rsid w:val="29CBD5A6"/>
    <w:rsid w:val="29EE60E4"/>
    <w:rsid w:val="2A2D77A7"/>
    <w:rsid w:val="2A477E56"/>
    <w:rsid w:val="2A7C4EE6"/>
    <w:rsid w:val="2A84665B"/>
    <w:rsid w:val="2AE10D03"/>
    <w:rsid w:val="2AE4D85A"/>
    <w:rsid w:val="2B4C6B79"/>
    <w:rsid w:val="2B62D311"/>
    <w:rsid w:val="2BAA9302"/>
    <w:rsid w:val="2BBEB21A"/>
    <w:rsid w:val="2C5C06C6"/>
    <w:rsid w:val="2C5F8A6E"/>
    <w:rsid w:val="2C9185BB"/>
    <w:rsid w:val="2D0055B1"/>
    <w:rsid w:val="2D1203EB"/>
    <w:rsid w:val="2D1513B5"/>
    <w:rsid w:val="2D417F8B"/>
    <w:rsid w:val="2DD671E2"/>
    <w:rsid w:val="2E3DC063"/>
    <w:rsid w:val="2E8CDA06"/>
    <w:rsid w:val="2EAAC246"/>
    <w:rsid w:val="2F123C63"/>
    <w:rsid w:val="2F1481F2"/>
    <w:rsid w:val="2F6592E0"/>
    <w:rsid w:val="2FF94553"/>
    <w:rsid w:val="304CE61D"/>
    <w:rsid w:val="3054B7F7"/>
    <w:rsid w:val="30AEF640"/>
    <w:rsid w:val="30D767C0"/>
    <w:rsid w:val="3125D938"/>
    <w:rsid w:val="318F0EF9"/>
    <w:rsid w:val="31BCE8F2"/>
    <w:rsid w:val="31C24578"/>
    <w:rsid w:val="31DE49A6"/>
    <w:rsid w:val="31F2651F"/>
    <w:rsid w:val="32550CDE"/>
    <w:rsid w:val="32853A35"/>
    <w:rsid w:val="32BDB098"/>
    <w:rsid w:val="32C29D2A"/>
    <w:rsid w:val="32E483F8"/>
    <w:rsid w:val="33122A05"/>
    <w:rsid w:val="33435DFE"/>
    <w:rsid w:val="3355FDD6"/>
    <w:rsid w:val="33850896"/>
    <w:rsid w:val="33AE8B7B"/>
    <w:rsid w:val="33F5B854"/>
    <w:rsid w:val="34018AAA"/>
    <w:rsid w:val="3407F22F"/>
    <w:rsid w:val="3415AB59"/>
    <w:rsid w:val="343D99E8"/>
    <w:rsid w:val="3456E66D"/>
    <w:rsid w:val="349535DD"/>
    <w:rsid w:val="34C79B78"/>
    <w:rsid w:val="34EC69EE"/>
    <w:rsid w:val="34EFB370"/>
    <w:rsid w:val="3547F4A9"/>
    <w:rsid w:val="3556907D"/>
    <w:rsid w:val="358C71C5"/>
    <w:rsid w:val="359C1E85"/>
    <w:rsid w:val="35AA677D"/>
    <w:rsid w:val="35AD2125"/>
    <w:rsid w:val="35D7327F"/>
    <w:rsid w:val="36D9A993"/>
    <w:rsid w:val="36F16358"/>
    <w:rsid w:val="37324300"/>
    <w:rsid w:val="37564520"/>
    <w:rsid w:val="37B4BD88"/>
    <w:rsid w:val="37F9B1D5"/>
    <w:rsid w:val="380A0896"/>
    <w:rsid w:val="385A7927"/>
    <w:rsid w:val="3867B4FA"/>
    <w:rsid w:val="3882B16B"/>
    <w:rsid w:val="388E601E"/>
    <w:rsid w:val="389B13B4"/>
    <w:rsid w:val="38BE5F5B"/>
    <w:rsid w:val="38C45189"/>
    <w:rsid w:val="38D93F73"/>
    <w:rsid w:val="38E8CA5A"/>
    <w:rsid w:val="39DE448B"/>
    <w:rsid w:val="3A2253B8"/>
    <w:rsid w:val="3A26B2B3"/>
    <w:rsid w:val="3A481629"/>
    <w:rsid w:val="3A6E6FE6"/>
    <w:rsid w:val="3A95FE9C"/>
    <w:rsid w:val="3AC58803"/>
    <w:rsid w:val="3ADC6BAF"/>
    <w:rsid w:val="3AFDF767"/>
    <w:rsid w:val="3B0963C8"/>
    <w:rsid w:val="3B469FC1"/>
    <w:rsid w:val="3B6C840C"/>
    <w:rsid w:val="3B9DB2F2"/>
    <w:rsid w:val="3B9EE69F"/>
    <w:rsid w:val="3B9FD25A"/>
    <w:rsid w:val="3BC3A2C7"/>
    <w:rsid w:val="3BDF692B"/>
    <w:rsid w:val="3BF20B04"/>
    <w:rsid w:val="3C1ADA58"/>
    <w:rsid w:val="3C760BB5"/>
    <w:rsid w:val="3C84265B"/>
    <w:rsid w:val="3C98207A"/>
    <w:rsid w:val="3CF25B94"/>
    <w:rsid w:val="3D11F3E5"/>
    <w:rsid w:val="3D37A94A"/>
    <w:rsid w:val="3D5A173D"/>
    <w:rsid w:val="3D951EFE"/>
    <w:rsid w:val="3DDDA53B"/>
    <w:rsid w:val="3DE02E6D"/>
    <w:rsid w:val="3E56B379"/>
    <w:rsid w:val="3E5EBC7A"/>
    <w:rsid w:val="3E7B736B"/>
    <w:rsid w:val="3E9E41F5"/>
    <w:rsid w:val="3EA47AFA"/>
    <w:rsid w:val="3F2150EF"/>
    <w:rsid w:val="3FB2803E"/>
    <w:rsid w:val="3FCD0196"/>
    <w:rsid w:val="3FEE94D1"/>
    <w:rsid w:val="402FC95F"/>
    <w:rsid w:val="404BF43A"/>
    <w:rsid w:val="40515499"/>
    <w:rsid w:val="40562E9F"/>
    <w:rsid w:val="40BF4CD1"/>
    <w:rsid w:val="412228A6"/>
    <w:rsid w:val="41307DFA"/>
    <w:rsid w:val="413ABADF"/>
    <w:rsid w:val="413E8C26"/>
    <w:rsid w:val="414185EE"/>
    <w:rsid w:val="41656326"/>
    <w:rsid w:val="419D32DD"/>
    <w:rsid w:val="421B2542"/>
    <w:rsid w:val="42258E42"/>
    <w:rsid w:val="4232667F"/>
    <w:rsid w:val="42A28CB5"/>
    <w:rsid w:val="42B2B66D"/>
    <w:rsid w:val="42E2AC1E"/>
    <w:rsid w:val="434CC6AF"/>
    <w:rsid w:val="435B14FC"/>
    <w:rsid w:val="436EC533"/>
    <w:rsid w:val="43B65CAE"/>
    <w:rsid w:val="4404A852"/>
    <w:rsid w:val="4412CDF0"/>
    <w:rsid w:val="4456C75A"/>
    <w:rsid w:val="44A3232F"/>
    <w:rsid w:val="44CBA393"/>
    <w:rsid w:val="44D618B5"/>
    <w:rsid w:val="4519CCCF"/>
    <w:rsid w:val="4549A51A"/>
    <w:rsid w:val="455368E3"/>
    <w:rsid w:val="456C83AB"/>
    <w:rsid w:val="45FA73B7"/>
    <w:rsid w:val="45FA9A57"/>
    <w:rsid w:val="45FC9D88"/>
    <w:rsid w:val="47B734F8"/>
    <w:rsid w:val="47B7DC65"/>
    <w:rsid w:val="4812AEAB"/>
    <w:rsid w:val="482589F9"/>
    <w:rsid w:val="483814ED"/>
    <w:rsid w:val="48816E99"/>
    <w:rsid w:val="4881AEBF"/>
    <w:rsid w:val="48CD16B6"/>
    <w:rsid w:val="48D6E971"/>
    <w:rsid w:val="48F100C4"/>
    <w:rsid w:val="4900EC21"/>
    <w:rsid w:val="4926740E"/>
    <w:rsid w:val="49291BC6"/>
    <w:rsid w:val="495EFF5D"/>
    <w:rsid w:val="4974E116"/>
    <w:rsid w:val="4996F462"/>
    <w:rsid w:val="49E10B03"/>
    <w:rsid w:val="4A061B81"/>
    <w:rsid w:val="4A5BFA36"/>
    <w:rsid w:val="4A63364F"/>
    <w:rsid w:val="4A804922"/>
    <w:rsid w:val="4A9CA4A8"/>
    <w:rsid w:val="4AA4A128"/>
    <w:rsid w:val="4AD35879"/>
    <w:rsid w:val="4B42AA14"/>
    <w:rsid w:val="4BF33E42"/>
    <w:rsid w:val="4BF8F881"/>
    <w:rsid w:val="4C544FFD"/>
    <w:rsid w:val="4C69AD5E"/>
    <w:rsid w:val="4C9861A8"/>
    <w:rsid w:val="4CBD5854"/>
    <w:rsid w:val="4CC1EB23"/>
    <w:rsid w:val="4CEC134F"/>
    <w:rsid w:val="4CF0AA53"/>
    <w:rsid w:val="4D855188"/>
    <w:rsid w:val="4DFE9288"/>
    <w:rsid w:val="4E1F7B8A"/>
    <w:rsid w:val="4E430B94"/>
    <w:rsid w:val="4E4C53C1"/>
    <w:rsid w:val="4E500ADF"/>
    <w:rsid w:val="4E8CC118"/>
    <w:rsid w:val="4EFC4F59"/>
    <w:rsid w:val="4F56FB30"/>
    <w:rsid w:val="4FBFC9CA"/>
    <w:rsid w:val="4FECC580"/>
    <w:rsid w:val="4FFF0988"/>
    <w:rsid w:val="50061796"/>
    <w:rsid w:val="50096D1A"/>
    <w:rsid w:val="501584F8"/>
    <w:rsid w:val="50419056"/>
    <w:rsid w:val="506F80D0"/>
    <w:rsid w:val="50826216"/>
    <w:rsid w:val="50A29EC9"/>
    <w:rsid w:val="50CBE336"/>
    <w:rsid w:val="50FEF022"/>
    <w:rsid w:val="5118F90F"/>
    <w:rsid w:val="5140920C"/>
    <w:rsid w:val="51A8B9F5"/>
    <w:rsid w:val="51D10869"/>
    <w:rsid w:val="51DBA326"/>
    <w:rsid w:val="51EC093F"/>
    <w:rsid w:val="51F22978"/>
    <w:rsid w:val="52173FE1"/>
    <w:rsid w:val="5217BAD5"/>
    <w:rsid w:val="52207C1E"/>
    <w:rsid w:val="5238DF13"/>
    <w:rsid w:val="52E0ECC0"/>
    <w:rsid w:val="530DD3A2"/>
    <w:rsid w:val="5339C0E8"/>
    <w:rsid w:val="5347C2B5"/>
    <w:rsid w:val="538B4BCA"/>
    <w:rsid w:val="53CBD84C"/>
    <w:rsid w:val="5419D86C"/>
    <w:rsid w:val="541DF441"/>
    <w:rsid w:val="54220FC0"/>
    <w:rsid w:val="544A8FB5"/>
    <w:rsid w:val="545789B1"/>
    <w:rsid w:val="545C38C2"/>
    <w:rsid w:val="54870009"/>
    <w:rsid w:val="54CC68E9"/>
    <w:rsid w:val="54CF9E6C"/>
    <w:rsid w:val="54F612B6"/>
    <w:rsid w:val="55242382"/>
    <w:rsid w:val="5579D31B"/>
    <w:rsid w:val="55A3FC70"/>
    <w:rsid w:val="55B2397B"/>
    <w:rsid w:val="55DC6E6E"/>
    <w:rsid w:val="55DEA108"/>
    <w:rsid w:val="55E6DCE5"/>
    <w:rsid w:val="561C6DC0"/>
    <w:rsid w:val="565EE57A"/>
    <w:rsid w:val="565F43CE"/>
    <w:rsid w:val="5666EA63"/>
    <w:rsid w:val="56A1BD6F"/>
    <w:rsid w:val="56D761F7"/>
    <w:rsid w:val="57278427"/>
    <w:rsid w:val="57A0F33C"/>
    <w:rsid w:val="57DE3101"/>
    <w:rsid w:val="5802674F"/>
    <w:rsid w:val="58088CAD"/>
    <w:rsid w:val="583C6188"/>
    <w:rsid w:val="58403835"/>
    <w:rsid w:val="58596FC1"/>
    <w:rsid w:val="586EA959"/>
    <w:rsid w:val="58ADA540"/>
    <w:rsid w:val="58B16025"/>
    <w:rsid w:val="58B9F9AD"/>
    <w:rsid w:val="58CEC691"/>
    <w:rsid w:val="58E1963F"/>
    <w:rsid w:val="58EEF51E"/>
    <w:rsid w:val="5A03DFAF"/>
    <w:rsid w:val="5A70EAB9"/>
    <w:rsid w:val="5AEBF9A8"/>
    <w:rsid w:val="5B0CAC87"/>
    <w:rsid w:val="5B14A882"/>
    <w:rsid w:val="5BB1E4CB"/>
    <w:rsid w:val="5BE96B41"/>
    <w:rsid w:val="5BEA6D30"/>
    <w:rsid w:val="5C0F60E4"/>
    <w:rsid w:val="5C1AE4C8"/>
    <w:rsid w:val="5C398458"/>
    <w:rsid w:val="5C47A21F"/>
    <w:rsid w:val="5C497770"/>
    <w:rsid w:val="5C7A2ADE"/>
    <w:rsid w:val="5D08F29E"/>
    <w:rsid w:val="5D374981"/>
    <w:rsid w:val="5D41918E"/>
    <w:rsid w:val="5D56AED6"/>
    <w:rsid w:val="5D791FE5"/>
    <w:rsid w:val="5E017ECB"/>
    <w:rsid w:val="5E4D93ED"/>
    <w:rsid w:val="5EB5C447"/>
    <w:rsid w:val="5EF08F11"/>
    <w:rsid w:val="5F62DD20"/>
    <w:rsid w:val="5F65F82C"/>
    <w:rsid w:val="5F81721D"/>
    <w:rsid w:val="5F84DB30"/>
    <w:rsid w:val="5FE0429E"/>
    <w:rsid w:val="6023BB6A"/>
    <w:rsid w:val="6029626A"/>
    <w:rsid w:val="602E6980"/>
    <w:rsid w:val="6045EF99"/>
    <w:rsid w:val="6049A288"/>
    <w:rsid w:val="60625F61"/>
    <w:rsid w:val="6086C3FA"/>
    <w:rsid w:val="609EDA7C"/>
    <w:rsid w:val="60B222E7"/>
    <w:rsid w:val="60C746AA"/>
    <w:rsid w:val="6101F108"/>
    <w:rsid w:val="61262618"/>
    <w:rsid w:val="61695E69"/>
    <w:rsid w:val="61CD874A"/>
    <w:rsid w:val="6223A16D"/>
    <w:rsid w:val="6278F0EC"/>
    <w:rsid w:val="629845F8"/>
    <w:rsid w:val="62A62335"/>
    <w:rsid w:val="62AF756C"/>
    <w:rsid w:val="62E44E2C"/>
    <w:rsid w:val="62F63B63"/>
    <w:rsid w:val="62F7FD14"/>
    <w:rsid w:val="63209BD4"/>
    <w:rsid w:val="634E729D"/>
    <w:rsid w:val="63515D22"/>
    <w:rsid w:val="63BD3CA5"/>
    <w:rsid w:val="64644CD7"/>
    <w:rsid w:val="646DCAF7"/>
    <w:rsid w:val="6482FBDA"/>
    <w:rsid w:val="64A0FCC2"/>
    <w:rsid w:val="650879C5"/>
    <w:rsid w:val="654CEA03"/>
    <w:rsid w:val="657515E2"/>
    <w:rsid w:val="65AB814B"/>
    <w:rsid w:val="65BB88EE"/>
    <w:rsid w:val="664BDADC"/>
    <w:rsid w:val="668168F8"/>
    <w:rsid w:val="66925ECB"/>
    <w:rsid w:val="66A8C427"/>
    <w:rsid w:val="66FB4142"/>
    <w:rsid w:val="6706151F"/>
    <w:rsid w:val="674F9A47"/>
    <w:rsid w:val="676F6861"/>
    <w:rsid w:val="67B269AF"/>
    <w:rsid w:val="67D4BD52"/>
    <w:rsid w:val="67DB4187"/>
    <w:rsid w:val="68281994"/>
    <w:rsid w:val="6850647F"/>
    <w:rsid w:val="68593E62"/>
    <w:rsid w:val="68D84184"/>
    <w:rsid w:val="68EAF8D2"/>
    <w:rsid w:val="68ED9D04"/>
    <w:rsid w:val="69067B86"/>
    <w:rsid w:val="69435B5C"/>
    <w:rsid w:val="699C400F"/>
    <w:rsid w:val="69A5AFE1"/>
    <w:rsid w:val="69EACCD1"/>
    <w:rsid w:val="69F50EC3"/>
    <w:rsid w:val="6A061D6D"/>
    <w:rsid w:val="6A204EEE"/>
    <w:rsid w:val="6A3ADD9E"/>
    <w:rsid w:val="6A47D2FF"/>
    <w:rsid w:val="6AF0C460"/>
    <w:rsid w:val="6AFFA7B4"/>
    <w:rsid w:val="6B5B1C83"/>
    <w:rsid w:val="6B82482B"/>
    <w:rsid w:val="6BA2EBDC"/>
    <w:rsid w:val="6BA34524"/>
    <w:rsid w:val="6BA8A2DC"/>
    <w:rsid w:val="6BC1F6C9"/>
    <w:rsid w:val="6BE42AFF"/>
    <w:rsid w:val="6BF45673"/>
    <w:rsid w:val="6C34CD1F"/>
    <w:rsid w:val="6C92E9C3"/>
    <w:rsid w:val="6C9A7EE7"/>
    <w:rsid w:val="6CDD6349"/>
    <w:rsid w:val="6D17F708"/>
    <w:rsid w:val="6D4EDD99"/>
    <w:rsid w:val="6D59C45A"/>
    <w:rsid w:val="6DB4D6FB"/>
    <w:rsid w:val="6DD3873C"/>
    <w:rsid w:val="6DE4DFCD"/>
    <w:rsid w:val="6E2CEEE6"/>
    <w:rsid w:val="6E31A1D5"/>
    <w:rsid w:val="6E33B835"/>
    <w:rsid w:val="6E625B1E"/>
    <w:rsid w:val="6E67FC9B"/>
    <w:rsid w:val="6EBB193C"/>
    <w:rsid w:val="6ECB6D7D"/>
    <w:rsid w:val="6F470E2B"/>
    <w:rsid w:val="6FAAADA4"/>
    <w:rsid w:val="6FDA6BEB"/>
    <w:rsid w:val="7011CEB0"/>
    <w:rsid w:val="7013E9E1"/>
    <w:rsid w:val="70220659"/>
    <w:rsid w:val="7022621B"/>
    <w:rsid w:val="70645047"/>
    <w:rsid w:val="70B46487"/>
    <w:rsid w:val="70D242F7"/>
    <w:rsid w:val="710FEFF2"/>
    <w:rsid w:val="712C0AEA"/>
    <w:rsid w:val="71756726"/>
    <w:rsid w:val="71832CCC"/>
    <w:rsid w:val="71A11A63"/>
    <w:rsid w:val="71CB8C3A"/>
    <w:rsid w:val="71E6F84B"/>
    <w:rsid w:val="720CF967"/>
    <w:rsid w:val="720DB222"/>
    <w:rsid w:val="72449568"/>
    <w:rsid w:val="727F3C4A"/>
    <w:rsid w:val="72930A12"/>
    <w:rsid w:val="7329B9C6"/>
    <w:rsid w:val="735FFE03"/>
    <w:rsid w:val="738792DE"/>
    <w:rsid w:val="738E834A"/>
    <w:rsid w:val="73C64A23"/>
    <w:rsid w:val="741116AD"/>
    <w:rsid w:val="7423A35F"/>
    <w:rsid w:val="7454EBA6"/>
    <w:rsid w:val="7474E2C7"/>
    <w:rsid w:val="74FA54CD"/>
    <w:rsid w:val="75024703"/>
    <w:rsid w:val="7535F733"/>
    <w:rsid w:val="75BED435"/>
    <w:rsid w:val="7607C199"/>
    <w:rsid w:val="7635DCEA"/>
    <w:rsid w:val="76589E93"/>
    <w:rsid w:val="76DECDEB"/>
    <w:rsid w:val="77078409"/>
    <w:rsid w:val="77085089"/>
    <w:rsid w:val="773E5D18"/>
    <w:rsid w:val="7747BC50"/>
    <w:rsid w:val="7747E5BD"/>
    <w:rsid w:val="77581FB7"/>
    <w:rsid w:val="777031C1"/>
    <w:rsid w:val="77B725E2"/>
    <w:rsid w:val="77ECBE63"/>
    <w:rsid w:val="77EF9B29"/>
    <w:rsid w:val="78357DF5"/>
    <w:rsid w:val="78C17498"/>
    <w:rsid w:val="78E63AC4"/>
    <w:rsid w:val="791D5347"/>
    <w:rsid w:val="791D8D88"/>
    <w:rsid w:val="7933E99E"/>
    <w:rsid w:val="7939AA7A"/>
    <w:rsid w:val="793FAFAF"/>
    <w:rsid w:val="79826EC7"/>
    <w:rsid w:val="798CB1A0"/>
    <w:rsid w:val="79B0AE83"/>
    <w:rsid w:val="79B6B43F"/>
    <w:rsid w:val="79BAF66A"/>
    <w:rsid w:val="7A513FB3"/>
    <w:rsid w:val="7A792132"/>
    <w:rsid w:val="7A8205CB"/>
    <w:rsid w:val="7A90F876"/>
    <w:rsid w:val="7A91F99B"/>
    <w:rsid w:val="7AC522B2"/>
    <w:rsid w:val="7AF10AE9"/>
    <w:rsid w:val="7B1CBDFC"/>
    <w:rsid w:val="7B4B696B"/>
    <w:rsid w:val="7B7F9CE5"/>
    <w:rsid w:val="7BAECB76"/>
    <w:rsid w:val="7BB4C73D"/>
    <w:rsid w:val="7BD55618"/>
    <w:rsid w:val="7BDEB8FD"/>
    <w:rsid w:val="7C74DD14"/>
    <w:rsid w:val="7C9C930E"/>
    <w:rsid w:val="7D1C7A42"/>
    <w:rsid w:val="7D231E37"/>
    <w:rsid w:val="7D77B367"/>
    <w:rsid w:val="7DAA6706"/>
    <w:rsid w:val="7DB5B865"/>
    <w:rsid w:val="7E197CE2"/>
    <w:rsid w:val="7E5F9E7A"/>
    <w:rsid w:val="7E666461"/>
    <w:rsid w:val="7ED8FD4B"/>
    <w:rsid w:val="7F132224"/>
    <w:rsid w:val="7F58D9F0"/>
    <w:rsid w:val="7F5BB47F"/>
    <w:rsid w:val="7F5FB65B"/>
    <w:rsid w:val="7F732A6B"/>
    <w:rsid w:val="7FACF5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31181B"/>
  <w15:chartTrackingRefBased/>
  <w15:docId w15:val="{0CA256B8-59F4-42E5-A633-3119C0B8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07F"/>
  </w:style>
  <w:style w:type="paragraph" w:styleId="Heading1">
    <w:name w:val="heading 1"/>
    <w:basedOn w:val="Normal"/>
    <w:next w:val="Normal"/>
    <w:link w:val="Heading1Char"/>
    <w:uiPriority w:val="9"/>
    <w:qFormat/>
    <w:rsid w:val="0003407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03407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3407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03407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03407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03407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03407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03407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03407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07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03407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3407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03407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03407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03407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03407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03407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03407F"/>
    <w:rPr>
      <w:rFonts w:asciiTheme="majorHAnsi" w:eastAsiaTheme="majorEastAsia" w:hAnsiTheme="majorHAnsi" w:cstheme="majorBidi"/>
      <w:i/>
      <w:iCs/>
      <w:color w:val="1F4E79" w:themeColor="accent1" w:themeShade="80"/>
    </w:rPr>
  </w:style>
  <w:style w:type="character" w:customStyle="1" w:styleId="Marker">
    <w:name w:val="Marker"/>
    <w:basedOn w:val="DefaultParagraphFont"/>
    <w:rsid w:val="00A44A15"/>
    <w:rPr>
      <w:color w:val="0000FF"/>
      <w:shd w:val="clear" w:color="auto" w:fill="auto"/>
    </w:rPr>
  </w:style>
  <w:style w:type="paragraph" w:customStyle="1" w:styleId="Pagedecouverture">
    <w:name w:val="Page de couverture"/>
    <w:basedOn w:val="Normal"/>
    <w:next w:val="Normal"/>
    <w:rsid w:val="00A44A15"/>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A44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A15"/>
    <w:rPr>
      <w:lang w:val="en-GB"/>
    </w:rPr>
  </w:style>
  <w:style w:type="paragraph" w:styleId="Footer">
    <w:name w:val="footer"/>
    <w:basedOn w:val="Normal"/>
    <w:link w:val="FooterChar"/>
    <w:uiPriority w:val="99"/>
    <w:unhideWhenUsed/>
    <w:rsid w:val="00A44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A15"/>
    <w:rPr>
      <w:lang w:val="en-GB"/>
    </w:rPr>
  </w:style>
  <w:style w:type="paragraph" w:customStyle="1" w:styleId="FooterCoverPage">
    <w:name w:val="Footer Cover Page"/>
    <w:basedOn w:val="Normal"/>
    <w:link w:val="FooterCoverPageChar"/>
    <w:rsid w:val="00A44A1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A44A15"/>
    <w:rPr>
      <w:rFonts w:ascii="Times New Roman" w:hAnsi="Times New Roman" w:cs="Times New Roman"/>
      <w:sz w:val="24"/>
    </w:rPr>
  </w:style>
  <w:style w:type="paragraph" w:customStyle="1" w:styleId="FooterSensitivity">
    <w:name w:val="Footer Sensitivity"/>
    <w:basedOn w:val="Normal"/>
    <w:link w:val="FooterSensitivityChar"/>
    <w:rsid w:val="00A44A1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A44A15"/>
    <w:rPr>
      <w:rFonts w:ascii="Times New Roman" w:hAnsi="Times New Roman" w:cs="Times New Roman"/>
      <w:b/>
      <w:sz w:val="32"/>
    </w:rPr>
  </w:style>
  <w:style w:type="paragraph" w:customStyle="1" w:styleId="HeaderCoverPage">
    <w:name w:val="Header Cover Page"/>
    <w:basedOn w:val="Normal"/>
    <w:link w:val="HeaderCoverPageChar"/>
    <w:rsid w:val="00A44A1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A44A15"/>
    <w:rPr>
      <w:rFonts w:ascii="Times New Roman" w:hAnsi="Times New Roman" w:cs="Times New Roman"/>
      <w:sz w:val="24"/>
    </w:rPr>
  </w:style>
  <w:style w:type="paragraph" w:customStyle="1" w:styleId="HeaderSensitivity">
    <w:name w:val="Header Sensitivity"/>
    <w:basedOn w:val="Normal"/>
    <w:link w:val="HeaderSensitivityChar"/>
    <w:rsid w:val="00A44A1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A44A15"/>
    <w:rPr>
      <w:rFonts w:ascii="Times New Roman" w:hAnsi="Times New Roman" w:cs="Times New Roman"/>
      <w:b/>
      <w:sz w:val="32"/>
    </w:rPr>
  </w:style>
  <w:style w:type="paragraph" w:customStyle="1" w:styleId="HeaderSensitivityRight">
    <w:name w:val="Header Sensitivity Right"/>
    <w:basedOn w:val="Normal"/>
    <w:link w:val="HeaderSensitivityRightChar"/>
    <w:rsid w:val="00A44A1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A44A15"/>
    <w:rPr>
      <w:rFonts w:ascii="Times New Roman" w:hAnsi="Times New Roman" w:cs="Times New Roman"/>
      <w:sz w:val="28"/>
    </w:rPr>
  </w:style>
  <w:style w:type="character" w:styleId="Hyperlink">
    <w:name w:val="Hyperlink"/>
    <w:basedOn w:val="DefaultParagraphFont"/>
    <w:uiPriority w:val="99"/>
    <w:rsid w:val="00A44A15"/>
    <w:rPr>
      <w:color w:val="0000FF"/>
      <w:u w:val="single"/>
    </w:rPr>
  </w:style>
  <w:style w:type="paragraph" w:customStyle="1" w:styleId="Text1">
    <w:name w:val="Text 1"/>
    <w:basedOn w:val="Normal"/>
    <w:link w:val="Text1Char"/>
    <w:rsid w:val="00A44A15"/>
    <w:pPr>
      <w:spacing w:before="120" w:after="120" w:line="240" w:lineRule="auto"/>
      <w:ind w:left="850"/>
      <w:jc w:val="both"/>
    </w:pPr>
    <w:rPr>
      <w:rFonts w:ascii="Times New Roman" w:eastAsia="MS PGothic" w:hAnsi="Times New Roman" w:cs="Times New Roman"/>
      <w:noProof/>
      <w:sz w:val="24"/>
      <w:szCs w:val="24"/>
    </w:rPr>
  </w:style>
  <w:style w:type="paragraph" w:customStyle="1" w:styleId="Annexetitre">
    <w:name w:val="Annexe titre"/>
    <w:basedOn w:val="Normal"/>
    <w:next w:val="Normal"/>
    <w:rsid w:val="00A44A15"/>
    <w:pPr>
      <w:spacing w:before="120" w:after="120" w:line="240" w:lineRule="auto"/>
      <w:jc w:val="center"/>
    </w:pPr>
    <w:rPr>
      <w:rFonts w:ascii="Times New Roman" w:eastAsia="Times New Roman" w:hAnsi="Times New Roman" w:cs="Times New Roman"/>
      <w:b/>
      <w:sz w:val="24"/>
      <w:szCs w:val="24"/>
      <w:u w:val="single"/>
    </w:rPr>
  </w:style>
  <w:style w:type="paragraph" w:styleId="BalloonText">
    <w:name w:val="Balloon Text"/>
    <w:basedOn w:val="Normal"/>
    <w:link w:val="BalloonTextChar"/>
    <w:uiPriority w:val="99"/>
    <w:semiHidden/>
    <w:rsid w:val="00A44A1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A44A15"/>
    <w:rPr>
      <w:rFonts w:ascii="Tahoma" w:eastAsia="Times New Roman" w:hAnsi="Tahoma" w:cs="Tahoma"/>
      <w:sz w:val="16"/>
      <w:szCs w:val="16"/>
      <w:lang w:val="en-GB" w:eastAsia="en-GB"/>
    </w:rPr>
  </w:style>
  <w:style w:type="paragraph" w:styleId="FootnoteText">
    <w:name w:val="footnote text"/>
    <w:basedOn w:val="Normal"/>
    <w:link w:val="FootnoteTextChar"/>
    <w:rsid w:val="00A44A15"/>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44A15"/>
    <w:rPr>
      <w:rFonts w:ascii="Times New Roman" w:eastAsia="Times New Roman" w:hAnsi="Times New Roman" w:cs="Times New Roman"/>
      <w:sz w:val="20"/>
      <w:szCs w:val="20"/>
      <w:lang w:val="en-GB"/>
    </w:rPr>
  </w:style>
  <w:style w:type="paragraph" w:styleId="TOC1">
    <w:name w:val="toc 1"/>
    <w:basedOn w:val="Normal"/>
    <w:next w:val="Normal"/>
    <w:uiPriority w:val="39"/>
    <w:rsid w:val="00A44A15"/>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rsid w:val="00A44A15"/>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rsid w:val="00A44A15"/>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uiPriority w:val="39"/>
    <w:rsid w:val="00A44A15"/>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rsid w:val="00A44A15"/>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uiPriority w:val="39"/>
    <w:rsid w:val="00A44A15"/>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uiPriority w:val="39"/>
    <w:rsid w:val="00A44A15"/>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uiPriority w:val="39"/>
    <w:rsid w:val="00A44A15"/>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rsid w:val="00A44A15"/>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rsid w:val="00A44A15"/>
    <w:pPr>
      <w:tabs>
        <w:tab w:val="center" w:pos="7285"/>
        <w:tab w:val="right" w:pos="14003"/>
      </w:tabs>
      <w:spacing w:after="120" w:line="240" w:lineRule="auto"/>
      <w:jc w:val="both"/>
    </w:pPr>
    <w:rPr>
      <w:rFonts w:ascii="Times New Roman" w:eastAsia="Times New Roman" w:hAnsi="Times New Roman" w:cs="Times New Roman"/>
      <w:sz w:val="24"/>
    </w:rPr>
  </w:style>
  <w:style w:type="paragraph" w:customStyle="1" w:styleId="FooterLandscape">
    <w:name w:val="FooterLandscape"/>
    <w:basedOn w:val="Normal"/>
    <w:rsid w:val="00A44A15"/>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rPr>
  </w:style>
  <w:style w:type="character" w:styleId="FootnoteReference">
    <w:name w:val="footnote reference"/>
    <w:basedOn w:val="DefaultParagraphFont"/>
    <w:rsid w:val="00A44A15"/>
    <w:rPr>
      <w:shd w:val="clear" w:color="auto" w:fill="auto"/>
      <w:vertAlign w:val="superscript"/>
    </w:rPr>
  </w:style>
  <w:style w:type="paragraph" w:customStyle="1" w:styleId="Text2">
    <w:name w:val="Text 2"/>
    <w:basedOn w:val="Normal"/>
    <w:rsid w:val="00A44A15"/>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rsid w:val="00A44A15"/>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rsid w:val="00A44A15"/>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rsid w:val="00A44A15"/>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rsid w:val="00A44A15"/>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rsid w:val="00A44A15"/>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rsid w:val="00A44A15"/>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rsid w:val="00A44A15"/>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rsid w:val="00A44A15"/>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rsid w:val="00A44A15"/>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rsid w:val="00A44A15"/>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rsid w:val="00A44A15"/>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rsid w:val="00A44A15"/>
    <w:pPr>
      <w:numPr>
        <w:numId w:val="4"/>
      </w:numPr>
    </w:pPr>
  </w:style>
  <w:style w:type="paragraph" w:customStyle="1" w:styleId="Tiret1">
    <w:name w:val="Tiret 1"/>
    <w:basedOn w:val="Point1"/>
    <w:rsid w:val="00A44A15"/>
    <w:pPr>
      <w:numPr>
        <w:numId w:val="5"/>
      </w:numPr>
    </w:pPr>
  </w:style>
  <w:style w:type="paragraph" w:customStyle="1" w:styleId="Tiret2">
    <w:name w:val="Tiret 2"/>
    <w:basedOn w:val="Point2"/>
    <w:rsid w:val="00A44A15"/>
    <w:pPr>
      <w:numPr>
        <w:numId w:val="6"/>
      </w:numPr>
    </w:pPr>
  </w:style>
  <w:style w:type="paragraph" w:customStyle="1" w:styleId="Tiret3">
    <w:name w:val="Tiret 3"/>
    <w:basedOn w:val="Point3"/>
    <w:rsid w:val="00A44A15"/>
    <w:pPr>
      <w:numPr>
        <w:numId w:val="7"/>
      </w:numPr>
    </w:pPr>
  </w:style>
  <w:style w:type="paragraph" w:customStyle="1" w:styleId="Tiret4">
    <w:name w:val="Tiret 4"/>
    <w:basedOn w:val="Point4"/>
    <w:rsid w:val="00A44A15"/>
    <w:pPr>
      <w:numPr>
        <w:numId w:val="8"/>
      </w:numPr>
    </w:pPr>
  </w:style>
  <w:style w:type="paragraph" w:customStyle="1" w:styleId="PointDouble0">
    <w:name w:val="PointDouble 0"/>
    <w:basedOn w:val="Normal"/>
    <w:rsid w:val="00A44A15"/>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rsid w:val="00A44A15"/>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rsid w:val="00A44A15"/>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rsid w:val="00A44A15"/>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rsid w:val="00A44A15"/>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rsid w:val="00A44A15"/>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rsid w:val="00A44A15"/>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rsid w:val="00A44A15"/>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rsid w:val="00A44A15"/>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rsid w:val="00A44A15"/>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rsid w:val="00A44A15"/>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rsid w:val="00A44A15"/>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rsid w:val="00A44A15"/>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rsid w:val="00A44A15"/>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rsid w:val="00A44A15"/>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rsid w:val="00A44A15"/>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rsid w:val="00A44A15"/>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rsid w:val="00A44A15"/>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rsid w:val="00A44A15"/>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rsid w:val="00A44A15"/>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rsid w:val="00A44A15"/>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rsid w:val="00A44A15"/>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rsid w:val="00A44A15"/>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rsid w:val="00A44A15"/>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rsid w:val="00A44A15"/>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rsid w:val="00A44A15"/>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rsid w:val="00A44A15"/>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sid w:val="00A44A15"/>
    <w:rPr>
      <w:color w:val="008000"/>
      <w:shd w:val="clear" w:color="auto" w:fill="auto"/>
    </w:rPr>
  </w:style>
  <w:style w:type="character" w:customStyle="1" w:styleId="Marker2">
    <w:name w:val="Marker2"/>
    <w:rsid w:val="00A44A15"/>
    <w:rPr>
      <w:color w:val="FF0000"/>
      <w:shd w:val="clear" w:color="auto" w:fill="auto"/>
    </w:rPr>
  </w:style>
  <w:style w:type="paragraph" w:styleId="TOCHeading">
    <w:name w:val="TOC Heading"/>
    <w:basedOn w:val="Heading1"/>
    <w:next w:val="Normal"/>
    <w:uiPriority w:val="39"/>
    <w:unhideWhenUsed/>
    <w:qFormat/>
    <w:rsid w:val="0003407F"/>
    <w:pPr>
      <w:outlineLvl w:val="9"/>
    </w:pPr>
  </w:style>
  <w:style w:type="paragraph" w:customStyle="1" w:styleId="Point0number">
    <w:name w:val="Point 0 (number)"/>
    <w:basedOn w:val="Normal"/>
    <w:rsid w:val="00A44A15"/>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rsid w:val="00A44A15"/>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rsid w:val="00A44A15"/>
    <w:pPr>
      <w:numPr>
        <w:ilvl w:val="4"/>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rsid w:val="00A44A15"/>
    <w:pPr>
      <w:numPr>
        <w:ilvl w:val="6"/>
        <w:numId w:val="1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rsid w:val="00A44A15"/>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rsid w:val="00A44A15"/>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rsid w:val="00A44A15"/>
    <w:pPr>
      <w:numPr>
        <w:ilvl w:val="5"/>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rsid w:val="00A44A15"/>
    <w:pPr>
      <w:numPr>
        <w:ilvl w:val="7"/>
        <w:numId w:val="1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rsid w:val="00A44A15"/>
    <w:pPr>
      <w:numPr>
        <w:ilvl w:val="8"/>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rsid w:val="00A44A15"/>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rsid w:val="00A44A15"/>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rsid w:val="00A44A15"/>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rsid w:val="00A44A15"/>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rsid w:val="00A44A15"/>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rsid w:val="00A44A15"/>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rsid w:val="00A44A15"/>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rsid w:val="00A44A15"/>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rsid w:val="00A44A15"/>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rsid w:val="00A44A15"/>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rsid w:val="00A44A15"/>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rsid w:val="00A44A15"/>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rsid w:val="00A44A15"/>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rsid w:val="00A44A15"/>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rsid w:val="00A44A15"/>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rsid w:val="00A44A15"/>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rsid w:val="00A44A15"/>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rsid w:val="00A44A15"/>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rsid w:val="00A44A15"/>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rsid w:val="00A44A15"/>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rsid w:val="00A44A15"/>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rsid w:val="00A44A15"/>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rsid w:val="00A44A15"/>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rsid w:val="00A44A15"/>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rsid w:val="00A44A15"/>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rsid w:val="00A44A15"/>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rsid w:val="00A44A15"/>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rsid w:val="00A44A15"/>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rsid w:val="00A44A15"/>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rsid w:val="00A44A15"/>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rsid w:val="00A44A15"/>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rsid w:val="00A44A15"/>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sid w:val="00A44A15"/>
    <w:rPr>
      <w:b/>
      <w:u w:val="single"/>
      <w:shd w:val="clear" w:color="auto" w:fill="auto"/>
    </w:rPr>
  </w:style>
  <w:style w:type="character" w:customStyle="1" w:styleId="Deleted">
    <w:name w:val="Deleted"/>
    <w:rsid w:val="00A44A15"/>
    <w:rPr>
      <w:strike/>
      <w:shd w:val="clear" w:color="auto" w:fill="auto"/>
    </w:rPr>
  </w:style>
  <w:style w:type="paragraph" w:customStyle="1" w:styleId="Address">
    <w:name w:val="Address"/>
    <w:basedOn w:val="Normal"/>
    <w:next w:val="Normal"/>
    <w:rsid w:val="00A44A15"/>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rsid w:val="00A44A15"/>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rsid w:val="00A44A15"/>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rsid w:val="00A44A15"/>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rsid w:val="00A44A15"/>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rsid w:val="00A44A15"/>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rsid w:val="00A44A15"/>
  </w:style>
  <w:style w:type="paragraph" w:customStyle="1" w:styleId="RfrenceinterinstitutionnellePagedecouverture">
    <w:name w:val="Référence interinstitutionnelle (Page de couverture)"/>
    <w:basedOn w:val="Rfrenceinterinstitutionnelle"/>
    <w:next w:val="Confidentialit"/>
    <w:rsid w:val="00A44A15"/>
  </w:style>
  <w:style w:type="paragraph" w:customStyle="1" w:styleId="Sous-titreobjetPagedecouverture">
    <w:name w:val="Sous-titre objet (Page de couverture)"/>
    <w:basedOn w:val="Sous-titreobjet"/>
    <w:rsid w:val="00A44A15"/>
  </w:style>
  <w:style w:type="paragraph" w:customStyle="1" w:styleId="StatutPagedecouverture">
    <w:name w:val="Statut (Page de couverture)"/>
    <w:basedOn w:val="Statut"/>
    <w:next w:val="TypedudocumentPagedecouverture"/>
    <w:rsid w:val="00A44A15"/>
  </w:style>
  <w:style w:type="paragraph" w:customStyle="1" w:styleId="TitreobjetPagedecouverture">
    <w:name w:val="Titre objet (Page de couverture)"/>
    <w:basedOn w:val="Titreobjet"/>
    <w:next w:val="Sous-titreobjetPagedecouverture"/>
    <w:rsid w:val="00A44A15"/>
  </w:style>
  <w:style w:type="paragraph" w:customStyle="1" w:styleId="TypedudocumentPagedecouverture">
    <w:name w:val="Type du document (Page de couverture)"/>
    <w:basedOn w:val="Typedudocument"/>
    <w:next w:val="TitreobjetPagedecouverture"/>
    <w:rsid w:val="00A44A15"/>
  </w:style>
  <w:style w:type="paragraph" w:customStyle="1" w:styleId="Volume">
    <w:name w:val="Volume"/>
    <w:basedOn w:val="Normal"/>
    <w:next w:val="Confidentialit"/>
    <w:rsid w:val="00A44A15"/>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rsid w:val="00A44A15"/>
    <w:pPr>
      <w:spacing w:after="240"/>
    </w:pPr>
  </w:style>
  <w:style w:type="paragraph" w:customStyle="1" w:styleId="Accompagnant">
    <w:name w:val="Accompagnant"/>
    <w:basedOn w:val="Normal"/>
    <w:next w:val="Typeacteprincipal"/>
    <w:rsid w:val="00A44A15"/>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rsid w:val="00A44A15"/>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rsid w:val="00A44A15"/>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rsid w:val="00A44A15"/>
  </w:style>
  <w:style w:type="paragraph" w:customStyle="1" w:styleId="AccompagnantPagedecouverture">
    <w:name w:val="Accompagnant (Page de couverture)"/>
    <w:basedOn w:val="Accompagnant"/>
    <w:next w:val="TypeacteprincipalPagedecouverture"/>
    <w:rsid w:val="00A44A15"/>
  </w:style>
  <w:style w:type="paragraph" w:customStyle="1" w:styleId="TypeacteprincipalPagedecouverture">
    <w:name w:val="Type acte principal (Page de couverture)"/>
    <w:basedOn w:val="Typeacteprincipal"/>
    <w:next w:val="ObjetacteprincipalPagedecouverture"/>
    <w:rsid w:val="00A44A15"/>
  </w:style>
  <w:style w:type="paragraph" w:customStyle="1" w:styleId="ObjetacteprincipalPagedecouverture">
    <w:name w:val="Objet acte principal (Page de couverture)"/>
    <w:basedOn w:val="Objetacteprincipal"/>
    <w:next w:val="Rfrencecroise"/>
    <w:rsid w:val="00A44A15"/>
  </w:style>
  <w:style w:type="paragraph" w:customStyle="1" w:styleId="LanguesfaisantfoiPagedecouverture">
    <w:name w:val="Langues faisant foi (Page de couverture)"/>
    <w:basedOn w:val="Normal"/>
    <w:next w:val="Normal"/>
    <w:rsid w:val="00A44A15"/>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uiPriority w:val="99"/>
    <w:rsid w:val="00A44A15"/>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styleId="ListBullet2">
    <w:name w:val="List Bullet 2"/>
    <w:basedOn w:val="Normal"/>
    <w:uiPriority w:val="99"/>
    <w:rsid w:val="00A44A15"/>
    <w:pPr>
      <w:numPr>
        <w:numId w:val="25"/>
      </w:numPr>
      <w:spacing w:before="120" w:after="120" w:line="240" w:lineRule="auto"/>
      <w:jc w:val="both"/>
    </w:pPr>
    <w:rPr>
      <w:rFonts w:ascii="Times New Roman" w:eastAsia="Times New Roman" w:hAnsi="Times New Roman" w:cs="Times New Roman"/>
      <w:sz w:val="24"/>
      <w:szCs w:val="24"/>
      <w:lang w:eastAsia="de-DE"/>
    </w:rPr>
  </w:style>
  <w:style w:type="paragraph" w:styleId="ListBullet3">
    <w:name w:val="List Bullet 3"/>
    <w:basedOn w:val="Normal"/>
    <w:uiPriority w:val="99"/>
    <w:rsid w:val="00A44A15"/>
    <w:pPr>
      <w:numPr>
        <w:numId w:val="26"/>
      </w:numPr>
      <w:spacing w:before="120" w:after="120" w:line="240" w:lineRule="auto"/>
      <w:jc w:val="both"/>
    </w:pPr>
    <w:rPr>
      <w:rFonts w:ascii="Times New Roman" w:eastAsia="Times New Roman" w:hAnsi="Times New Roman" w:cs="Times New Roman"/>
      <w:sz w:val="24"/>
      <w:szCs w:val="24"/>
      <w:lang w:eastAsia="de-DE"/>
    </w:rPr>
  </w:style>
  <w:style w:type="paragraph" w:styleId="ListBullet4">
    <w:name w:val="List Bullet 4"/>
    <w:basedOn w:val="Normal"/>
    <w:uiPriority w:val="99"/>
    <w:rsid w:val="00A44A15"/>
    <w:pPr>
      <w:numPr>
        <w:numId w:val="27"/>
      </w:numPr>
      <w:spacing w:before="120" w:after="120" w:line="240" w:lineRule="auto"/>
      <w:jc w:val="both"/>
    </w:pPr>
    <w:rPr>
      <w:rFonts w:ascii="Times New Roman" w:eastAsia="Times New Roman" w:hAnsi="Times New Roman" w:cs="Times New Roman"/>
      <w:sz w:val="24"/>
      <w:szCs w:val="24"/>
      <w:lang w:eastAsia="de-DE"/>
    </w:rPr>
  </w:style>
  <w:style w:type="paragraph" w:styleId="ListNumber">
    <w:name w:val="List Number"/>
    <w:basedOn w:val="Normal"/>
    <w:uiPriority w:val="99"/>
    <w:rsid w:val="00A44A15"/>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styleId="ListNumber2">
    <w:name w:val="List Number 2"/>
    <w:basedOn w:val="Normal"/>
    <w:uiPriority w:val="99"/>
    <w:rsid w:val="00A44A15"/>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styleId="ListNumber3">
    <w:name w:val="List Number 3"/>
    <w:basedOn w:val="Normal"/>
    <w:uiPriority w:val="99"/>
    <w:rsid w:val="00A44A15"/>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styleId="ListNumber4">
    <w:name w:val="List Number 4"/>
    <w:basedOn w:val="Normal"/>
    <w:uiPriority w:val="99"/>
    <w:rsid w:val="00A44A15"/>
    <w:pPr>
      <w:numPr>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rsid w:val="00A44A15"/>
    <w:pPr>
      <w:numPr>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rsid w:val="00A44A15"/>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rsid w:val="00A44A15"/>
    <w:pPr>
      <w:numPr>
        <w:numId w:val="2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rsid w:val="00A44A15"/>
    <w:pPr>
      <w:numPr>
        <w:numId w:val="3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rsid w:val="00A44A15"/>
    <w:pPr>
      <w:numPr>
        <w:numId w:val="3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rsid w:val="00A44A15"/>
    <w:pPr>
      <w:numPr>
        <w:numId w:val="3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rsid w:val="00A44A15"/>
    <w:pPr>
      <w:numPr>
        <w:numId w:val="19"/>
      </w:numPr>
      <w:tabs>
        <w:tab w:val="clear" w:pos="1560"/>
        <w:tab w:val="num" w:pos="360"/>
      </w:tabs>
      <w:ind w:left="850" w:firstLine="0"/>
    </w:pPr>
    <w:rPr>
      <w:lang w:eastAsia="de-DE"/>
    </w:rPr>
  </w:style>
  <w:style w:type="paragraph" w:customStyle="1" w:styleId="ListNumberLevel2">
    <w:name w:val="List Number (Level 2)"/>
    <w:basedOn w:val="Normal"/>
    <w:rsid w:val="00A44A15"/>
    <w:pPr>
      <w:numPr>
        <w:ilvl w:val="1"/>
        <w:numId w:val="1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rsid w:val="00A44A15"/>
    <w:pPr>
      <w:numPr>
        <w:ilvl w:val="1"/>
        <w:numId w:val="19"/>
      </w:numPr>
      <w:tabs>
        <w:tab w:val="clear" w:pos="2268"/>
        <w:tab w:val="num" w:pos="360"/>
      </w:tabs>
      <w:ind w:left="850" w:firstLine="0"/>
    </w:pPr>
    <w:rPr>
      <w:lang w:eastAsia="de-DE"/>
    </w:rPr>
  </w:style>
  <w:style w:type="paragraph" w:customStyle="1" w:styleId="ListNumber2Level2">
    <w:name w:val="List Number 2 (Level 2)"/>
    <w:basedOn w:val="Text2"/>
    <w:rsid w:val="00A44A15"/>
    <w:pPr>
      <w:numPr>
        <w:ilvl w:val="1"/>
        <w:numId w:val="20"/>
      </w:numPr>
    </w:pPr>
    <w:rPr>
      <w:lang w:eastAsia="de-DE"/>
    </w:rPr>
  </w:style>
  <w:style w:type="paragraph" w:customStyle="1" w:styleId="ListNumber3Level2">
    <w:name w:val="List Number 3 (Level 2)"/>
    <w:basedOn w:val="Text3"/>
    <w:rsid w:val="00A44A15"/>
    <w:pPr>
      <w:numPr>
        <w:ilvl w:val="1"/>
        <w:numId w:val="21"/>
      </w:numPr>
    </w:pPr>
    <w:rPr>
      <w:lang w:eastAsia="de-DE"/>
    </w:rPr>
  </w:style>
  <w:style w:type="paragraph" w:customStyle="1" w:styleId="ListNumber4Level2">
    <w:name w:val="List Number 4 (Level 2)"/>
    <w:basedOn w:val="Text4"/>
    <w:rsid w:val="00A44A15"/>
    <w:pPr>
      <w:numPr>
        <w:ilvl w:val="1"/>
        <w:numId w:val="22"/>
      </w:numPr>
    </w:pPr>
    <w:rPr>
      <w:lang w:eastAsia="de-DE"/>
    </w:rPr>
  </w:style>
  <w:style w:type="paragraph" w:customStyle="1" w:styleId="ListNumberLevel3">
    <w:name w:val="List Number (Level 3)"/>
    <w:basedOn w:val="Normal"/>
    <w:rsid w:val="00A44A15"/>
    <w:pPr>
      <w:numPr>
        <w:ilvl w:val="2"/>
        <w:numId w:val="1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rsid w:val="00A44A15"/>
    <w:pPr>
      <w:numPr>
        <w:ilvl w:val="2"/>
        <w:numId w:val="19"/>
      </w:numPr>
      <w:tabs>
        <w:tab w:val="clear" w:pos="2977"/>
        <w:tab w:val="num" w:pos="360"/>
      </w:tabs>
      <w:ind w:left="850" w:firstLine="0"/>
    </w:pPr>
    <w:rPr>
      <w:lang w:eastAsia="de-DE"/>
    </w:rPr>
  </w:style>
  <w:style w:type="paragraph" w:customStyle="1" w:styleId="ListNumber2Level3">
    <w:name w:val="List Number 2 (Level 3)"/>
    <w:basedOn w:val="Text2"/>
    <w:rsid w:val="00A44A15"/>
    <w:pPr>
      <w:numPr>
        <w:ilvl w:val="2"/>
        <w:numId w:val="20"/>
      </w:numPr>
    </w:pPr>
    <w:rPr>
      <w:lang w:eastAsia="de-DE"/>
    </w:rPr>
  </w:style>
  <w:style w:type="paragraph" w:customStyle="1" w:styleId="ListNumber3Level3">
    <w:name w:val="List Number 3 (Level 3)"/>
    <w:basedOn w:val="Text3"/>
    <w:rsid w:val="00A44A15"/>
    <w:pPr>
      <w:numPr>
        <w:ilvl w:val="2"/>
        <w:numId w:val="21"/>
      </w:numPr>
    </w:pPr>
    <w:rPr>
      <w:lang w:eastAsia="de-DE"/>
    </w:rPr>
  </w:style>
  <w:style w:type="paragraph" w:customStyle="1" w:styleId="ListNumber4Level3">
    <w:name w:val="List Number 4 (Level 3)"/>
    <w:basedOn w:val="Text4"/>
    <w:rsid w:val="00A44A15"/>
    <w:pPr>
      <w:numPr>
        <w:ilvl w:val="2"/>
        <w:numId w:val="22"/>
      </w:numPr>
    </w:pPr>
    <w:rPr>
      <w:lang w:eastAsia="de-DE"/>
    </w:rPr>
  </w:style>
  <w:style w:type="paragraph" w:customStyle="1" w:styleId="ListNumberLevel4">
    <w:name w:val="List Number (Level 4)"/>
    <w:basedOn w:val="Normal"/>
    <w:rsid w:val="00A44A15"/>
    <w:pPr>
      <w:numPr>
        <w:ilvl w:val="3"/>
        <w:numId w:val="1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rsid w:val="00A44A15"/>
    <w:pPr>
      <w:numPr>
        <w:ilvl w:val="3"/>
        <w:numId w:val="19"/>
      </w:numPr>
      <w:tabs>
        <w:tab w:val="clear" w:pos="3686"/>
        <w:tab w:val="num" w:pos="360"/>
      </w:tabs>
      <w:ind w:left="850" w:firstLine="0"/>
    </w:pPr>
    <w:rPr>
      <w:lang w:eastAsia="de-DE"/>
    </w:rPr>
  </w:style>
  <w:style w:type="paragraph" w:customStyle="1" w:styleId="ListNumber2Level4">
    <w:name w:val="List Number 2 (Level 4)"/>
    <w:basedOn w:val="Text2"/>
    <w:rsid w:val="00A44A15"/>
    <w:pPr>
      <w:numPr>
        <w:ilvl w:val="3"/>
        <w:numId w:val="20"/>
      </w:numPr>
    </w:pPr>
    <w:rPr>
      <w:lang w:eastAsia="de-DE"/>
    </w:rPr>
  </w:style>
  <w:style w:type="paragraph" w:customStyle="1" w:styleId="ListNumber3Level4">
    <w:name w:val="List Number 3 (Level 4)"/>
    <w:basedOn w:val="Text3"/>
    <w:rsid w:val="00A44A15"/>
    <w:pPr>
      <w:numPr>
        <w:ilvl w:val="3"/>
        <w:numId w:val="21"/>
      </w:numPr>
    </w:pPr>
    <w:rPr>
      <w:lang w:eastAsia="de-DE"/>
    </w:rPr>
  </w:style>
  <w:style w:type="paragraph" w:customStyle="1" w:styleId="ListNumber4Level4">
    <w:name w:val="List Number 4 (Level 4)"/>
    <w:basedOn w:val="Text4"/>
    <w:rsid w:val="00A44A15"/>
    <w:pPr>
      <w:numPr>
        <w:ilvl w:val="3"/>
        <w:numId w:val="22"/>
      </w:numPr>
    </w:pPr>
    <w:rPr>
      <w:lang w:eastAsia="de-DE"/>
    </w:rPr>
  </w:style>
  <w:style w:type="paragraph" w:customStyle="1" w:styleId="Rfrenceinterinstitutionelleprliminaire">
    <w:name w:val="Référence interinstitutionelle (préliminaire)"/>
    <w:basedOn w:val="Normal"/>
    <w:next w:val="Normal"/>
    <w:rsid w:val="00A44A15"/>
    <w:pPr>
      <w:spacing w:after="0" w:line="240" w:lineRule="auto"/>
      <w:ind w:left="5103"/>
    </w:pPr>
    <w:rPr>
      <w:rFonts w:ascii="Times New Roman" w:eastAsia="Times New Roman" w:hAnsi="Times New Roman" w:cs="Times New Roman"/>
      <w:sz w:val="24"/>
      <w:szCs w:val="24"/>
      <w:lang w:eastAsia="de-DE"/>
    </w:rPr>
  </w:style>
  <w:style w:type="paragraph" w:customStyle="1" w:styleId="Sous-titreobjetprliminaire">
    <w:name w:val="Sous-titre objet (préliminaire)"/>
    <w:basedOn w:val="Normal"/>
    <w:rsid w:val="00A44A15"/>
    <w:pPr>
      <w:spacing w:after="0" w:line="240" w:lineRule="auto"/>
      <w:jc w:val="center"/>
    </w:pPr>
    <w:rPr>
      <w:rFonts w:ascii="Times New Roman" w:eastAsia="Times New Roman" w:hAnsi="Times New Roman" w:cs="Times New Roman"/>
      <w:b/>
      <w:sz w:val="24"/>
      <w:szCs w:val="24"/>
      <w:lang w:eastAsia="de-DE"/>
    </w:rPr>
  </w:style>
  <w:style w:type="paragraph" w:customStyle="1" w:styleId="Statutprliminaire">
    <w:name w:val="Statut (préliminaire)"/>
    <w:basedOn w:val="Normal"/>
    <w:next w:val="Normal"/>
    <w:rsid w:val="00A44A15"/>
    <w:pPr>
      <w:spacing w:before="360" w:after="0" w:line="240" w:lineRule="auto"/>
      <w:jc w:val="center"/>
    </w:pPr>
    <w:rPr>
      <w:rFonts w:ascii="Times New Roman" w:eastAsia="Times New Roman" w:hAnsi="Times New Roman" w:cs="Times New Roman"/>
      <w:sz w:val="24"/>
      <w:szCs w:val="24"/>
      <w:lang w:eastAsia="de-DE"/>
    </w:rPr>
  </w:style>
  <w:style w:type="paragraph" w:customStyle="1" w:styleId="Titreobjetprliminaire">
    <w:name w:val="Titre objet (préliminaire)"/>
    <w:basedOn w:val="Normal"/>
    <w:next w:val="Normal"/>
    <w:rsid w:val="00A44A15"/>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Typedudocumentprliminaire">
    <w:name w:val="Type du document (préliminaire)"/>
    <w:basedOn w:val="Normal"/>
    <w:next w:val="Normal"/>
    <w:rsid w:val="00A44A15"/>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FichedimpactPMEtitre">
    <w:name w:val="Fiche d'impact PME titre"/>
    <w:basedOn w:val="Normal"/>
    <w:next w:val="Normal"/>
    <w:rsid w:val="00A44A15"/>
    <w:pPr>
      <w:spacing w:before="120" w:after="120" w:line="240" w:lineRule="auto"/>
      <w:jc w:val="center"/>
    </w:pPr>
    <w:rPr>
      <w:rFonts w:ascii="Times New Roman" w:eastAsia="Times New Roman" w:hAnsi="Times New Roman" w:cs="Times New Roman"/>
      <w:b/>
      <w:sz w:val="24"/>
      <w:szCs w:val="20"/>
      <w:lang w:eastAsia="zh-CN"/>
    </w:rPr>
  </w:style>
  <w:style w:type="paragraph" w:customStyle="1" w:styleId="Fichefinanciretextetable">
    <w:name w:val="Fiche financière texte (table)"/>
    <w:basedOn w:val="Normal"/>
    <w:rsid w:val="00A44A15"/>
    <w:pPr>
      <w:spacing w:after="0" w:line="240" w:lineRule="auto"/>
    </w:pPr>
    <w:rPr>
      <w:rFonts w:ascii="Times New Roman" w:eastAsia="Times New Roman" w:hAnsi="Times New Roman" w:cs="Times New Roman"/>
      <w:sz w:val="20"/>
      <w:szCs w:val="20"/>
      <w:lang w:eastAsia="zh-CN"/>
    </w:rPr>
  </w:style>
  <w:style w:type="paragraph" w:customStyle="1" w:styleId="Fichefinanciretitreactetable">
    <w:name w:val="Fiche financière titre (acte table)"/>
    <w:basedOn w:val="Normal"/>
    <w:next w:val="Normal"/>
    <w:rsid w:val="00A44A15"/>
    <w:pPr>
      <w:spacing w:before="120" w:after="120" w:line="240" w:lineRule="auto"/>
      <w:jc w:val="center"/>
    </w:pPr>
    <w:rPr>
      <w:rFonts w:ascii="Times New Roman" w:eastAsia="Times New Roman" w:hAnsi="Times New Roman" w:cs="Times New Roman"/>
      <w:b/>
      <w:sz w:val="40"/>
      <w:szCs w:val="20"/>
      <w:lang w:eastAsia="zh-CN"/>
    </w:rPr>
  </w:style>
  <w:style w:type="paragraph" w:customStyle="1" w:styleId="Fichefinanciretitretable">
    <w:name w:val="Fiche financière titre (table)"/>
    <w:basedOn w:val="Normal"/>
    <w:rsid w:val="00A44A15"/>
    <w:pPr>
      <w:spacing w:before="120" w:after="120" w:line="240" w:lineRule="auto"/>
      <w:jc w:val="center"/>
    </w:pPr>
    <w:rPr>
      <w:rFonts w:ascii="Times New Roman" w:eastAsia="Times New Roman" w:hAnsi="Times New Roman" w:cs="Times New Roman"/>
      <w:b/>
      <w:sz w:val="40"/>
      <w:szCs w:val="20"/>
      <w:lang w:eastAsia="zh-CN"/>
    </w:rPr>
  </w:style>
  <w:style w:type="character" w:styleId="PageNumber">
    <w:name w:val="page number"/>
    <w:basedOn w:val="DefaultParagraphFont"/>
    <w:uiPriority w:val="99"/>
    <w:rsid w:val="00A44A15"/>
    <w:rPr>
      <w:shd w:val="clear" w:color="auto" w:fill="auto"/>
    </w:rPr>
  </w:style>
  <w:style w:type="paragraph" w:styleId="ListBullet5">
    <w:name w:val="List Bullet 5"/>
    <w:basedOn w:val="Normal"/>
    <w:autoRedefine/>
    <w:uiPriority w:val="99"/>
    <w:rsid w:val="00A44A15"/>
    <w:pPr>
      <w:numPr>
        <w:numId w:val="2"/>
      </w:numPr>
      <w:tabs>
        <w:tab w:val="clear" w:pos="1492"/>
        <w:tab w:val="num" w:pos="360"/>
      </w:tabs>
      <w:spacing w:after="240" w:line="240" w:lineRule="auto"/>
      <w:ind w:left="360"/>
      <w:jc w:val="both"/>
    </w:pPr>
    <w:rPr>
      <w:rFonts w:ascii="Times New Roman" w:eastAsia="Times New Roman" w:hAnsi="Times New Roman" w:cs="Times New Roman"/>
      <w:sz w:val="24"/>
      <w:szCs w:val="20"/>
      <w:lang w:eastAsia="zh-CN"/>
    </w:rPr>
  </w:style>
  <w:style w:type="paragraph" w:styleId="ListNumber5">
    <w:name w:val="List Number 5"/>
    <w:basedOn w:val="Normal"/>
    <w:uiPriority w:val="99"/>
    <w:rsid w:val="00A44A15"/>
    <w:pPr>
      <w:numPr>
        <w:numId w:val="3"/>
      </w:numPr>
      <w:tabs>
        <w:tab w:val="clear" w:pos="1492"/>
        <w:tab w:val="num" w:pos="643"/>
      </w:tabs>
      <w:spacing w:after="240" w:line="240" w:lineRule="auto"/>
      <w:ind w:left="643"/>
      <w:jc w:val="both"/>
    </w:pPr>
    <w:rPr>
      <w:rFonts w:ascii="Times New Roman" w:eastAsia="Times New Roman" w:hAnsi="Times New Roman" w:cs="Times New Roman"/>
      <w:sz w:val="24"/>
      <w:szCs w:val="20"/>
      <w:lang w:eastAsia="zh-CN"/>
    </w:rPr>
  </w:style>
  <w:style w:type="paragraph" w:styleId="DocumentMap">
    <w:name w:val="Document Map"/>
    <w:basedOn w:val="Normal"/>
    <w:link w:val="DocumentMapChar"/>
    <w:uiPriority w:val="99"/>
    <w:rsid w:val="00A44A15"/>
    <w:pPr>
      <w:shd w:val="clear" w:color="auto" w:fill="000080"/>
      <w:spacing w:before="120" w:after="120" w:line="240" w:lineRule="auto"/>
      <w:jc w:val="both"/>
    </w:pPr>
    <w:rPr>
      <w:rFonts w:ascii="Tahoma" w:eastAsia="Times New Roman" w:hAnsi="Tahoma" w:cs="Times New Roman"/>
      <w:sz w:val="24"/>
      <w:szCs w:val="20"/>
      <w:lang w:eastAsia="zh-CN"/>
    </w:rPr>
  </w:style>
  <w:style w:type="character" w:customStyle="1" w:styleId="DocumentMapChar">
    <w:name w:val="Document Map Char"/>
    <w:basedOn w:val="DefaultParagraphFont"/>
    <w:link w:val="DocumentMap"/>
    <w:uiPriority w:val="99"/>
    <w:rsid w:val="00A44A15"/>
    <w:rPr>
      <w:rFonts w:ascii="Tahoma" w:eastAsia="Times New Roman" w:hAnsi="Tahoma" w:cs="Times New Roman"/>
      <w:sz w:val="24"/>
      <w:szCs w:val="20"/>
      <w:shd w:val="clear" w:color="auto" w:fill="000080"/>
      <w:lang w:val="en-GB" w:eastAsia="zh-CN"/>
    </w:rPr>
  </w:style>
  <w:style w:type="paragraph" w:customStyle="1" w:styleId="AddressTL">
    <w:name w:val="AddressTL"/>
    <w:basedOn w:val="Normal"/>
    <w:next w:val="Normal"/>
    <w:rsid w:val="00A44A15"/>
    <w:pPr>
      <w:spacing w:after="720" w:line="240" w:lineRule="auto"/>
    </w:pPr>
    <w:rPr>
      <w:rFonts w:ascii="Times New Roman" w:eastAsia="Times New Roman" w:hAnsi="Times New Roman" w:cs="Times New Roman"/>
      <w:sz w:val="24"/>
      <w:szCs w:val="20"/>
      <w:lang w:eastAsia="zh-CN"/>
    </w:rPr>
  </w:style>
  <w:style w:type="paragraph" w:customStyle="1" w:styleId="AddressTR">
    <w:name w:val="AddressTR"/>
    <w:basedOn w:val="Normal"/>
    <w:next w:val="Normal"/>
    <w:rsid w:val="00A44A15"/>
    <w:pPr>
      <w:spacing w:after="720" w:line="240" w:lineRule="auto"/>
      <w:ind w:left="5103"/>
    </w:pPr>
    <w:rPr>
      <w:rFonts w:ascii="Times New Roman" w:eastAsia="Times New Roman" w:hAnsi="Times New Roman" w:cs="Times New Roman"/>
      <w:sz w:val="24"/>
      <w:szCs w:val="20"/>
      <w:lang w:eastAsia="zh-CN"/>
    </w:rPr>
  </w:style>
  <w:style w:type="paragraph" w:styleId="BlockText">
    <w:name w:val="Block Text"/>
    <w:basedOn w:val="Normal"/>
    <w:uiPriority w:val="99"/>
    <w:rsid w:val="00A44A15"/>
    <w:pPr>
      <w:spacing w:after="120" w:line="240" w:lineRule="auto"/>
      <w:ind w:left="1440" w:right="1440"/>
      <w:jc w:val="both"/>
    </w:pPr>
    <w:rPr>
      <w:rFonts w:ascii="Times New Roman" w:eastAsia="Times New Roman" w:hAnsi="Times New Roman" w:cs="Times New Roman"/>
      <w:sz w:val="24"/>
      <w:szCs w:val="20"/>
      <w:lang w:eastAsia="zh-CN"/>
    </w:rPr>
  </w:style>
  <w:style w:type="paragraph" w:styleId="BodyText">
    <w:name w:val="Body Text"/>
    <w:basedOn w:val="Normal"/>
    <w:link w:val="BodyTextChar"/>
    <w:uiPriority w:val="99"/>
    <w:rsid w:val="00A44A15"/>
    <w:pPr>
      <w:spacing w:after="120" w:line="240" w:lineRule="auto"/>
      <w:jc w:val="both"/>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uiPriority w:val="99"/>
    <w:rsid w:val="00A44A15"/>
    <w:rPr>
      <w:rFonts w:ascii="Times New Roman" w:eastAsia="Times New Roman" w:hAnsi="Times New Roman" w:cs="Times New Roman"/>
      <w:sz w:val="24"/>
      <w:szCs w:val="20"/>
      <w:lang w:val="en-GB" w:eastAsia="zh-CN"/>
    </w:rPr>
  </w:style>
  <w:style w:type="paragraph" w:styleId="BodyText2">
    <w:name w:val="Body Text 2"/>
    <w:basedOn w:val="Normal"/>
    <w:link w:val="BodyText2Char"/>
    <w:uiPriority w:val="99"/>
    <w:rsid w:val="00A44A15"/>
    <w:pPr>
      <w:spacing w:after="120" w:line="480" w:lineRule="auto"/>
      <w:jc w:val="both"/>
    </w:pPr>
    <w:rPr>
      <w:rFonts w:ascii="Times New Roman" w:eastAsia="Times New Roman" w:hAnsi="Times New Roman" w:cs="Times New Roman"/>
      <w:sz w:val="24"/>
      <w:szCs w:val="20"/>
      <w:lang w:eastAsia="zh-CN"/>
    </w:rPr>
  </w:style>
  <w:style w:type="character" w:customStyle="1" w:styleId="BodyText2Char">
    <w:name w:val="Body Text 2 Char"/>
    <w:basedOn w:val="DefaultParagraphFont"/>
    <w:link w:val="BodyText2"/>
    <w:uiPriority w:val="99"/>
    <w:rsid w:val="00A44A15"/>
    <w:rPr>
      <w:rFonts w:ascii="Times New Roman" w:eastAsia="Times New Roman" w:hAnsi="Times New Roman" w:cs="Times New Roman"/>
      <w:sz w:val="24"/>
      <w:szCs w:val="20"/>
      <w:lang w:val="en-GB" w:eastAsia="zh-CN"/>
    </w:rPr>
  </w:style>
  <w:style w:type="paragraph" w:styleId="BodyText3">
    <w:name w:val="Body Text 3"/>
    <w:basedOn w:val="Normal"/>
    <w:link w:val="BodyText3Char"/>
    <w:uiPriority w:val="99"/>
    <w:rsid w:val="00A44A15"/>
    <w:pPr>
      <w:spacing w:after="120" w:line="240" w:lineRule="auto"/>
      <w:jc w:val="both"/>
    </w:pPr>
    <w:rPr>
      <w:rFonts w:ascii="Times New Roman" w:eastAsia="Times New Roman" w:hAnsi="Times New Roman" w:cs="Times New Roman"/>
      <w:sz w:val="16"/>
      <w:szCs w:val="20"/>
      <w:lang w:eastAsia="zh-CN"/>
    </w:rPr>
  </w:style>
  <w:style w:type="character" w:customStyle="1" w:styleId="BodyText3Char">
    <w:name w:val="Body Text 3 Char"/>
    <w:basedOn w:val="DefaultParagraphFont"/>
    <w:link w:val="BodyText3"/>
    <w:uiPriority w:val="99"/>
    <w:rsid w:val="00A44A15"/>
    <w:rPr>
      <w:rFonts w:ascii="Times New Roman" w:eastAsia="Times New Roman" w:hAnsi="Times New Roman" w:cs="Times New Roman"/>
      <w:sz w:val="16"/>
      <w:szCs w:val="20"/>
      <w:lang w:val="en-GB" w:eastAsia="zh-CN"/>
    </w:rPr>
  </w:style>
  <w:style w:type="paragraph" w:styleId="BodyTextFirstIndent">
    <w:name w:val="Body Text First Indent"/>
    <w:basedOn w:val="BodyText"/>
    <w:link w:val="BodyTextFirstIndentChar"/>
    <w:uiPriority w:val="99"/>
    <w:rsid w:val="00A44A15"/>
    <w:pPr>
      <w:ind w:firstLine="210"/>
    </w:pPr>
  </w:style>
  <w:style w:type="character" w:customStyle="1" w:styleId="BodyTextFirstIndentChar">
    <w:name w:val="Body Text First Indent Char"/>
    <w:basedOn w:val="BodyTextChar"/>
    <w:link w:val="BodyTextFirstIndent"/>
    <w:uiPriority w:val="99"/>
    <w:rsid w:val="00A44A15"/>
    <w:rPr>
      <w:rFonts w:ascii="Times New Roman" w:eastAsia="Times New Roman" w:hAnsi="Times New Roman" w:cs="Times New Roman"/>
      <w:sz w:val="24"/>
      <w:szCs w:val="20"/>
      <w:lang w:val="en-GB" w:eastAsia="zh-CN"/>
    </w:rPr>
  </w:style>
  <w:style w:type="paragraph" w:styleId="BodyTextIndent">
    <w:name w:val="Body Text Indent"/>
    <w:basedOn w:val="Normal"/>
    <w:link w:val="BodyTextIndentChar"/>
    <w:uiPriority w:val="99"/>
    <w:rsid w:val="00A44A15"/>
    <w:pPr>
      <w:spacing w:after="120" w:line="240" w:lineRule="auto"/>
      <w:ind w:left="283"/>
      <w:jc w:val="both"/>
    </w:pPr>
    <w:rPr>
      <w:rFonts w:ascii="Times New Roman" w:eastAsia="Times New Roman" w:hAnsi="Times New Roman" w:cs="Times New Roman"/>
      <w:sz w:val="24"/>
      <w:szCs w:val="20"/>
      <w:lang w:eastAsia="zh-CN"/>
    </w:rPr>
  </w:style>
  <w:style w:type="character" w:customStyle="1" w:styleId="BodyTextIndentChar">
    <w:name w:val="Body Text Indent Char"/>
    <w:basedOn w:val="DefaultParagraphFont"/>
    <w:link w:val="BodyTextIndent"/>
    <w:uiPriority w:val="99"/>
    <w:rsid w:val="00A44A15"/>
    <w:rPr>
      <w:rFonts w:ascii="Times New Roman" w:eastAsia="Times New Roman" w:hAnsi="Times New Roman" w:cs="Times New Roman"/>
      <w:sz w:val="24"/>
      <w:szCs w:val="20"/>
      <w:lang w:val="en-GB" w:eastAsia="zh-CN"/>
    </w:rPr>
  </w:style>
  <w:style w:type="paragraph" w:styleId="BodyTextFirstIndent2">
    <w:name w:val="Body Text First Indent 2"/>
    <w:basedOn w:val="BodyTextIndent"/>
    <w:link w:val="BodyTextFirstIndent2Char"/>
    <w:uiPriority w:val="99"/>
    <w:rsid w:val="00A44A15"/>
    <w:pPr>
      <w:ind w:firstLine="210"/>
    </w:pPr>
  </w:style>
  <w:style w:type="character" w:customStyle="1" w:styleId="BodyTextFirstIndent2Char">
    <w:name w:val="Body Text First Indent 2 Char"/>
    <w:basedOn w:val="BodyTextIndentChar"/>
    <w:link w:val="BodyTextFirstIndent2"/>
    <w:uiPriority w:val="99"/>
    <w:rsid w:val="00A44A15"/>
    <w:rPr>
      <w:rFonts w:ascii="Times New Roman" w:eastAsia="Times New Roman" w:hAnsi="Times New Roman" w:cs="Times New Roman"/>
      <w:sz w:val="24"/>
      <w:szCs w:val="20"/>
      <w:lang w:val="en-GB" w:eastAsia="zh-CN"/>
    </w:rPr>
  </w:style>
  <w:style w:type="paragraph" w:styleId="BodyTextIndent2">
    <w:name w:val="Body Text Indent 2"/>
    <w:basedOn w:val="Normal"/>
    <w:link w:val="BodyTextIndent2Char"/>
    <w:uiPriority w:val="99"/>
    <w:rsid w:val="00A44A15"/>
    <w:pPr>
      <w:spacing w:after="120" w:line="480" w:lineRule="auto"/>
      <w:ind w:left="283"/>
      <w:jc w:val="both"/>
    </w:pPr>
    <w:rPr>
      <w:rFonts w:ascii="Times New Roman" w:eastAsia="Times New Roman" w:hAnsi="Times New Roman" w:cs="Times New Roman"/>
      <w:sz w:val="24"/>
      <w:szCs w:val="20"/>
      <w:lang w:eastAsia="zh-CN"/>
    </w:rPr>
  </w:style>
  <w:style w:type="character" w:customStyle="1" w:styleId="BodyTextIndent2Char">
    <w:name w:val="Body Text Indent 2 Char"/>
    <w:basedOn w:val="DefaultParagraphFont"/>
    <w:link w:val="BodyTextIndent2"/>
    <w:uiPriority w:val="99"/>
    <w:rsid w:val="00A44A15"/>
    <w:rPr>
      <w:rFonts w:ascii="Times New Roman" w:eastAsia="Times New Roman" w:hAnsi="Times New Roman" w:cs="Times New Roman"/>
      <w:sz w:val="24"/>
      <w:szCs w:val="20"/>
      <w:lang w:val="en-GB" w:eastAsia="zh-CN"/>
    </w:rPr>
  </w:style>
  <w:style w:type="paragraph" w:styleId="BodyTextIndent3">
    <w:name w:val="Body Text Indent 3"/>
    <w:basedOn w:val="Normal"/>
    <w:link w:val="BodyTextIndent3Char"/>
    <w:uiPriority w:val="99"/>
    <w:rsid w:val="00A44A15"/>
    <w:pPr>
      <w:spacing w:after="120" w:line="240" w:lineRule="auto"/>
      <w:ind w:left="283"/>
      <w:jc w:val="both"/>
    </w:pPr>
    <w:rPr>
      <w:rFonts w:ascii="Times New Roman" w:eastAsia="Times New Roman" w:hAnsi="Times New Roman" w:cs="Times New Roman"/>
      <w:sz w:val="16"/>
      <w:szCs w:val="20"/>
      <w:lang w:eastAsia="zh-CN"/>
    </w:rPr>
  </w:style>
  <w:style w:type="character" w:customStyle="1" w:styleId="BodyTextIndent3Char">
    <w:name w:val="Body Text Indent 3 Char"/>
    <w:basedOn w:val="DefaultParagraphFont"/>
    <w:link w:val="BodyTextIndent3"/>
    <w:uiPriority w:val="99"/>
    <w:rsid w:val="00A44A15"/>
    <w:rPr>
      <w:rFonts w:ascii="Times New Roman" w:eastAsia="Times New Roman" w:hAnsi="Times New Roman" w:cs="Times New Roman"/>
      <w:sz w:val="16"/>
      <w:szCs w:val="20"/>
      <w:lang w:val="en-GB" w:eastAsia="zh-CN"/>
    </w:rPr>
  </w:style>
  <w:style w:type="paragraph" w:styleId="Closing">
    <w:name w:val="Closing"/>
    <w:basedOn w:val="Normal"/>
    <w:next w:val="Signature"/>
    <w:link w:val="ClosingChar"/>
    <w:uiPriority w:val="99"/>
    <w:rsid w:val="00A44A15"/>
    <w:pPr>
      <w:tabs>
        <w:tab w:val="left" w:pos="5103"/>
      </w:tabs>
      <w:spacing w:before="240" w:after="240" w:line="240" w:lineRule="auto"/>
      <w:ind w:left="5103"/>
    </w:pPr>
    <w:rPr>
      <w:rFonts w:ascii="Times New Roman" w:eastAsia="Times New Roman" w:hAnsi="Times New Roman" w:cs="Times New Roman"/>
      <w:sz w:val="24"/>
      <w:szCs w:val="20"/>
      <w:lang w:eastAsia="zh-CN"/>
    </w:rPr>
  </w:style>
  <w:style w:type="character" w:customStyle="1" w:styleId="ClosingChar">
    <w:name w:val="Closing Char"/>
    <w:basedOn w:val="DefaultParagraphFont"/>
    <w:link w:val="Closing"/>
    <w:uiPriority w:val="99"/>
    <w:rsid w:val="00A44A15"/>
    <w:rPr>
      <w:rFonts w:ascii="Times New Roman" w:eastAsia="Times New Roman" w:hAnsi="Times New Roman" w:cs="Times New Roman"/>
      <w:sz w:val="24"/>
      <w:szCs w:val="20"/>
      <w:lang w:val="en-GB" w:eastAsia="zh-CN"/>
    </w:rPr>
  </w:style>
  <w:style w:type="paragraph" w:styleId="Signature">
    <w:name w:val="Signature"/>
    <w:basedOn w:val="Normal"/>
    <w:next w:val="Contact"/>
    <w:link w:val="SignatureChar"/>
    <w:uiPriority w:val="99"/>
    <w:rsid w:val="00A44A15"/>
    <w:pPr>
      <w:tabs>
        <w:tab w:val="left" w:pos="5103"/>
      </w:tabs>
      <w:spacing w:before="1200" w:after="0" w:line="240" w:lineRule="auto"/>
      <w:ind w:left="5103"/>
      <w:jc w:val="center"/>
    </w:pPr>
    <w:rPr>
      <w:rFonts w:ascii="Times New Roman" w:eastAsia="Times New Roman" w:hAnsi="Times New Roman" w:cs="Times New Roman"/>
      <w:sz w:val="24"/>
      <w:szCs w:val="20"/>
      <w:lang w:eastAsia="zh-CN"/>
    </w:rPr>
  </w:style>
  <w:style w:type="character" w:customStyle="1" w:styleId="SignatureChar">
    <w:name w:val="Signature Char"/>
    <w:basedOn w:val="DefaultParagraphFont"/>
    <w:link w:val="Signature"/>
    <w:uiPriority w:val="99"/>
    <w:rsid w:val="00A44A15"/>
    <w:rPr>
      <w:rFonts w:ascii="Times New Roman" w:eastAsia="Times New Roman" w:hAnsi="Times New Roman" w:cs="Times New Roman"/>
      <w:sz w:val="24"/>
      <w:szCs w:val="20"/>
      <w:lang w:val="en-GB" w:eastAsia="zh-CN"/>
    </w:rPr>
  </w:style>
  <w:style w:type="paragraph" w:customStyle="1" w:styleId="Contact">
    <w:name w:val="Contact"/>
    <w:basedOn w:val="Normal"/>
    <w:next w:val="Enclosures"/>
    <w:rsid w:val="00A44A15"/>
    <w:pPr>
      <w:spacing w:before="480" w:after="0" w:line="240" w:lineRule="auto"/>
      <w:ind w:left="567" w:hanging="567"/>
    </w:pPr>
    <w:rPr>
      <w:rFonts w:ascii="Times New Roman" w:eastAsia="Times New Roman" w:hAnsi="Times New Roman" w:cs="Times New Roman"/>
      <w:sz w:val="24"/>
      <w:szCs w:val="20"/>
      <w:lang w:eastAsia="zh-CN"/>
    </w:rPr>
  </w:style>
  <w:style w:type="paragraph" w:customStyle="1" w:styleId="Enclosures">
    <w:name w:val="Enclosures"/>
    <w:basedOn w:val="Normal"/>
    <w:next w:val="Participants"/>
    <w:rsid w:val="00A44A15"/>
    <w:pPr>
      <w:keepNext/>
      <w:keepLines/>
      <w:tabs>
        <w:tab w:val="left" w:pos="5642"/>
      </w:tabs>
      <w:spacing w:before="480" w:after="0" w:line="240" w:lineRule="auto"/>
      <w:ind w:left="1792" w:hanging="1792"/>
    </w:pPr>
    <w:rPr>
      <w:rFonts w:ascii="Times New Roman" w:eastAsia="Times New Roman" w:hAnsi="Times New Roman" w:cs="Times New Roman"/>
      <w:sz w:val="24"/>
      <w:szCs w:val="20"/>
      <w:lang w:eastAsia="zh-CN"/>
    </w:rPr>
  </w:style>
  <w:style w:type="paragraph" w:customStyle="1" w:styleId="Participants">
    <w:name w:val="Participants"/>
    <w:basedOn w:val="Normal"/>
    <w:next w:val="Copies"/>
    <w:rsid w:val="00A44A15"/>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eastAsia="zh-CN"/>
    </w:rPr>
  </w:style>
  <w:style w:type="paragraph" w:customStyle="1" w:styleId="Copies">
    <w:name w:val="Copies"/>
    <w:basedOn w:val="Normal"/>
    <w:next w:val="Normal"/>
    <w:rsid w:val="00A44A15"/>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eastAsia="zh-CN"/>
    </w:rPr>
  </w:style>
  <w:style w:type="paragraph" w:styleId="Date">
    <w:name w:val="Date"/>
    <w:basedOn w:val="Normal"/>
    <w:next w:val="References"/>
    <w:link w:val="DateChar"/>
    <w:uiPriority w:val="99"/>
    <w:rsid w:val="00A44A15"/>
    <w:pPr>
      <w:spacing w:after="0" w:line="240" w:lineRule="auto"/>
      <w:ind w:left="5103" w:right="-567"/>
    </w:pPr>
    <w:rPr>
      <w:rFonts w:ascii="Times New Roman" w:eastAsia="Times New Roman" w:hAnsi="Times New Roman" w:cs="Times New Roman"/>
      <w:sz w:val="24"/>
      <w:szCs w:val="20"/>
      <w:lang w:eastAsia="zh-CN"/>
    </w:rPr>
  </w:style>
  <w:style w:type="character" w:customStyle="1" w:styleId="DateChar">
    <w:name w:val="Date Char"/>
    <w:basedOn w:val="DefaultParagraphFont"/>
    <w:link w:val="Date"/>
    <w:uiPriority w:val="99"/>
    <w:rsid w:val="00A44A15"/>
    <w:rPr>
      <w:rFonts w:ascii="Times New Roman" w:eastAsia="Times New Roman" w:hAnsi="Times New Roman" w:cs="Times New Roman"/>
      <w:sz w:val="24"/>
      <w:szCs w:val="20"/>
      <w:lang w:val="en-GB" w:eastAsia="zh-CN"/>
    </w:rPr>
  </w:style>
  <w:style w:type="paragraph" w:customStyle="1" w:styleId="References">
    <w:name w:val="References"/>
    <w:basedOn w:val="Normal"/>
    <w:next w:val="AddressTR"/>
    <w:rsid w:val="00A44A15"/>
    <w:pPr>
      <w:spacing w:after="240" w:line="240" w:lineRule="auto"/>
      <w:ind w:left="5103"/>
    </w:pPr>
    <w:rPr>
      <w:rFonts w:ascii="Times New Roman" w:eastAsia="Times New Roman" w:hAnsi="Times New Roman" w:cs="Times New Roman"/>
      <w:sz w:val="20"/>
      <w:szCs w:val="20"/>
      <w:lang w:eastAsia="zh-CN"/>
    </w:rPr>
  </w:style>
  <w:style w:type="paragraph" w:customStyle="1" w:styleId="DoubSign">
    <w:name w:val="DoubSign"/>
    <w:basedOn w:val="Normal"/>
    <w:next w:val="Contact"/>
    <w:rsid w:val="00A44A15"/>
    <w:pPr>
      <w:tabs>
        <w:tab w:val="left" w:pos="5103"/>
      </w:tabs>
      <w:spacing w:before="1200" w:after="0" w:line="240" w:lineRule="auto"/>
    </w:pPr>
    <w:rPr>
      <w:rFonts w:ascii="Times New Roman" w:eastAsia="Times New Roman" w:hAnsi="Times New Roman" w:cs="Times New Roman"/>
      <w:sz w:val="24"/>
      <w:szCs w:val="20"/>
      <w:lang w:eastAsia="zh-CN"/>
    </w:rPr>
  </w:style>
  <w:style w:type="paragraph" w:styleId="EnvelopeAddress">
    <w:name w:val="envelope address"/>
    <w:basedOn w:val="Normal"/>
    <w:uiPriority w:val="99"/>
    <w:rsid w:val="00A44A15"/>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eastAsia="zh-CN"/>
    </w:rPr>
  </w:style>
  <w:style w:type="paragraph" w:styleId="EnvelopeReturn">
    <w:name w:val="envelope return"/>
    <w:basedOn w:val="Normal"/>
    <w:uiPriority w:val="99"/>
    <w:rsid w:val="00A44A15"/>
    <w:pPr>
      <w:spacing w:after="0" w:line="240" w:lineRule="auto"/>
      <w:jc w:val="both"/>
    </w:pPr>
    <w:rPr>
      <w:rFonts w:ascii="Times New Roman" w:eastAsia="Times New Roman" w:hAnsi="Times New Roman" w:cs="Times New Roman"/>
      <w:sz w:val="20"/>
      <w:szCs w:val="20"/>
      <w:lang w:eastAsia="zh-CN"/>
    </w:rPr>
  </w:style>
  <w:style w:type="paragraph" w:styleId="Index8">
    <w:name w:val="index 8"/>
    <w:basedOn w:val="Normal"/>
    <w:next w:val="Normal"/>
    <w:autoRedefine/>
    <w:uiPriority w:val="99"/>
    <w:rsid w:val="00A44A15"/>
    <w:pPr>
      <w:spacing w:after="240" w:line="240" w:lineRule="auto"/>
      <w:ind w:left="1920" w:hanging="240"/>
      <w:jc w:val="both"/>
    </w:pPr>
    <w:rPr>
      <w:rFonts w:ascii="Times New Roman" w:eastAsia="Times New Roman" w:hAnsi="Times New Roman" w:cs="Times New Roman"/>
      <w:sz w:val="24"/>
      <w:szCs w:val="20"/>
      <w:lang w:eastAsia="zh-CN"/>
    </w:rPr>
  </w:style>
  <w:style w:type="paragraph" w:styleId="Index1">
    <w:name w:val="index 1"/>
    <w:basedOn w:val="Normal"/>
    <w:next w:val="Normal"/>
    <w:autoRedefine/>
    <w:uiPriority w:val="99"/>
    <w:rsid w:val="00A44A15"/>
    <w:pPr>
      <w:spacing w:after="240" w:line="240" w:lineRule="auto"/>
      <w:ind w:left="240" w:hanging="240"/>
      <w:jc w:val="both"/>
    </w:pPr>
    <w:rPr>
      <w:rFonts w:ascii="Times New Roman" w:eastAsia="Times New Roman" w:hAnsi="Times New Roman" w:cs="Times New Roman"/>
      <w:sz w:val="24"/>
      <w:szCs w:val="20"/>
      <w:lang w:eastAsia="zh-CN"/>
    </w:rPr>
  </w:style>
  <w:style w:type="paragraph" w:styleId="IndexHeading">
    <w:name w:val="index heading"/>
    <w:basedOn w:val="Normal"/>
    <w:next w:val="Index1"/>
    <w:uiPriority w:val="99"/>
    <w:rsid w:val="00A44A15"/>
    <w:pPr>
      <w:spacing w:after="240" w:line="240" w:lineRule="auto"/>
      <w:jc w:val="both"/>
    </w:pPr>
    <w:rPr>
      <w:rFonts w:ascii="Arial" w:eastAsia="Times New Roman" w:hAnsi="Arial" w:cs="Times New Roman"/>
      <w:b/>
      <w:sz w:val="24"/>
      <w:szCs w:val="20"/>
      <w:lang w:eastAsia="zh-CN"/>
    </w:rPr>
  </w:style>
  <w:style w:type="paragraph" w:styleId="List">
    <w:name w:val="List"/>
    <w:basedOn w:val="Normal"/>
    <w:uiPriority w:val="99"/>
    <w:rsid w:val="00A44A15"/>
    <w:pPr>
      <w:spacing w:after="240" w:line="240" w:lineRule="auto"/>
      <w:ind w:left="283" w:hanging="283"/>
      <w:jc w:val="both"/>
    </w:pPr>
    <w:rPr>
      <w:rFonts w:ascii="Times New Roman" w:eastAsia="Times New Roman" w:hAnsi="Times New Roman" w:cs="Times New Roman"/>
      <w:sz w:val="24"/>
      <w:szCs w:val="20"/>
      <w:lang w:eastAsia="zh-CN"/>
    </w:rPr>
  </w:style>
  <w:style w:type="paragraph" w:styleId="List2">
    <w:name w:val="List 2"/>
    <w:basedOn w:val="Normal"/>
    <w:uiPriority w:val="99"/>
    <w:rsid w:val="00A44A15"/>
    <w:pPr>
      <w:spacing w:after="240" w:line="240" w:lineRule="auto"/>
      <w:ind w:left="566" w:hanging="283"/>
      <w:jc w:val="both"/>
    </w:pPr>
    <w:rPr>
      <w:rFonts w:ascii="Times New Roman" w:eastAsia="Times New Roman" w:hAnsi="Times New Roman" w:cs="Times New Roman"/>
      <w:sz w:val="24"/>
      <w:szCs w:val="20"/>
      <w:lang w:eastAsia="zh-CN"/>
    </w:rPr>
  </w:style>
  <w:style w:type="paragraph" w:styleId="List3">
    <w:name w:val="List 3"/>
    <w:basedOn w:val="Normal"/>
    <w:uiPriority w:val="99"/>
    <w:rsid w:val="00A44A15"/>
    <w:pPr>
      <w:spacing w:after="240" w:line="240" w:lineRule="auto"/>
      <w:ind w:left="849" w:hanging="283"/>
      <w:jc w:val="both"/>
    </w:pPr>
    <w:rPr>
      <w:rFonts w:ascii="Times New Roman" w:eastAsia="Times New Roman" w:hAnsi="Times New Roman" w:cs="Times New Roman"/>
      <w:sz w:val="24"/>
      <w:szCs w:val="20"/>
      <w:lang w:eastAsia="zh-CN"/>
    </w:rPr>
  </w:style>
  <w:style w:type="paragraph" w:styleId="List4">
    <w:name w:val="List 4"/>
    <w:basedOn w:val="Normal"/>
    <w:uiPriority w:val="99"/>
    <w:rsid w:val="00A44A15"/>
    <w:pPr>
      <w:spacing w:after="240" w:line="240" w:lineRule="auto"/>
      <w:ind w:left="1132" w:hanging="283"/>
      <w:jc w:val="both"/>
    </w:pPr>
    <w:rPr>
      <w:rFonts w:ascii="Times New Roman" w:eastAsia="Times New Roman" w:hAnsi="Times New Roman" w:cs="Times New Roman"/>
      <w:sz w:val="24"/>
      <w:szCs w:val="20"/>
      <w:lang w:eastAsia="zh-CN"/>
    </w:rPr>
  </w:style>
  <w:style w:type="paragraph" w:styleId="List5">
    <w:name w:val="List 5"/>
    <w:basedOn w:val="Normal"/>
    <w:uiPriority w:val="99"/>
    <w:rsid w:val="00A44A15"/>
    <w:pPr>
      <w:spacing w:after="240" w:line="240" w:lineRule="auto"/>
      <w:ind w:left="1415" w:hanging="283"/>
      <w:jc w:val="both"/>
    </w:pPr>
    <w:rPr>
      <w:rFonts w:ascii="Times New Roman" w:eastAsia="Times New Roman" w:hAnsi="Times New Roman" w:cs="Times New Roman"/>
      <w:sz w:val="24"/>
      <w:szCs w:val="20"/>
      <w:lang w:eastAsia="zh-CN"/>
    </w:rPr>
  </w:style>
  <w:style w:type="paragraph" w:styleId="ListContinue">
    <w:name w:val="List Continue"/>
    <w:basedOn w:val="Normal"/>
    <w:uiPriority w:val="99"/>
    <w:rsid w:val="00A44A15"/>
    <w:pPr>
      <w:spacing w:after="120" w:line="240" w:lineRule="auto"/>
      <w:ind w:left="283"/>
      <w:jc w:val="both"/>
    </w:pPr>
    <w:rPr>
      <w:rFonts w:ascii="Times New Roman" w:eastAsia="Times New Roman" w:hAnsi="Times New Roman" w:cs="Times New Roman"/>
      <w:sz w:val="24"/>
      <w:szCs w:val="20"/>
      <w:lang w:eastAsia="zh-CN"/>
    </w:rPr>
  </w:style>
  <w:style w:type="paragraph" w:styleId="ListContinue2">
    <w:name w:val="List Continue 2"/>
    <w:basedOn w:val="Normal"/>
    <w:uiPriority w:val="99"/>
    <w:rsid w:val="00A44A15"/>
    <w:pPr>
      <w:spacing w:after="120" w:line="240" w:lineRule="auto"/>
      <w:ind w:left="566"/>
      <w:jc w:val="both"/>
    </w:pPr>
    <w:rPr>
      <w:rFonts w:ascii="Times New Roman" w:eastAsia="Times New Roman" w:hAnsi="Times New Roman" w:cs="Times New Roman"/>
      <w:sz w:val="24"/>
      <w:szCs w:val="20"/>
      <w:lang w:eastAsia="zh-CN"/>
    </w:rPr>
  </w:style>
  <w:style w:type="paragraph" w:styleId="ListContinue3">
    <w:name w:val="List Continue 3"/>
    <w:basedOn w:val="Normal"/>
    <w:uiPriority w:val="99"/>
    <w:rsid w:val="00A44A15"/>
    <w:pPr>
      <w:spacing w:after="120" w:line="240" w:lineRule="auto"/>
      <w:ind w:left="849"/>
      <w:jc w:val="both"/>
    </w:pPr>
    <w:rPr>
      <w:rFonts w:ascii="Times New Roman" w:eastAsia="Times New Roman" w:hAnsi="Times New Roman" w:cs="Times New Roman"/>
      <w:sz w:val="24"/>
      <w:szCs w:val="20"/>
      <w:lang w:eastAsia="zh-CN"/>
    </w:rPr>
  </w:style>
  <w:style w:type="paragraph" w:styleId="ListContinue4">
    <w:name w:val="List Continue 4"/>
    <w:basedOn w:val="Normal"/>
    <w:uiPriority w:val="99"/>
    <w:rsid w:val="00A44A15"/>
    <w:pPr>
      <w:spacing w:after="120" w:line="240" w:lineRule="auto"/>
      <w:ind w:left="1132"/>
      <w:jc w:val="both"/>
    </w:pPr>
    <w:rPr>
      <w:rFonts w:ascii="Times New Roman" w:eastAsia="Times New Roman" w:hAnsi="Times New Roman" w:cs="Times New Roman"/>
      <w:sz w:val="24"/>
      <w:szCs w:val="20"/>
      <w:lang w:eastAsia="zh-CN"/>
    </w:rPr>
  </w:style>
  <w:style w:type="paragraph" w:styleId="ListContinue5">
    <w:name w:val="List Continue 5"/>
    <w:basedOn w:val="Normal"/>
    <w:uiPriority w:val="99"/>
    <w:rsid w:val="00A44A15"/>
    <w:pPr>
      <w:spacing w:after="120" w:line="240" w:lineRule="auto"/>
      <w:ind w:left="1415"/>
      <w:jc w:val="both"/>
    </w:pPr>
    <w:rPr>
      <w:rFonts w:ascii="Times New Roman" w:eastAsia="Times New Roman" w:hAnsi="Times New Roman" w:cs="Times New Roman"/>
      <w:sz w:val="24"/>
      <w:szCs w:val="20"/>
      <w:lang w:eastAsia="zh-CN"/>
    </w:rPr>
  </w:style>
  <w:style w:type="paragraph" w:styleId="MacroText">
    <w:name w:val="macro"/>
    <w:link w:val="MacroTextChar"/>
    <w:uiPriority w:val="99"/>
    <w:rsid w:val="00A44A15"/>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uiPriority w:val="99"/>
    <w:rsid w:val="00A44A15"/>
    <w:rPr>
      <w:rFonts w:ascii="Courier New" w:eastAsia="Times New Roman" w:hAnsi="Courier New" w:cs="Times New Roman"/>
      <w:sz w:val="20"/>
      <w:szCs w:val="20"/>
      <w:lang w:val="en-GB"/>
    </w:rPr>
  </w:style>
  <w:style w:type="paragraph" w:styleId="MessageHeader">
    <w:name w:val="Message Header"/>
    <w:basedOn w:val="Normal"/>
    <w:link w:val="MessageHeaderChar"/>
    <w:uiPriority w:val="99"/>
    <w:rsid w:val="00A44A15"/>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eastAsia="zh-CN"/>
    </w:rPr>
  </w:style>
  <w:style w:type="character" w:customStyle="1" w:styleId="MessageHeaderChar">
    <w:name w:val="Message Header Char"/>
    <w:basedOn w:val="DefaultParagraphFont"/>
    <w:link w:val="MessageHeader"/>
    <w:uiPriority w:val="99"/>
    <w:rsid w:val="00A44A15"/>
    <w:rPr>
      <w:rFonts w:ascii="Arial" w:eastAsia="Times New Roman" w:hAnsi="Arial" w:cs="Times New Roman"/>
      <w:sz w:val="24"/>
      <w:szCs w:val="20"/>
      <w:shd w:val="pct20" w:color="auto" w:fill="auto"/>
      <w:lang w:val="en-GB" w:eastAsia="zh-CN"/>
    </w:rPr>
  </w:style>
  <w:style w:type="paragraph" w:styleId="NormalIndent">
    <w:name w:val="Normal Indent"/>
    <w:basedOn w:val="Normal"/>
    <w:uiPriority w:val="99"/>
    <w:rsid w:val="00A44A15"/>
    <w:pPr>
      <w:spacing w:after="240" w:line="240" w:lineRule="auto"/>
      <w:ind w:left="720"/>
      <w:jc w:val="both"/>
    </w:pPr>
    <w:rPr>
      <w:rFonts w:ascii="Times New Roman" w:eastAsia="Times New Roman" w:hAnsi="Times New Roman" w:cs="Times New Roman"/>
      <w:sz w:val="24"/>
      <w:szCs w:val="20"/>
      <w:lang w:eastAsia="zh-CN"/>
    </w:rPr>
  </w:style>
  <w:style w:type="paragraph" w:styleId="NoteHeading">
    <w:name w:val="Note Heading"/>
    <w:basedOn w:val="Normal"/>
    <w:next w:val="Normal"/>
    <w:link w:val="NoteHeadingChar"/>
    <w:uiPriority w:val="99"/>
    <w:rsid w:val="00A44A15"/>
    <w:pPr>
      <w:spacing w:after="240" w:line="240" w:lineRule="auto"/>
      <w:jc w:val="both"/>
    </w:pPr>
    <w:rPr>
      <w:rFonts w:ascii="Times New Roman" w:eastAsia="Times New Roman" w:hAnsi="Times New Roman" w:cs="Times New Roman"/>
      <w:sz w:val="24"/>
      <w:szCs w:val="20"/>
      <w:lang w:eastAsia="zh-CN"/>
    </w:rPr>
  </w:style>
  <w:style w:type="character" w:customStyle="1" w:styleId="NoteHeadingChar">
    <w:name w:val="Note Heading Char"/>
    <w:basedOn w:val="DefaultParagraphFont"/>
    <w:link w:val="NoteHeading"/>
    <w:uiPriority w:val="99"/>
    <w:rsid w:val="00A44A15"/>
    <w:rPr>
      <w:rFonts w:ascii="Times New Roman" w:eastAsia="Times New Roman" w:hAnsi="Times New Roman" w:cs="Times New Roman"/>
      <w:sz w:val="24"/>
      <w:szCs w:val="20"/>
      <w:lang w:val="en-GB" w:eastAsia="zh-CN"/>
    </w:rPr>
  </w:style>
  <w:style w:type="paragraph" w:customStyle="1" w:styleId="NoteHead">
    <w:name w:val="NoteHead"/>
    <w:basedOn w:val="Normal"/>
    <w:next w:val="Subject"/>
    <w:rsid w:val="00A44A15"/>
    <w:pPr>
      <w:spacing w:before="720" w:after="720" w:line="240" w:lineRule="auto"/>
      <w:jc w:val="center"/>
    </w:pPr>
    <w:rPr>
      <w:rFonts w:ascii="Times New Roman" w:eastAsia="Times New Roman" w:hAnsi="Times New Roman" w:cs="Times New Roman"/>
      <w:b/>
      <w:smallCaps/>
      <w:sz w:val="24"/>
      <w:szCs w:val="20"/>
      <w:lang w:eastAsia="zh-CN"/>
    </w:rPr>
  </w:style>
  <w:style w:type="paragraph" w:customStyle="1" w:styleId="Subject">
    <w:name w:val="Subject"/>
    <w:basedOn w:val="Normal"/>
    <w:next w:val="Normal"/>
    <w:rsid w:val="00A44A15"/>
    <w:pPr>
      <w:spacing w:after="480" w:line="240" w:lineRule="auto"/>
      <w:ind w:left="1191" w:hanging="1191"/>
    </w:pPr>
    <w:rPr>
      <w:rFonts w:ascii="Times New Roman" w:eastAsia="Times New Roman" w:hAnsi="Times New Roman" w:cs="Times New Roman"/>
      <w:b/>
      <w:sz w:val="24"/>
      <w:szCs w:val="20"/>
      <w:lang w:eastAsia="zh-CN"/>
    </w:rPr>
  </w:style>
  <w:style w:type="paragraph" w:customStyle="1" w:styleId="NoteList">
    <w:name w:val="NoteList"/>
    <w:basedOn w:val="Normal"/>
    <w:next w:val="Subject"/>
    <w:rsid w:val="00A44A15"/>
    <w:pPr>
      <w:tabs>
        <w:tab w:val="left" w:pos="5823"/>
      </w:tabs>
      <w:spacing w:before="720" w:after="720" w:line="240" w:lineRule="auto"/>
      <w:ind w:left="5104" w:hanging="3119"/>
    </w:pPr>
    <w:rPr>
      <w:rFonts w:ascii="Times New Roman" w:eastAsia="Times New Roman" w:hAnsi="Times New Roman" w:cs="Times New Roman"/>
      <w:b/>
      <w:smallCaps/>
      <w:sz w:val="24"/>
      <w:szCs w:val="20"/>
      <w:lang w:eastAsia="zh-CN"/>
    </w:rPr>
  </w:style>
  <w:style w:type="paragraph" w:styleId="PlainText">
    <w:name w:val="Plain Text"/>
    <w:basedOn w:val="Normal"/>
    <w:link w:val="PlainTextChar"/>
    <w:uiPriority w:val="99"/>
    <w:rsid w:val="00A44A15"/>
    <w:pPr>
      <w:spacing w:after="240" w:line="240" w:lineRule="auto"/>
      <w:jc w:val="both"/>
    </w:pPr>
    <w:rPr>
      <w:rFonts w:ascii="Courier New" w:eastAsia="Times New Roman" w:hAnsi="Courier New" w:cs="Times New Roman"/>
      <w:sz w:val="20"/>
      <w:szCs w:val="20"/>
      <w:lang w:eastAsia="zh-CN"/>
    </w:rPr>
  </w:style>
  <w:style w:type="character" w:customStyle="1" w:styleId="PlainTextChar">
    <w:name w:val="Plain Text Char"/>
    <w:basedOn w:val="DefaultParagraphFont"/>
    <w:link w:val="PlainText"/>
    <w:uiPriority w:val="99"/>
    <w:rsid w:val="00A44A15"/>
    <w:rPr>
      <w:rFonts w:ascii="Courier New" w:eastAsia="Times New Roman" w:hAnsi="Courier New" w:cs="Times New Roman"/>
      <w:sz w:val="20"/>
      <w:szCs w:val="20"/>
      <w:lang w:val="en-GB" w:eastAsia="zh-CN"/>
    </w:rPr>
  </w:style>
  <w:style w:type="paragraph" w:styleId="Salutation">
    <w:name w:val="Salutation"/>
    <w:basedOn w:val="Normal"/>
    <w:next w:val="Normal"/>
    <w:link w:val="SalutationChar"/>
    <w:uiPriority w:val="99"/>
    <w:rsid w:val="00A44A15"/>
    <w:pPr>
      <w:spacing w:after="240" w:line="240" w:lineRule="auto"/>
      <w:jc w:val="both"/>
    </w:pPr>
    <w:rPr>
      <w:rFonts w:ascii="Times New Roman" w:eastAsia="Times New Roman" w:hAnsi="Times New Roman" w:cs="Times New Roman"/>
      <w:sz w:val="24"/>
      <w:szCs w:val="20"/>
      <w:lang w:eastAsia="zh-CN"/>
    </w:rPr>
  </w:style>
  <w:style w:type="character" w:customStyle="1" w:styleId="SalutationChar">
    <w:name w:val="Salutation Char"/>
    <w:basedOn w:val="DefaultParagraphFont"/>
    <w:link w:val="Salutation"/>
    <w:uiPriority w:val="99"/>
    <w:rsid w:val="00A44A15"/>
    <w:rPr>
      <w:rFonts w:ascii="Times New Roman" w:eastAsia="Times New Roman" w:hAnsi="Times New Roman" w:cs="Times New Roman"/>
      <w:sz w:val="24"/>
      <w:szCs w:val="20"/>
      <w:lang w:val="en-GB" w:eastAsia="zh-CN"/>
    </w:rPr>
  </w:style>
  <w:style w:type="paragraph" w:styleId="Subtitle">
    <w:name w:val="Subtitle"/>
    <w:basedOn w:val="Normal"/>
    <w:next w:val="Normal"/>
    <w:link w:val="SubtitleChar"/>
    <w:uiPriority w:val="11"/>
    <w:qFormat/>
    <w:rsid w:val="0003407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3407F"/>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03407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3407F"/>
    <w:rPr>
      <w:rFonts w:asciiTheme="majorHAnsi" w:eastAsiaTheme="majorEastAsia" w:hAnsiTheme="majorHAnsi" w:cstheme="majorBidi"/>
      <w:caps/>
      <w:color w:val="44546A" w:themeColor="text2"/>
      <w:spacing w:val="-15"/>
      <w:sz w:val="72"/>
      <w:szCs w:val="72"/>
    </w:rPr>
  </w:style>
  <w:style w:type="paragraph" w:customStyle="1" w:styleId="YReferences">
    <w:name w:val="YReferences"/>
    <w:basedOn w:val="Normal"/>
    <w:next w:val="Normal"/>
    <w:rsid w:val="00A44A15"/>
    <w:pPr>
      <w:spacing w:after="480" w:line="240" w:lineRule="auto"/>
      <w:ind w:left="1191" w:hanging="1191"/>
      <w:jc w:val="both"/>
    </w:pPr>
    <w:rPr>
      <w:rFonts w:ascii="Times New Roman" w:eastAsia="Times New Roman" w:hAnsi="Times New Roman" w:cs="Times New Roman"/>
      <w:sz w:val="24"/>
      <w:szCs w:val="20"/>
      <w:lang w:eastAsia="zh-CN"/>
    </w:rPr>
  </w:style>
  <w:style w:type="paragraph" w:customStyle="1" w:styleId="DisclaimerNotice">
    <w:name w:val="Disclaimer Notice"/>
    <w:basedOn w:val="Normal"/>
    <w:next w:val="AddressTR"/>
    <w:rsid w:val="00A44A15"/>
    <w:pPr>
      <w:spacing w:after="240" w:line="240" w:lineRule="auto"/>
      <w:ind w:left="5103"/>
    </w:pPr>
    <w:rPr>
      <w:rFonts w:ascii="Times New Roman" w:eastAsia="Times New Roman" w:hAnsi="Times New Roman" w:cs="Times New Roman"/>
      <w:b/>
      <w:smallCaps/>
      <w:sz w:val="20"/>
      <w:szCs w:val="20"/>
      <w:u w:val="single"/>
      <w:lang w:eastAsia="zh-CN"/>
    </w:rPr>
  </w:style>
  <w:style w:type="paragraph" w:customStyle="1" w:styleId="Disclaimer">
    <w:name w:val="Disclaimer"/>
    <w:basedOn w:val="Normal"/>
    <w:rsid w:val="00A44A15"/>
    <w:pPr>
      <w:keepLines/>
      <w:pBdr>
        <w:top w:val="single" w:sz="4" w:space="1" w:color="auto"/>
      </w:pBdr>
      <w:spacing w:before="480" w:after="0" w:line="240" w:lineRule="auto"/>
      <w:jc w:val="both"/>
    </w:pPr>
    <w:rPr>
      <w:rFonts w:ascii="Times New Roman" w:eastAsia="Times New Roman" w:hAnsi="Times New Roman" w:cs="Times New Roman"/>
      <w:i/>
      <w:sz w:val="24"/>
      <w:szCs w:val="20"/>
      <w:lang w:eastAsia="zh-CN"/>
    </w:rPr>
  </w:style>
  <w:style w:type="character" w:styleId="FollowedHyperlink">
    <w:name w:val="FollowedHyperlink"/>
    <w:basedOn w:val="DefaultParagraphFont"/>
    <w:uiPriority w:val="99"/>
    <w:rsid w:val="00A44A15"/>
    <w:rPr>
      <w:color w:val="800080"/>
      <w:u w:val="single"/>
      <w:shd w:val="clear" w:color="auto" w:fill="auto"/>
    </w:rPr>
  </w:style>
  <w:style w:type="paragraph" w:customStyle="1" w:styleId="DisclaimerSJ">
    <w:name w:val="Disclaimer_SJ"/>
    <w:basedOn w:val="Normal"/>
    <w:next w:val="Normal"/>
    <w:rsid w:val="00A44A15"/>
    <w:pPr>
      <w:spacing w:after="0" w:line="240" w:lineRule="auto"/>
      <w:jc w:val="both"/>
    </w:pPr>
    <w:rPr>
      <w:rFonts w:ascii="Arial" w:eastAsia="Times New Roman" w:hAnsi="Arial" w:cs="Times New Roman"/>
      <w:b/>
      <w:sz w:val="16"/>
      <w:szCs w:val="20"/>
      <w:lang w:eastAsia="zh-CN"/>
    </w:rPr>
  </w:style>
  <w:style w:type="paragraph" w:customStyle="1" w:styleId="ZCom">
    <w:name w:val="Z_Com"/>
    <w:basedOn w:val="Normal"/>
    <w:next w:val="ZDGName"/>
    <w:rsid w:val="00A44A15"/>
    <w:pPr>
      <w:widowControl w:val="0"/>
      <w:spacing w:after="0" w:line="240" w:lineRule="auto"/>
      <w:ind w:right="85"/>
      <w:jc w:val="both"/>
    </w:pPr>
    <w:rPr>
      <w:rFonts w:ascii="Arial" w:eastAsia="Times New Roman" w:hAnsi="Arial" w:cs="Times New Roman"/>
      <w:sz w:val="24"/>
      <w:szCs w:val="20"/>
    </w:rPr>
  </w:style>
  <w:style w:type="paragraph" w:customStyle="1" w:styleId="ZDGName">
    <w:name w:val="Z_DGName"/>
    <w:basedOn w:val="Normal"/>
    <w:rsid w:val="00A44A15"/>
    <w:pPr>
      <w:widowControl w:val="0"/>
      <w:spacing w:after="0" w:line="240" w:lineRule="auto"/>
      <w:ind w:right="85"/>
    </w:pPr>
    <w:rPr>
      <w:rFonts w:ascii="Arial" w:eastAsia="Times New Roman" w:hAnsi="Arial" w:cs="Times New Roman"/>
      <w:sz w:val="16"/>
      <w:szCs w:val="20"/>
    </w:rPr>
  </w:style>
  <w:style w:type="paragraph" w:customStyle="1" w:styleId="Style91">
    <w:name w:val="Style91"/>
    <w:rsid w:val="00A44A15"/>
    <w:pPr>
      <w:spacing w:after="0" w:line="240" w:lineRule="auto"/>
    </w:pPr>
    <w:rPr>
      <w:rFonts w:ascii="Arial" w:eastAsia="Times New Roman" w:hAnsi="Arial" w:cs="Times New Roman"/>
      <w:sz w:val="24"/>
      <w:szCs w:val="20"/>
    </w:rPr>
  </w:style>
  <w:style w:type="paragraph" w:customStyle="1" w:styleId="texte">
    <w:name w:val="texte"/>
    <w:basedOn w:val="Normal"/>
    <w:rsid w:val="00A44A15"/>
    <w:pPr>
      <w:spacing w:before="100" w:beforeAutospacing="1" w:after="100" w:afterAutospacing="1" w:line="240" w:lineRule="auto"/>
      <w:jc w:val="both"/>
    </w:pPr>
    <w:rPr>
      <w:rFonts w:ascii="Arial" w:eastAsia="Times New Roman" w:hAnsi="Arial" w:cs="Arial"/>
      <w:color w:val="333399"/>
      <w:sz w:val="18"/>
      <w:szCs w:val="18"/>
      <w:lang w:eastAsia="zh-CN"/>
    </w:rPr>
  </w:style>
  <w:style w:type="table" w:styleId="TableGrid">
    <w:name w:val="Table Grid"/>
    <w:basedOn w:val="TableNormal"/>
    <w:uiPriority w:val="39"/>
    <w:rsid w:val="00A44A15"/>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44A15"/>
    <w:rPr>
      <w:sz w:val="16"/>
      <w:shd w:val="clear" w:color="auto" w:fill="auto"/>
    </w:rPr>
  </w:style>
  <w:style w:type="paragraph" w:styleId="CommentText">
    <w:name w:val="annotation text"/>
    <w:basedOn w:val="Normal"/>
    <w:link w:val="CommentTextChar"/>
    <w:uiPriority w:val="99"/>
    <w:rsid w:val="00A44A15"/>
    <w:pPr>
      <w:spacing w:before="120" w:after="12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A44A15"/>
    <w:rPr>
      <w:rFonts w:ascii="Times New Roman" w:eastAsia="Times New Roman" w:hAnsi="Times New Roman" w:cs="Times New Roman"/>
      <w:sz w:val="20"/>
      <w:szCs w:val="20"/>
      <w:lang w:val="en-GB" w:eastAsia="zh-CN"/>
    </w:rPr>
  </w:style>
  <w:style w:type="paragraph" w:styleId="CommentSubject">
    <w:name w:val="annotation subject"/>
    <w:basedOn w:val="CommentText"/>
    <w:next w:val="CommentText"/>
    <w:link w:val="CommentSubjectChar"/>
    <w:uiPriority w:val="99"/>
    <w:rsid w:val="00A44A15"/>
    <w:rPr>
      <w:b/>
      <w:bCs/>
    </w:rPr>
  </w:style>
  <w:style w:type="character" w:customStyle="1" w:styleId="CommentSubjectChar">
    <w:name w:val="Comment Subject Char"/>
    <w:basedOn w:val="CommentTextChar"/>
    <w:link w:val="CommentSubject"/>
    <w:uiPriority w:val="99"/>
    <w:rsid w:val="00A44A15"/>
    <w:rPr>
      <w:rFonts w:ascii="Times New Roman" w:eastAsia="Times New Roman" w:hAnsi="Times New Roman" w:cs="Times New Roman"/>
      <w:b/>
      <w:bCs/>
      <w:sz w:val="20"/>
      <w:szCs w:val="20"/>
      <w:lang w:val="en-GB" w:eastAsia="zh-CN"/>
    </w:rPr>
  </w:style>
  <w:style w:type="paragraph" w:customStyle="1" w:styleId="Style1">
    <w:name w:val="Style1"/>
    <w:basedOn w:val="Heading1"/>
    <w:rsid w:val="00A44A15"/>
    <w:pPr>
      <w:tabs>
        <w:tab w:val="left" w:pos="709"/>
      </w:tabs>
      <w:spacing w:before="240" w:after="0"/>
      <w:ind w:left="851" w:hanging="851"/>
    </w:pPr>
    <w:rPr>
      <w:bCs/>
      <w:szCs w:val="20"/>
      <w:lang w:eastAsia="zh-CN"/>
    </w:rPr>
  </w:style>
  <w:style w:type="paragraph" w:customStyle="1" w:styleId="Normal10pt">
    <w:name w:val="Normal + 10 pt"/>
    <w:aliases w:val="Condensed by  0,15 pt"/>
    <w:basedOn w:val="Normal"/>
    <w:rsid w:val="00A44A15"/>
    <w:pPr>
      <w:keepNext/>
      <w:suppressAutoHyphens/>
      <w:spacing w:after="0" w:line="240" w:lineRule="auto"/>
      <w:ind w:left="255"/>
    </w:pPr>
    <w:rPr>
      <w:rFonts w:ascii="Times New Roman" w:eastAsia="Times New Roman" w:hAnsi="Times New Roman" w:cs="Times New Roman"/>
      <w:spacing w:val="-3"/>
      <w:sz w:val="18"/>
      <w:szCs w:val="18"/>
      <w:lang w:eastAsia="zh-CN"/>
    </w:rPr>
  </w:style>
  <w:style w:type="paragraph" w:customStyle="1" w:styleId="5Normal">
    <w:name w:val="5 Normal"/>
    <w:rsid w:val="00A44A1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character" w:styleId="Emphasis">
    <w:name w:val="Emphasis"/>
    <w:basedOn w:val="DefaultParagraphFont"/>
    <w:uiPriority w:val="20"/>
    <w:qFormat/>
    <w:rsid w:val="0003407F"/>
    <w:rPr>
      <w:i/>
      <w:iCs/>
    </w:rPr>
  </w:style>
  <w:style w:type="paragraph" w:styleId="Caption">
    <w:name w:val="caption"/>
    <w:basedOn w:val="Normal"/>
    <w:next w:val="Normal"/>
    <w:uiPriority w:val="35"/>
    <w:unhideWhenUsed/>
    <w:qFormat/>
    <w:rsid w:val="0003407F"/>
    <w:pPr>
      <w:spacing w:line="240" w:lineRule="auto"/>
    </w:pPr>
    <w:rPr>
      <w:b/>
      <w:bCs/>
      <w:smallCaps/>
      <w:color w:val="44546A" w:themeColor="text2"/>
    </w:rPr>
  </w:style>
  <w:style w:type="paragraph" w:styleId="EndnoteText">
    <w:name w:val="endnote text"/>
    <w:basedOn w:val="Normal"/>
    <w:link w:val="EndnoteTextChar"/>
    <w:uiPriority w:val="99"/>
    <w:rsid w:val="00A44A15"/>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A44A15"/>
    <w:rPr>
      <w:rFonts w:ascii="Times New Roman" w:eastAsia="Times New Roman" w:hAnsi="Times New Roman" w:cs="Times New Roman"/>
      <w:sz w:val="20"/>
      <w:szCs w:val="20"/>
      <w:lang w:val="en-GB"/>
    </w:rPr>
  </w:style>
  <w:style w:type="paragraph" w:styleId="Index2">
    <w:name w:val="index 2"/>
    <w:basedOn w:val="Normal"/>
    <w:next w:val="Normal"/>
    <w:autoRedefine/>
    <w:uiPriority w:val="99"/>
    <w:rsid w:val="00A44A15"/>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uiPriority w:val="99"/>
    <w:rsid w:val="00A44A15"/>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uiPriority w:val="99"/>
    <w:rsid w:val="00A44A15"/>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uiPriority w:val="99"/>
    <w:rsid w:val="00A44A15"/>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uiPriority w:val="99"/>
    <w:rsid w:val="00A44A15"/>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uiPriority w:val="99"/>
    <w:rsid w:val="00A44A15"/>
    <w:pPr>
      <w:spacing w:after="240" w:line="240" w:lineRule="auto"/>
      <w:ind w:left="1680" w:hanging="240"/>
      <w:jc w:val="both"/>
    </w:pPr>
    <w:rPr>
      <w:rFonts w:ascii="Times New Roman" w:eastAsia="Times New Roman" w:hAnsi="Times New Roman" w:cs="Times New Roman"/>
      <w:sz w:val="24"/>
      <w:szCs w:val="20"/>
    </w:rPr>
  </w:style>
  <w:style w:type="paragraph" w:styleId="Index9">
    <w:name w:val="index 9"/>
    <w:basedOn w:val="Normal"/>
    <w:next w:val="Normal"/>
    <w:autoRedefine/>
    <w:uiPriority w:val="99"/>
    <w:rsid w:val="00A44A15"/>
    <w:pPr>
      <w:spacing w:after="240" w:line="240" w:lineRule="auto"/>
      <w:ind w:left="2160" w:hanging="240"/>
      <w:jc w:val="both"/>
    </w:pPr>
    <w:rPr>
      <w:rFonts w:ascii="Times New Roman" w:eastAsia="Times New Roman" w:hAnsi="Times New Roman" w:cs="Times New Roman"/>
      <w:sz w:val="24"/>
      <w:szCs w:val="20"/>
    </w:rPr>
  </w:style>
  <w:style w:type="paragraph" w:styleId="TableofAuthorities">
    <w:name w:val="table of authorities"/>
    <w:basedOn w:val="Normal"/>
    <w:next w:val="Normal"/>
    <w:uiPriority w:val="99"/>
    <w:rsid w:val="00A44A15"/>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uiPriority w:val="99"/>
    <w:rsid w:val="00A44A15"/>
    <w:pPr>
      <w:spacing w:after="240" w:line="240" w:lineRule="auto"/>
      <w:ind w:left="480" w:hanging="480"/>
      <w:jc w:val="both"/>
    </w:pPr>
    <w:rPr>
      <w:rFonts w:ascii="Times New Roman" w:eastAsia="Times New Roman" w:hAnsi="Times New Roman" w:cs="Times New Roman"/>
      <w:sz w:val="24"/>
      <w:szCs w:val="20"/>
    </w:rPr>
  </w:style>
  <w:style w:type="paragraph" w:styleId="TOAHeading">
    <w:name w:val="toa heading"/>
    <w:basedOn w:val="Normal"/>
    <w:next w:val="Normal"/>
    <w:uiPriority w:val="99"/>
    <w:rsid w:val="00A44A15"/>
    <w:pPr>
      <w:spacing w:before="120" w:after="240" w:line="240" w:lineRule="auto"/>
      <w:jc w:val="both"/>
    </w:pPr>
    <w:rPr>
      <w:rFonts w:ascii="Arial" w:eastAsia="Times New Roman" w:hAnsi="Arial" w:cs="Times New Roman"/>
      <w:b/>
      <w:sz w:val="24"/>
      <w:szCs w:val="20"/>
    </w:rPr>
  </w:style>
  <w:style w:type="paragraph" w:customStyle="1" w:styleId="Heading">
    <w:name w:val="Heading"/>
    <w:basedOn w:val="Heading1"/>
    <w:rsid w:val="00A44A15"/>
    <w:pPr>
      <w:tabs>
        <w:tab w:val="num" w:pos="480"/>
        <w:tab w:val="left" w:pos="709"/>
      </w:tabs>
      <w:spacing w:before="240"/>
      <w:ind w:left="480" w:hanging="480"/>
    </w:pPr>
    <w:rPr>
      <w:bCs/>
      <w:sz w:val="22"/>
      <w:szCs w:val="22"/>
    </w:rPr>
  </w:style>
  <w:style w:type="paragraph" w:customStyle="1" w:styleId="Normal1">
    <w:name w:val="Normal1"/>
    <w:basedOn w:val="Normal"/>
    <w:rsid w:val="00A44A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rsid w:val="00A44A15"/>
    <w:pPr>
      <w:spacing w:before="60" w:after="60" w:line="240" w:lineRule="auto"/>
    </w:pPr>
    <w:rPr>
      <w:rFonts w:ascii="Times New Roman" w:eastAsia="Times New Roman" w:hAnsi="Times New Roman" w:cs="Times New Roman"/>
      <w:sz w:val="20"/>
      <w:szCs w:val="20"/>
      <w:lang w:eastAsia="en-GB"/>
    </w:rPr>
  </w:style>
  <w:style w:type="paragraph" w:customStyle="1" w:styleId="EntInstit">
    <w:name w:val="EntInstit"/>
    <w:basedOn w:val="NormalConseil"/>
    <w:rsid w:val="00A44A15"/>
    <w:pPr>
      <w:jc w:val="right"/>
    </w:pPr>
    <w:rPr>
      <w:b/>
    </w:rPr>
  </w:style>
  <w:style w:type="paragraph" w:customStyle="1" w:styleId="NormalConseil">
    <w:name w:val="NormalConseil"/>
    <w:basedOn w:val="Normal"/>
    <w:rsid w:val="00A44A15"/>
    <w:pPr>
      <w:spacing w:after="0" w:line="240" w:lineRule="auto"/>
    </w:pPr>
    <w:rPr>
      <w:rFonts w:ascii="Times New Roman" w:eastAsia="Times New Roman" w:hAnsi="Times New Roman" w:cs="Times New Roman"/>
      <w:sz w:val="24"/>
      <w:szCs w:val="20"/>
      <w:lang w:eastAsia="fr-BE"/>
    </w:rPr>
  </w:style>
  <w:style w:type="paragraph" w:customStyle="1" w:styleId="EntRefer">
    <w:name w:val="EntRefer"/>
    <w:basedOn w:val="NormalConseil"/>
    <w:rsid w:val="00A44A15"/>
    <w:rPr>
      <w:b/>
    </w:rPr>
  </w:style>
  <w:style w:type="paragraph" w:customStyle="1" w:styleId="EntEmet">
    <w:name w:val="EntEmet"/>
    <w:basedOn w:val="NormalConseil"/>
    <w:rsid w:val="00A44A15"/>
    <w:pPr>
      <w:tabs>
        <w:tab w:val="left" w:pos="284"/>
        <w:tab w:val="left" w:pos="567"/>
        <w:tab w:val="left" w:pos="851"/>
        <w:tab w:val="left" w:pos="1134"/>
        <w:tab w:val="left" w:pos="1418"/>
      </w:tabs>
      <w:spacing w:before="40"/>
    </w:pPr>
  </w:style>
  <w:style w:type="paragraph" w:customStyle="1" w:styleId="EntLogo">
    <w:name w:val="EntLogo"/>
    <w:basedOn w:val="NormalConseil"/>
    <w:next w:val="EntInstit"/>
    <w:rsid w:val="00A44A15"/>
    <w:pPr>
      <w:spacing w:line="360" w:lineRule="auto"/>
    </w:pPr>
    <w:rPr>
      <w:b/>
    </w:rPr>
  </w:style>
  <w:style w:type="paragraph" w:customStyle="1" w:styleId="FooterConseil">
    <w:name w:val="FooterConseil"/>
    <w:basedOn w:val="NormalConseil"/>
    <w:rsid w:val="00A44A15"/>
    <w:pPr>
      <w:tabs>
        <w:tab w:val="center" w:pos="4820"/>
        <w:tab w:val="center" w:pos="7371"/>
        <w:tab w:val="right" w:pos="9639"/>
      </w:tabs>
    </w:pPr>
  </w:style>
  <w:style w:type="character" w:styleId="Strong">
    <w:name w:val="Strong"/>
    <w:basedOn w:val="DefaultParagraphFont"/>
    <w:uiPriority w:val="22"/>
    <w:qFormat/>
    <w:rsid w:val="0003407F"/>
    <w:rPr>
      <w:b/>
      <w:bCs/>
    </w:rPr>
  </w:style>
  <w:style w:type="paragraph" w:customStyle="1" w:styleId="Annexetitrefichefinacte">
    <w:name w:val="Annexe titre (fiche fin. acte)"/>
    <w:basedOn w:val="Normal"/>
    <w:next w:val="Normal"/>
    <w:rsid w:val="00A44A15"/>
    <w:pPr>
      <w:spacing w:before="120" w:after="120" w:line="240" w:lineRule="auto"/>
      <w:jc w:val="center"/>
    </w:pPr>
    <w:rPr>
      <w:rFonts w:ascii="Times New Roman" w:eastAsia="Times New Roman" w:hAnsi="Times New Roman" w:cs="Times New Roman"/>
      <w:b/>
      <w:sz w:val="24"/>
      <w:szCs w:val="24"/>
      <w:u w:val="single"/>
      <w:lang w:eastAsia="de-DE"/>
    </w:rPr>
  </w:style>
  <w:style w:type="character" w:customStyle="1" w:styleId="Text1Char">
    <w:name w:val="Text 1 Char"/>
    <w:link w:val="Text1"/>
    <w:locked/>
    <w:rsid w:val="00A44A15"/>
    <w:rPr>
      <w:rFonts w:ascii="Times New Roman" w:eastAsia="MS PGothic" w:hAnsi="Times New Roman" w:cs="Times New Roman"/>
      <w:noProof/>
      <w:sz w:val="24"/>
      <w:szCs w:val="24"/>
      <w:lang w:val="en-GB"/>
    </w:rPr>
  </w:style>
  <w:style w:type="paragraph" w:customStyle="1" w:styleId="Declassification">
    <w:name w:val="Declassification"/>
    <w:basedOn w:val="Normal"/>
    <w:next w:val="Normal"/>
    <w:rsid w:val="00A44A15"/>
    <w:pPr>
      <w:spacing w:after="0" w:line="240" w:lineRule="auto"/>
      <w:jc w:val="both"/>
    </w:pPr>
    <w:rPr>
      <w:rFonts w:ascii="Times New Roman" w:eastAsia="Times New Roman" w:hAnsi="Times New Roman" w:cs="Times New Roman"/>
      <w:sz w:val="24"/>
    </w:rPr>
  </w:style>
  <w:style w:type="paragraph" w:styleId="Revision">
    <w:name w:val="Revision"/>
    <w:hidden/>
    <w:uiPriority w:val="99"/>
    <w:semiHidden/>
    <w:rsid w:val="00A44A15"/>
    <w:pPr>
      <w:spacing w:after="0"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A44A15"/>
    <w:pPr>
      <w:ind w:left="720"/>
      <w:contextualSpacing/>
    </w:pPr>
  </w:style>
  <w:style w:type="paragraph" w:customStyle="1" w:styleId="SecurityMarking">
    <w:name w:val="SecurityMarking"/>
    <w:basedOn w:val="Normal"/>
    <w:rsid w:val="00A44A15"/>
    <w:pPr>
      <w:spacing w:after="0"/>
      <w:ind w:left="5103"/>
    </w:pPr>
    <w:rPr>
      <w:rFonts w:ascii="Times New Roman" w:eastAsia="Times New Roman" w:hAnsi="Times New Roman" w:cs="Times New Roman"/>
      <w:sz w:val="28"/>
    </w:rPr>
  </w:style>
  <w:style w:type="paragraph" w:customStyle="1" w:styleId="DateMarking">
    <w:name w:val="DateMarking"/>
    <w:basedOn w:val="Normal"/>
    <w:rsid w:val="00A44A15"/>
    <w:pPr>
      <w:spacing w:after="0"/>
      <w:ind w:left="5103"/>
    </w:pPr>
    <w:rPr>
      <w:rFonts w:ascii="Times New Roman" w:eastAsia="Times New Roman" w:hAnsi="Times New Roman" w:cs="Times New Roman"/>
      <w:i/>
      <w:sz w:val="28"/>
    </w:rPr>
  </w:style>
  <w:style w:type="paragraph" w:customStyle="1" w:styleId="ReleasableTo">
    <w:name w:val="ReleasableTo"/>
    <w:basedOn w:val="Normal"/>
    <w:rsid w:val="00A44A15"/>
    <w:pPr>
      <w:spacing w:after="0"/>
      <w:ind w:left="5103"/>
    </w:pPr>
    <w:rPr>
      <w:rFonts w:ascii="Times New Roman" w:eastAsia="Times New Roman" w:hAnsi="Times New Roman" w:cs="Times New Roman"/>
      <w:i/>
      <w:sz w:val="28"/>
    </w:rPr>
  </w:style>
  <w:style w:type="numbering" w:styleId="111111">
    <w:name w:val="Outline List 2"/>
    <w:basedOn w:val="NoList"/>
    <w:uiPriority w:val="99"/>
    <w:semiHidden/>
    <w:unhideWhenUsed/>
    <w:rsid w:val="00A44A15"/>
    <w:pPr>
      <w:numPr>
        <w:numId w:val="17"/>
      </w:numPr>
    </w:pPr>
  </w:style>
  <w:style w:type="paragraph" w:customStyle="1" w:styleId="title-fam-member-star">
    <w:name w:val="title-fam-member-star"/>
    <w:basedOn w:val="Normal"/>
    <w:rsid w:val="00A44A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1">
    <w:name w:val="toc-1"/>
    <w:basedOn w:val="Normal"/>
    <w:rsid w:val="00A44A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A44A15"/>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A44A15"/>
    <w:rPr>
      <w:vertAlign w:val="superscript"/>
    </w:rPr>
  </w:style>
  <w:style w:type="table" w:customStyle="1" w:styleId="TableGrid1">
    <w:name w:val="Table Grid1"/>
    <w:basedOn w:val="TableNormal"/>
    <w:next w:val="TableGrid"/>
    <w:uiPriority w:val="39"/>
    <w:rsid w:val="0024366A"/>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5B1F"/>
    <w:rPr>
      <w:color w:val="605E5C"/>
      <w:shd w:val="clear" w:color="auto" w:fill="E1DFDD"/>
    </w:rPr>
  </w:style>
  <w:style w:type="paragraph" w:styleId="NoSpacing">
    <w:name w:val="No Spacing"/>
    <w:uiPriority w:val="1"/>
    <w:qFormat/>
    <w:rsid w:val="0003407F"/>
    <w:pPr>
      <w:spacing w:after="0" w:line="240" w:lineRule="auto"/>
    </w:pPr>
  </w:style>
  <w:style w:type="paragraph" w:styleId="Quote">
    <w:name w:val="Quote"/>
    <w:basedOn w:val="Normal"/>
    <w:next w:val="Normal"/>
    <w:link w:val="QuoteChar"/>
    <w:uiPriority w:val="29"/>
    <w:qFormat/>
    <w:rsid w:val="0003407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3407F"/>
    <w:rPr>
      <w:color w:val="44546A" w:themeColor="text2"/>
      <w:sz w:val="24"/>
      <w:szCs w:val="24"/>
    </w:rPr>
  </w:style>
  <w:style w:type="paragraph" w:styleId="IntenseQuote">
    <w:name w:val="Intense Quote"/>
    <w:basedOn w:val="Normal"/>
    <w:next w:val="Normal"/>
    <w:link w:val="IntenseQuoteChar"/>
    <w:uiPriority w:val="30"/>
    <w:qFormat/>
    <w:rsid w:val="0003407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3407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3407F"/>
    <w:rPr>
      <w:i/>
      <w:iCs/>
      <w:color w:val="595959" w:themeColor="text1" w:themeTint="A6"/>
    </w:rPr>
  </w:style>
  <w:style w:type="character" w:styleId="IntenseEmphasis">
    <w:name w:val="Intense Emphasis"/>
    <w:basedOn w:val="DefaultParagraphFont"/>
    <w:uiPriority w:val="21"/>
    <w:qFormat/>
    <w:rsid w:val="0003407F"/>
    <w:rPr>
      <w:b/>
      <w:bCs/>
      <w:i/>
      <w:iCs/>
    </w:rPr>
  </w:style>
  <w:style w:type="character" w:styleId="SubtleReference">
    <w:name w:val="Subtle Reference"/>
    <w:basedOn w:val="DefaultParagraphFont"/>
    <w:uiPriority w:val="31"/>
    <w:qFormat/>
    <w:rsid w:val="00034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3407F"/>
    <w:rPr>
      <w:b/>
      <w:bCs/>
      <w:smallCaps/>
      <w:color w:val="44546A" w:themeColor="text2"/>
      <w:u w:val="single"/>
    </w:rPr>
  </w:style>
  <w:style w:type="character" w:styleId="BookTitle">
    <w:name w:val="Book Title"/>
    <w:basedOn w:val="DefaultParagraphFont"/>
    <w:uiPriority w:val="33"/>
    <w:qFormat/>
    <w:rsid w:val="0003407F"/>
    <w:rPr>
      <w:b/>
      <w:bCs/>
      <w:smallCaps/>
      <w:spacing w:val="10"/>
    </w:rPr>
  </w:style>
  <w:style w:type="character" w:customStyle="1" w:styleId="UnresolvedMention2">
    <w:name w:val="Unresolved Mention2"/>
    <w:basedOn w:val="DefaultParagraphFont"/>
    <w:uiPriority w:val="99"/>
    <w:semiHidden/>
    <w:unhideWhenUsed/>
    <w:rsid w:val="00580528"/>
    <w:rPr>
      <w:color w:val="605E5C"/>
      <w:shd w:val="clear" w:color="auto" w:fill="E1DFDD"/>
    </w:rPr>
  </w:style>
  <w:style w:type="character" w:customStyle="1" w:styleId="Mention">
    <w:name w:val="Mention"/>
    <w:basedOn w:val="DefaultParagraphFont"/>
    <w:uiPriority w:val="99"/>
    <w:unhideWhenUsed/>
    <w:rsid w:val="00B17485"/>
    <w:rPr>
      <w:color w:val="2B579A"/>
      <w:shd w:val="clear" w:color="auto" w:fill="E1DFDD"/>
    </w:rPr>
  </w:style>
  <w:style w:type="character" w:customStyle="1" w:styleId="UnresolvedMention">
    <w:name w:val="Unresolved Mention"/>
    <w:basedOn w:val="DefaultParagraphFont"/>
    <w:uiPriority w:val="99"/>
    <w:semiHidden/>
    <w:unhideWhenUsed/>
    <w:rsid w:val="00510422"/>
    <w:rPr>
      <w:color w:val="605E5C"/>
      <w:shd w:val="clear" w:color="auto" w:fill="E1DFDD"/>
    </w:rPr>
  </w:style>
  <w:style w:type="paragraph" w:customStyle="1" w:styleId="paragraph">
    <w:name w:val="paragraph"/>
    <w:basedOn w:val="Normal"/>
    <w:rsid w:val="00ED654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ED654B"/>
  </w:style>
  <w:style w:type="character" w:customStyle="1" w:styleId="eop">
    <w:name w:val="eop"/>
    <w:basedOn w:val="DefaultParagraphFont"/>
    <w:rsid w:val="00ED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94266">
      <w:bodyDiv w:val="1"/>
      <w:marLeft w:val="0"/>
      <w:marRight w:val="0"/>
      <w:marTop w:val="0"/>
      <w:marBottom w:val="0"/>
      <w:divBdr>
        <w:top w:val="none" w:sz="0" w:space="0" w:color="auto"/>
        <w:left w:val="none" w:sz="0" w:space="0" w:color="auto"/>
        <w:bottom w:val="none" w:sz="0" w:space="0" w:color="auto"/>
        <w:right w:val="none" w:sz="0" w:space="0" w:color="auto"/>
      </w:divBdr>
      <w:divsChild>
        <w:div w:id="632053380">
          <w:marLeft w:val="0"/>
          <w:marRight w:val="0"/>
          <w:marTop w:val="0"/>
          <w:marBottom w:val="0"/>
          <w:divBdr>
            <w:top w:val="none" w:sz="0" w:space="0" w:color="auto"/>
            <w:left w:val="none" w:sz="0" w:space="0" w:color="auto"/>
            <w:bottom w:val="none" w:sz="0" w:space="0" w:color="auto"/>
            <w:right w:val="none" w:sz="0" w:space="0" w:color="auto"/>
          </w:divBdr>
          <w:divsChild>
            <w:div w:id="4569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9636">
      <w:bodyDiv w:val="1"/>
      <w:marLeft w:val="0"/>
      <w:marRight w:val="0"/>
      <w:marTop w:val="0"/>
      <w:marBottom w:val="0"/>
      <w:divBdr>
        <w:top w:val="none" w:sz="0" w:space="0" w:color="auto"/>
        <w:left w:val="none" w:sz="0" w:space="0" w:color="auto"/>
        <w:bottom w:val="none" w:sz="0" w:space="0" w:color="auto"/>
        <w:right w:val="none" w:sz="0" w:space="0" w:color="auto"/>
      </w:divBdr>
    </w:div>
    <w:div w:id="345375022">
      <w:bodyDiv w:val="1"/>
      <w:marLeft w:val="0"/>
      <w:marRight w:val="0"/>
      <w:marTop w:val="0"/>
      <w:marBottom w:val="0"/>
      <w:divBdr>
        <w:top w:val="none" w:sz="0" w:space="0" w:color="auto"/>
        <w:left w:val="none" w:sz="0" w:space="0" w:color="auto"/>
        <w:bottom w:val="none" w:sz="0" w:space="0" w:color="auto"/>
        <w:right w:val="none" w:sz="0" w:space="0" w:color="auto"/>
      </w:divBdr>
    </w:div>
    <w:div w:id="363291227">
      <w:bodyDiv w:val="1"/>
      <w:marLeft w:val="0"/>
      <w:marRight w:val="0"/>
      <w:marTop w:val="0"/>
      <w:marBottom w:val="0"/>
      <w:divBdr>
        <w:top w:val="none" w:sz="0" w:space="0" w:color="auto"/>
        <w:left w:val="none" w:sz="0" w:space="0" w:color="auto"/>
        <w:bottom w:val="none" w:sz="0" w:space="0" w:color="auto"/>
        <w:right w:val="none" w:sz="0" w:space="0" w:color="auto"/>
      </w:divBdr>
    </w:div>
    <w:div w:id="442502628">
      <w:bodyDiv w:val="1"/>
      <w:marLeft w:val="0"/>
      <w:marRight w:val="0"/>
      <w:marTop w:val="0"/>
      <w:marBottom w:val="0"/>
      <w:divBdr>
        <w:top w:val="none" w:sz="0" w:space="0" w:color="auto"/>
        <w:left w:val="none" w:sz="0" w:space="0" w:color="auto"/>
        <w:bottom w:val="none" w:sz="0" w:space="0" w:color="auto"/>
        <w:right w:val="none" w:sz="0" w:space="0" w:color="auto"/>
      </w:divBdr>
    </w:div>
    <w:div w:id="611328536">
      <w:bodyDiv w:val="1"/>
      <w:marLeft w:val="0"/>
      <w:marRight w:val="0"/>
      <w:marTop w:val="0"/>
      <w:marBottom w:val="0"/>
      <w:divBdr>
        <w:top w:val="none" w:sz="0" w:space="0" w:color="auto"/>
        <w:left w:val="none" w:sz="0" w:space="0" w:color="auto"/>
        <w:bottom w:val="none" w:sz="0" w:space="0" w:color="auto"/>
        <w:right w:val="none" w:sz="0" w:space="0" w:color="auto"/>
      </w:divBdr>
    </w:div>
    <w:div w:id="793866659">
      <w:bodyDiv w:val="1"/>
      <w:marLeft w:val="0"/>
      <w:marRight w:val="0"/>
      <w:marTop w:val="0"/>
      <w:marBottom w:val="0"/>
      <w:divBdr>
        <w:top w:val="none" w:sz="0" w:space="0" w:color="auto"/>
        <w:left w:val="none" w:sz="0" w:space="0" w:color="auto"/>
        <w:bottom w:val="none" w:sz="0" w:space="0" w:color="auto"/>
        <w:right w:val="none" w:sz="0" w:space="0" w:color="auto"/>
      </w:divBdr>
    </w:div>
    <w:div w:id="882907008">
      <w:bodyDiv w:val="1"/>
      <w:marLeft w:val="0"/>
      <w:marRight w:val="0"/>
      <w:marTop w:val="0"/>
      <w:marBottom w:val="0"/>
      <w:divBdr>
        <w:top w:val="none" w:sz="0" w:space="0" w:color="auto"/>
        <w:left w:val="none" w:sz="0" w:space="0" w:color="auto"/>
        <w:bottom w:val="none" w:sz="0" w:space="0" w:color="auto"/>
        <w:right w:val="none" w:sz="0" w:space="0" w:color="auto"/>
      </w:divBdr>
    </w:div>
    <w:div w:id="915553369">
      <w:bodyDiv w:val="1"/>
      <w:marLeft w:val="0"/>
      <w:marRight w:val="0"/>
      <w:marTop w:val="0"/>
      <w:marBottom w:val="0"/>
      <w:divBdr>
        <w:top w:val="none" w:sz="0" w:space="0" w:color="auto"/>
        <w:left w:val="none" w:sz="0" w:space="0" w:color="auto"/>
        <w:bottom w:val="none" w:sz="0" w:space="0" w:color="auto"/>
        <w:right w:val="none" w:sz="0" w:space="0" w:color="auto"/>
      </w:divBdr>
    </w:div>
    <w:div w:id="926228657">
      <w:bodyDiv w:val="1"/>
      <w:marLeft w:val="0"/>
      <w:marRight w:val="0"/>
      <w:marTop w:val="0"/>
      <w:marBottom w:val="0"/>
      <w:divBdr>
        <w:top w:val="none" w:sz="0" w:space="0" w:color="auto"/>
        <w:left w:val="none" w:sz="0" w:space="0" w:color="auto"/>
        <w:bottom w:val="none" w:sz="0" w:space="0" w:color="auto"/>
        <w:right w:val="none" w:sz="0" w:space="0" w:color="auto"/>
      </w:divBdr>
    </w:div>
    <w:div w:id="960652859">
      <w:bodyDiv w:val="1"/>
      <w:marLeft w:val="0"/>
      <w:marRight w:val="0"/>
      <w:marTop w:val="0"/>
      <w:marBottom w:val="0"/>
      <w:divBdr>
        <w:top w:val="none" w:sz="0" w:space="0" w:color="auto"/>
        <w:left w:val="none" w:sz="0" w:space="0" w:color="auto"/>
        <w:bottom w:val="none" w:sz="0" w:space="0" w:color="auto"/>
        <w:right w:val="none" w:sz="0" w:space="0" w:color="auto"/>
      </w:divBdr>
    </w:div>
    <w:div w:id="1041319836">
      <w:bodyDiv w:val="1"/>
      <w:marLeft w:val="0"/>
      <w:marRight w:val="0"/>
      <w:marTop w:val="0"/>
      <w:marBottom w:val="0"/>
      <w:divBdr>
        <w:top w:val="none" w:sz="0" w:space="0" w:color="auto"/>
        <w:left w:val="none" w:sz="0" w:space="0" w:color="auto"/>
        <w:bottom w:val="none" w:sz="0" w:space="0" w:color="auto"/>
        <w:right w:val="none" w:sz="0" w:space="0" w:color="auto"/>
      </w:divBdr>
    </w:div>
    <w:div w:id="1079525170">
      <w:bodyDiv w:val="1"/>
      <w:marLeft w:val="0"/>
      <w:marRight w:val="0"/>
      <w:marTop w:val="0"/>
      <w:marBottom w:val="0"/>
      <w:divBdr>
        <w:top w:val="none" w:sz="0" w:space="0" w:color="auto"/>
        <w:left w:val="none" w:sz="0" w:space="0" w:color="auto"/>
        <w:bottom w:val="none" w:sz="0" w:space="0" w:color="auto"/>
        <w:right w:val="none" w:sz="0" w:space="0" w:color="auto"/>
      </w:divBdr>
    </w:div>
    <w:div w:id="1300762968">
      <w:bodyDiv w:val="1"/>
      <w:marLeft w:val="0"/>
      <w:marRight w:val="0"/>
      <w:marTop w:val="0"/>
      <w:marBottom w:val="0"/>
      <w:divBdr>
        <w:top w:val="none" w:sz="0" w:space="0" w:color="auto"/>
        <w:left w:val="none" w:sz="0" w:space="0" w:color="auto"/>
        <w:bottom w:val="none" w:sz="0" w:space="0" w:color="auto"/>
        <w:right w:val="none" w:sz="0" w:space="0" w:color="auto"/>
      </w:divBdr>
    </w:div>
    <w:div w:id="1363169199">
      <w:bodyDiv w:val="1"/>
      <w:marLeft w:val="0"/>
      <w:marRight w:val="0"/>
      <w:marTop w:val="0"/>
      <w:marBottom w:val="0"/>
      <w:divBdr>
        <w:top w:val="none" w:sz="0" w:space="0" w:color="auto"/>
        <w:left w:val="none" w:sz="0" w:space="0" w:color="auto"/>
        <w:bottom w:val="none" w:sz="0" w:space="0" w:color="auto"/>
        <w:right w:val="none" w:sz="0" w:space="0" w:color="auto"/>
      </w:divBdr>
    </w:div>
    <w:div w:id="1412897365">
      <w:bodyDiv w:val="1"/>
      <w:marLeft w:val="0"/>
      <w:marRight w:val="0"/>
      <w:marTop w:val="0"/>
      <w:marBottom w:val="0"/>
      <w:divBdr>
        <w:top w:val="none" w:sz="0" w:space="0" w:color="auto"/>
        <w:left w:val="none" w:sz="0" w:space="0" w:color="auto"/>
        <w:bottom w:val="none" w:sz="0" w:space="0" w:color="auto"/>
        <w:right w:val="none" w:sz="0" w:space="0" w:color="auto"/>
      </w:divBdr>
    </w:div>
    <w:div w:id="1491402771">
      <w:bodyDiv w:val="1"/>
      <w:marLeft w:val="0"/>
      <w:marRight w:val="0"/>
      <w:marTop w:val="0"/>
      <w:marBottom w:val="0"/>
      <w:divBdr>
        <w:top w:val="none" w:sz="0" w:space="0" w:color="auto"/>
        <w:left w:val="none" w:sz="0" w:space="0" w:color="auto"/>
        <w:bottom w:val="none" w:sz="0" w:space="0" w:color="auto"/>
        <w:right w:val="none" w:sz="0" w:space="0" w:color="auto"/>
      </w:divBdr>
    </w:div>
    <w:div w:id="1629165008">
      <w:bodyDiv w:val="1"/>
      <w:marLeft w:val="0"/>
      <w:marRight w:val="0"/>
      <w:marTop w:val="0"/>
      <w:marBottom w:val="0"/>
      <w:divBdr>
        <w:top w:val="none" w:sz="0" w:space="0" w:color="auto"/>
        <w:left w:val="none" w:sz="0" w:space="0" w:color="auto"/>
        <w:bottom w:val="none" w:sz="0" w:space="0" w:color="auto"/>
        <w:right w:val="none" w:sz="0" w:space="0" w:color="auto"/>
      </w:divBdr>
    </w:div>
    <w:div w:id="1634170636">
      <w:bodyDiv w:val="1"/>
      <w:marLeft w:val="0"/>
      <w:marRight w:val="0"/>
      <w:marTop w:val="0"/>
      <w:marBottom w:val="0"/>
      <w:divBdr>
        <w:top w:val="none" w:sz="0" w:space="0" w:color="auto"/>
        <w:left w:val="none" w:sz="0" w:space="0" w:color="auto"/>
        <w:bottom w:val="none" w:sz="0" w:space="0" w:color="auto"/>
        <w:right w:val="none" w:sz="0" w:space="0" w:color="auto"/>
      </w:divBdr>
    </w:div>
    <w:div w:id="1780565917">
      <w:bodyDiv w:val="1"/>
      <w:marLeft w:val="0"/>
      <w:marRight w:val="0"/>
      <w:marTop w:val="0"/>
      <w:marBottom w:val="0"/>
      <w:divBdr>
        <w:top w:val="none" w:sz="0" w:space="0" w:color="auto"/>
        <w:left w:val="none" w:sz="0" w:space="0" w:color="auto"/>
        <w:bottom w:val="none" w:sz="0" w:space="0" w:color="auto"/>
        <w:right w:val="none" w:sz="0" w:space="0" w:color="auto"/>
      </w:divBdr>
    </w:div>
    <w:div w:id="1974407236">
      <w:bodyDiv w:val="1"/>
      <w:marLeft w:val="0"/>
      <w:marRight w:val="0"/>
      <w:marTop w:val="0"/>
      <w:marBottom w:val="0"/>
      <w:divBdr>
        <w:top w:val="none" w:sz="0" w:space="0" w:color="auto"/>
        <w:left w:val="none" w:sz="0" w:space="0" w:color="auto"/>
        <w:bottom w:val="none" w:sz="0" w:space="0" w:color="auto"/>
        <w:right w:val="none" w:sz="0" w:space="0" w:color="auto"/>
      </w:divBdr>
    </w:div>
    <w:div w:id="2093772716">
      <w:bodyDiv w:val="1"/>
      <w:marLeft w:val="0"/>
      <w:marRight w:val="0"/>
      <w:marTop w:val="0"/>
      <w:marBottom w:val="0"/>
      <w:divBdr>
        <w:top w:val="none" w:sz="0" w:space="0" w:color="auto"/>
        <w:left w:val="none" w:sz="0" w:space="0" w:color="auto"/>
        <w:bottom w:val="none" w:sz="0" w:space="0" w:color="auto"/>
        <w:right w:val="none" w:sz="0" w:space="0" w:color="auto"/>
      </w:divBdr>
    </w:div>
    <w:div w:id="21287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emf"/><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2.emf"/><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6.emf"/><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publications/annual-activity-report-2023-agriculture-and-rural-development_en" TargetMode="External"/><Relationship Id="rId1" Type="http://schemas.openxmlformats.org/officeDocument/2006/relationships/hyperlink" Target="http://data.europa.eu/eli/reg/2024/765/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439346a-d735-416d-8aec-e77f5ea8e3c8">
      <UserInfo>
        <DisplayName>SCHWAB Nelly (AGRI)</DisplayName>
        <AccountId>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A38CE3A42BF247A1A135F652405EE9" ma:contentTypeVersion="6" ma:contentTypeDescription="Create a new document." ma:contentTypeScope="" ma:versionID="8d59218b30c3590909e8baf2c01867e3">
  <xsd:schema xmlns:xsd="http://www.w3.org/2001/XMLSchema" xmlns:xs="http://www.w3.org/2001/XMLSchema" xmlns:p="http://schemas.microsoft.com/office/2006/metadata/properties" xmlns:ns2="7841b247-2e61-4c7c-8517-5eb40b01f773" xmlns:ns3="a439346a-d735-416d-8aec-e77f5ea8e3c8" targetNamespace="http://schemas.microsoft.com/office/2006/metadata/properties" ma:root="true" ma:fieldsID="9c9df74022e32a03ccb6b7b65fba9ce5" ns2:_="" ns3:_="">
    <xsd:import namespace="7841b247-2e61-4c7c-8517-5eb40b01f773"/>
    <xsd:import namespace="a439346a-d735-416d-8aec-e77f5ea8e3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1b247-2e61-4c7c-8517-5eb40b01f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9346a-d735-416d-8aec-e77f5ea8e3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8386-CC43-4649-A0B5-2A59E470F51E}">
  <ds:schemaRefs>
    <ds:schemaRef ds:uri="http://schemas.microsoft.com/sharepoint/v3/contenttype/forms"/>
  </ds:schemaRefs>
</ds:datastoreItem>
</file>

<file path=customXml/itemProps2.xml><?xml version="1.0" encoding="utf-8"?>
<ds:datastoreItem xmlns:ds="http://schemas.openxmlformats.org/officeDocument/2006/customXml" ds:itemID="{5F746DD9-CBC6-46CF-9123-48C059CA7622}">
  <ds:schemaRefs>
    <ds:schemaRef ds:uri="http://schemas.microsoft.com/office/2006/metadata/properties"/>
    <ds:schemaRef ds:uri="http://schemas.microsoft.com/office/infopath/2007/PartnerControls"/>
    <ds:schemaRef ds:uri="a439346a-d735-416d-8aec-e77f5ea8e3c8"/>
  </ds:schemaRefs>
</ds:datastoreItem>
</file>

<file path=customXml/itemProps3.xml><?xml version="1.0" encoding="utf-8"?>
<ds:datastoreItem xmlns:ds="http://schemas.openxmlformats.org/officeDocument/2006/customXml" ds:itemID="{5E177498-EDBD-41E0-9FDD-9056D6D49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1b247-2e61-4c7c-8517-5eb40b01f773"/>
    <ds:schemaRef ds:uri="a439346a-d735-416d-8aec-e77f5ea8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79F1B-D45F-4AB1-A6EC-2D33D0B2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24618</CharactersWithSpaces>
  <SharedDoc>false</SharedDoc>
  <HLinks>
    <vt:vector size="156" baseType="variant">
      <vt:variant>
        <vt:i4>1835057</vt:i4>
      </vt:variant>
      <vt:variant>
        <vt:i4>146</vt:i4>
      </vt:variant>
      <vt:variant>
        <vt:i4>0</vt:i4>
      </vt:variant>
      <vt:variant>
        <vt:i4>5</vt:i4>
      </vt:variant>
      <vt:variant>
        <vt:lpwstr/>
      </vt:variant>
      <vt:variant>
        <vt:lpwstr>_Toc170318173</vt:lpwstr>
      </vt:variant>
      <vt:variant>
        <vt:i4>1835057</vt:i4>
      </vt:variant>
      <vt:variant>
        <vt:i4>140</vt:i4>
      </vt:variant>
      <vt:variant>
        <vt:i4>0</vt:i4>
      </vt:variant>
      <vt:variant>
        <vt:i4>5</vt:i4>
      </vt:variant>
      <vt:variant>
        <vt:lpwstr/>
      </vt:variant>
      <vt:variant>
        <vt:lpwstr>_Toc170318172</vt:lpwstr>
      </vt:variant>
      <vt:variant>
        <vt:i4>1835057</vt:i4>
      </vt:variant>
      <vt:variant>
        <vt:i4>134</vt:i4>
      </vt:variant>
      <vt:variant>
        <vt:i4>0</vt:i4>
      </vt:variant>
      <vt:variant>
        <vt:i4>5</vt:i4>
      </vt:variant>
      <vt:variant>
        <vt:lpwstr/>
      </vt:variant>
      <vt:variant>
        <vt:lpwstr>_Toc170318171</vt:lpwstr>
      </vt:variant>
      <vt:variant>
        <vt:i4>1835057</vt:i4>
      </vt:variant>
      <vt:variant>
        <vt:i4>128</vt:i4>
      </vt:variant>
      <vt:variant>
        <vt:i4>0</vt:i4>
      </vt:variant>
      <vt:variant>
        <vt:i4>5</vt:i4>
      </vt:variant>
      <vt:variant>
        <vt:lpwstr/>
      </vt:variant>
      <vt:variant>
        <vt:lpwstr>_Toc170318170</vt:lpwstr>
      </vt:variant>
      <vt:variant>
        <vt:i4>1900593</vt:i4>
      </vt:variant>
      <vt:variant>
        <vt:i4>122</vt:i4>
      </vt:variant>
      <vt:variant>
        <vt:i4>0</vt:i4>
      </vt:variant>
      <vt:variant>
        <vt:i4>5</vt:i4>
      </vt:variant>
      <vt:variant>
        <vt:lpwstr/>
      </vt:variant>
      <vt:variant>
        <vt:lpwstr>_Toc170318169</vt:lpwstr>
      </vt:variant>
      <vt:variant>
        <vt:i4>1900593</vt:i4>
      </vt:variant>
      <vt:variant>
        <vt:i4>116</vt:i4>
      </vt:variant>
      <vt:variant>
        <vt:i4>0</vt:i4>
      </vt:variant>
      <vt:variant>
        <vt:i4>5</vt:i4>
      </vt:variant>
      <vt:variant>
        <vt:lpwstr/>
      </vt:variant>
      <vt:variant>
        <vt:lpwstr>_Toc170318168</vt:lpwstr>
      </vt:variant>
      <vt:variant>
        <vt:i4>1900593</vt:i4>
      </vt:variant>
      <vt:variant>
        <vt:i4>110</vt:i4>
      </vt:variant>
      <vt:variant>
        <vt:i4>0</vt:i4>
      </vt:variant>
      <vt:variant>
        <vt:i4>5</vt:i4>
      </vt:variant>
      <vt:variant>
        <vt:lpwstr/>
      </vt:variant>
      <vt:variant>
        <vt:lpwstr>_Toc170318167</vt:lpwstr>
      </vt:variant>
      <vt:variant>
        <vt:i4>1900593</vt:i4>
      </vt:variant>
      <vt:variant>
        <vt:i4>104</vt:i4>
      </vt:variant>
      <vt:variant>
        <vt:i4>0</vt:i4>
      </vt:variant>
      <vt:variant>
        <vt:i4>5</vt:i4>
      </vt:variant>
      <vt:variant>
        <vt:lpwstr/>
      </vt:variant>
      <vt:variant>
        <vt:lpwstr>_Toc170318166</vt:lpwstr>
      </vt:variant>
      <vt:variant>
        <vt:i4>1900593</vt:i4>
      </vt:variant>
      <vt:variant>
        <vt:i4>98</vt:i4>
      </vt:variant>
      <vt:variant>
        <vt:i4>0</vt:i4>
      </vt:variant>
      <vt:variant>
        <vt:i4>5</vt:i4>
      </vt:variant>
      <vt:variant>
        <vt:lpwstr/>
      </vt:variant>
      <vt:variant>
        <vt:lpwstr>_Toc170318165</vt:lpwstr>
      </vt:variant>
      <vt:variant>
        <vt:i4>1900593</vt:i4>
      </vt:variant>
      <vt:variant>
        <vt:i4>92</vt:i4>
      </vt:variant>
      <vt:variant>
        <vt:i4>0</vt:i4>
      </vt:variant>
      <vt:variant>
        <vt:i4>5</vt:i4>
      </vt:variant>
      <vt:variant>
        <vt:lpwstr/>
      </vt:variant>
      <vt:variant>
        <vt:lpwstr>_Toc170318164</vt:lpwstr>
      </vt:variant>
      <vt:variant>
        <vt:i4>1900593</vt:i4>
      </vt:variant>
      <vt:variant>
        <vt:i4>86</vt:i4>
      </vt:variant>
      <vt:variant>
        <vt:i4>0</vt:i4>
      </vt:variant>
      <vt:variant>
        <vt:i4>5</vt:i4>
      </vt:variant>
      <vt:variant>
        <vt:lpwstr/>
      </vt:variant>
      <vt:variant>
        <vt:lpwstr>_Toc170318163</vt:lpwstr>
      </vt:variant>
      <vt:variant>
        <vt:i4>1900593</vt:i4>
      </vt:variant>
      <vt:variant>
        <vt:i4>80</vt:i4>
      </vt:variant>
      <vt:variant>
        <vt:i4>0</vt:i4>
      </vt:variant>
      <vt:variant>
        <vt:i4>5</vt:i4>
      </vt:variant>
      <vt:variant>
        <vt:lpwstr/>
      </vt:variant>
      <vt:variant>
        <vt:lpwstr>_Toc170318162</vt:lpwstr>
      </vt:variant>
      <vt:variant>
        <vt:i4>1900593</vt:i4>
      </vt:variant>
      <vt:variant>
        <vt:i4>74</vt:i4>
      </vt:variant>
      <vt:variant>
        <vt:i4>0</vt:i4>
      </vt:variant>
      <vt:variant>
        <vt:i4>5</vt:i4>
      </vt:variant>
      <vt:variant>
        <vt:lpwstr/>
      </vt:variant>
      <vt:variant>
        <vt:lpwstr>_Toc170318161</vt:lpwstr>
      </vt:variant>
      <vt:variant>
        <vt:i4>1900593</vt:i4>
      </vt:variant>
      <vt:variant>
        <vt:i4>68</vt:i4>
      </vt:variant>
      <vt:variant>
        <vt:i4>0</vt:i4>
      </vt:variant>
      <vt:variant>
        <vt:i4>5</vt:i4>
      </vt:variant>
      <vt:variant>
        <vt:lpwstr/>
      </vt:variant>
      <vt:variant>
        <vt:lpwstr>_Toc170318160</vt:lpwstr>
      </vt:variant>
      <vt:variant>
        <vt:i4>1966129</vt:i4>
      </vt:variant>
      <vt:variant>
        <vt:i4>62</vt:i4>
      </vt:variant>
      <vt:variant>
        <vt:i4>0</vt:i4>
      </vt:variant>
      <vt:variant>
        <vt:i4>5</vt:i4>
      </vt:variant>
      <vt:variant>
        <vt:lpwstr/>
      </vt:variant>
      <vt:variant>
        <vt:lpwstr>_Toc170318159</vt:lpwstr>
      </vt:variant>
      <vt:variant>
        <vt:i4>1966129</vt:i4>
      </vt:variant>
      <vt:variant>
        <vt:i4>56</vt:i4>
      </vt:variant>
      <vt:variant>
        <vt:i4>0</vt:i4>
      </vt:variant>
      <vt:variant>
        <vt:i4>5</vt:i4>
      </vt:variant>
      <vt:variant>
        <vt:lpwstr/>
      </vt:variant>
      <vt:variant>
        <vt:lpwstr>_Toc170318158</vt:lpwstr>
      </vt:variant>
      <vt:variant>
        <vt:i4>1966129</vt:i4>
      </vt:variant>
      <vt:variant>
        <vt:i4>50</vt:i4>
      </vt:variant>
      <vt:variant>
        <vt:i4>0</vt:i4>
      </vt:variant>
      <vt:variant>
        <vt:i4>5</vt:i4>
      </vt:variant>
      <vt:variant>
        <vt:lpwstr/>
      </vt:variant>
      <vt:variant>
        <vt:lpwstr>_Toc170318157</vt:lpwstr>
      </vt:variant>
      <vt:variant>
        <vt:i4>1966129</vt:i4>
      </vt:variant>
      <vt:variant>
        <vt:i4>44</vt:i4>
      </vt:variant>
      <vt:variant>
        <vt:i4>0</vt:i4>
      </vt:variant>
      <vt:variant>
        <vt:i4>5</vt:i4>
      </vt:variant>
      <vt:variant>
        <vt:lpwstr/>
      </vt:variant>
      <vt:variant>
        <vt:lpwstr>_Toc170318156</vt:lpwstr>
      </vt:variant>
      <vt:variant>
        <vt:i4>1966129</vt:i4>
      </vt:variant>
      <vt:variant>
        <vt:i4>38</vt:i4>
      </vt:variant>
      <vt:variant>
        <vt:i4>0</vt:i4>
      </vt:variant>
      <vt:variant>
        <vt:i4>5</vt:i4>
      </vt:variant>
      <vt:variant>
        <vt:lpwstr/>
      </vt:variant>
      <vt:variant>
        <vt:lpwstr>_Toc170318155</vt:lpwstr>
      </vt:variant>
      <vt:variant>
        <vt:i4>1966129</vt:i4>
      </vt:variant>
      <vt:variant>
        <vt:i4>32</vt:i4>
      </vt:variant>
      <vt:variant>
        <vt:i4>0</vt:i4>
      </vt:variant>
      <vt:variant>
        <vt:i4>5</vt:i4>
      </vt:variant>
      <vt:variant>
        <vt:lpwstr/>
      </vt:variant>
      <vt:variant>
        <vt:lpwstr>_Toc170318154</vt:lpwstr>
      </vt:variant>
      <vt:variant>
        <vt:i4>1966129</vt:i4>
      </vt:variant>
      <vt:variant>
        <vt:i4>26</vt:i4>
      </vt:variant>
      <vt:variant>
        <vt:i4>0</vt:i4>
      </vt:variant>
      <vt:variant>
        <vt:i4>5</vt:i4>
      </vt:variant>
      <vt:variant>
        <vt:lpwstr/>
      </vt:variant>
      <vt:variant>
        <vt:lpwstr>_Toc170318153</vt:lpwstr>
      </vt:variant>
      <vt:variant>
        <vt:i4>1966129</vt:i4>
      </vt:variant>
      <vt:variant>
        <vt:i4>20</vt:i4>
      </vt:variant>
      <vt:variant>
        <vt:i4>0</vt:i4>
      </vt:variant>
      <vt:variant>
        <vt:i4>5</vt:i4>
      </vt:variant>
      <vt:variant>
        <vt:lpwstr/>
      </vt:variant>
      <vt:variant>
        <vt:lpwstr>_Toc170318152</vt:lpwstr>
      </vt:variant>
      <vt:variant>
        <vt:i4>1966129</vt:i4>
      </vt:variant>
      <vt:variant>
        <vt:i4>14</vt:i4>
      </vt:variant>
      <vt:variant>
        <vt:i4>0</vt:i4>
      </vt:variant>
      <vt:variant>
        <vt:i4>5</vt:i4>
      </vt:variant>
      <vt:variant>
        <vt:lpwstr/>
      </vt:variant>
      <vt:variant>
        <vt:lpwstr>_Toc170318151</vt:lpwstr>
      </vt:variant>
      <vt:variant>
        <vt:i4>1966129</vt:i4>
      </vt:variant>
      <vt:variant>
        <vt:i4>8</vt:i4>
      </vt:variant>
      <vt:variant>
        <vt:i4>0</vt:i4>
      </vt:variant>
      <vt:variant>
        <vt:i4>5</vt:i4>
      </vt:variant>
      <vt:variant>
        <vt:lpwstr/>
      </vt:variant>
      <vt:variant>
        <vt:lpwstr>_Toc170318150</vt:lpwstr>
      </vt:variant>
      <vt:variant>
        <vt:i4>2031665</vt:i4>
      </vt:variant>
      <vt:variant>
        <vt:i4>2</vt:i4>
      </vt:variant>
      <vt:variant>
        <vt:i4>0</vt:i4>
      </vt:variant>
      <vt:variant>
        <vt:i4>5</vt:i4>
      </vt:variant>
      <vt:variant>
        <vt:lpwstr/>
      </vt:variant>
      <vt:variant>
        <vt:lpwstr>_Toc170318149</vt:lpwstr>
      </vt:variant>
      <vt:variant>
        <vt:i4>46</vt:i4>
      </vt:variant>
      <vt:variant>
        <vt:i4>0</vt:i4>
      </vt:variant>
      <vt:variant>
        <vt:i4>0</vt:i4>
      </vt:variant>
      <vt:variant>
        <vt:i4>5</vt:i4>
      </vt:variant>
      <vt:variant>
        <vt:lpwstr>https://commission.europa.eu/publications/annual-activity-report-2023-agriculture-and-rural-development_en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cp:revision>
  <cp:lastPrinted>2024-06-15T00:33:00Z</cp:lastPrinted>
  <dcterms:created xsi:type="dcterms:W3CDTF">2024-07-30T12:38:00Z</dcterms:created>
  <dcterms:modified xsi:type="dcterms:W3CDTF">2024-09-23T07:30:00Z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8.0, Build 20220128</vt:lpwstr>
  </property>
  <property fmtid="{D5CDD505-2E9C-101B-9397-08002B2CF9AE}" pid="9" name="MSIP_Label_6bd9ddd1-4d20-43f6-abfa-fc3c07406f94_Enabled">
    <vt:lpwstr>true</vt:lpwstr>
  </property>
  <property fmtid="{D5CDD505-2E9C-101B-9397-08002B2CF9AE}" pid="10" name="MSIP_Label_6bd9ddd1-4d20-43f6-abfa-fc3c07406f94_SetDate">
    <vt:lpwstr>2022-07-18T10:22:51Z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af3b694e-4a7b-4ea9-a6ed-065a5a095043</vt:lpwstr>
  </property>
  <property fmtid="{D5CDD505-2E9C-101B-9397-08002B2CF9AE}" pid="15" name="MSIP_Label_6bd9ddd1-4d20-43f6-abfa-fc3c07406f94_ContentBits">
    <vt:lpwstr>0</vt:lpwstr>
  </property>
  <property fmtid="{D5CDD505-2E9C-101B-9397-08002B2CF9AE}" pid="16" name="ContentTypeId">
    <vt:lpwstr>0x010100EBA38CE3A42BF247A1A135F652405EE9</vt:lpwstr>
  </property>
</Properties>
</file>