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7F02" w14:textId="7171C77C" w:rsidR="008A18BC" w:rsidRDefault="00D70BAA" w:rsidP="00D70BAA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43946F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EE3C11D7-327E-4E38-9FD8-71C1F745B742" style="width:455.25pt;height:378.75pt">
            <v:imagedata r:id="rId11" o:title=""/>
          </v:shape>
        </w:pict>
      </w:r>
    </w:p>
    <w:bookmarkEnd w:id="0"/>
    <w:p w14:paraId="03669432" w14:textId="6E866273" w:rsidR="00CC0912" w:rsidRPr="00853755" w:rsidRDefault="00CC0912" w:rsidP="00CC0912">
      <w:pPr>
        <w:pStyle w:val="Pagedecouverture"/>
        <w:rPr>
          <w:noProof/>
          <w:lang w:val="en-IE"/>
        </w:rPr>
        <w:sectPr w:rsidR="00CC0912" w:rsidRPr="00853755" w:rsidSect="00D70B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B277229" w14:textId="277B4A2A" w:rsidR="00A44A15" w:rsidRPr="003A7FF0" w:rsidRDefault="1BFC6801" w:rsidP="00E672CC">
      <w:pPr>
        <w:pStyle w:val="TOCHeading"/>
        <w:spacing w:after="24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color w:val="auto"/>
          <w:sz w:val="24"/>
        </w:rPr>
        <w:lastRenderedPageBreak/>
        <w:t>SPIS TREŚCI</w:t>
      </w:r>
    </w:p>
    <w:p w14:paraId="3EFA3D78" w14:textId="2E14CC91" w:rsidR="006D2ACA" w:rsidRDefault="6AF0C46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>TOC \o "1-4" \z \u \h</w:instrText>
      </w:r>
      <w:r>
        <w:rPr>
          <w:noProof/>
        </w:rPr>
        <w:fldChar w:fldCharType="separate"/>
      </w:r>
      <w:hyperlink w:anchor="_Toc176966466" w:history="1">
        <w:r w:rsidR="006D2ACA" w:rsidRPr="006A1212">
          <w:rPr>
            <w:rStyle w:val="Hyperlink"/>
            <w:noProof/>
          </w:rPr>
          <w:t>1.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PROCEDURA BUDŻETOWA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_Toc176966466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2</w:t>
        </w:r>
        <w:r w:rsidR="006D2ACA">
          <w:rPr>
            <w:noProof/>
            <w:webHidden/>
          </w:rPr>
          <w:fldChar w:fldCharType="end"/>
        </w:r>
      </w:hyperlink>
    </w:p>
    <w:p w14:paraId="21150208" w14:textId="601BBA61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67" w:history="1">
        <w:r w:rsidR="006D2ACA" w:rsidRPr="006A1212">
          <w:rPr>
            <w:rStyle w:val="Hyperlink"/>
            <w:noProof/>
          </w:rPr>
          <w:t>1.1.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Ramy finansowe 2021–2027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_Toc176966467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2</w:t>
        </w:r>
        <w:r w:rsidR="006D2ACA">
          <w:rPr>
            <w:noProof/>
            <w:webHidden/>
          </w:rPr>
          <w:fldChar w:fldCharType="end"/>
        </w:r>
      </w:hyperlink>
    </w:p>
    <w:p w14:paraId="3DFBB3CA" w14:textId="12FE0A54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68" w:history="1">
        <w:r w:rsidR="006D2ACA" w:rsidRPr="006A1212">
          <w:rPr>
            <w:rStyle w:val="Hyperlink"/>
            <w:noProof/>
          </w:rPr>
          <w:t>1.2.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 xml:space="preserve">Projekt budżetu </w:t>
        </w:r>
        <w:r w:rsidR="006D2ACA" w:rsidRPr="00342B21">
          <w:rPr>
            <w:rStyle w:val="Hyperlink"/>
            <w:noProof/>
          </w:rPr>
          <w:t>na</w:t>
        </w:r>
        <w:r w:rsidR="00342B21" w:rsidRPr="00342B21">
          <w:rPr>
            <w:rStyle w:val="Hyperlink"/>
            <w:noProof/>
          </w:rPr>
          <w:t> </w:t>
        </w:r>
        <w:r w:rsidR="006D2ACA" w:rsidRPr="00342B21">
          <w:rPr>
            <w:rStyle w:val="Hyperlink"/>
            <w:noProof/>
          </w:rPr>
          <w:t>2</w:t>
        </w:r>
        <w:r w:rsidR="006D2ACA" w:rsidRPr="006A1212">
          <w:rPr>
            <w:rStyle w:val="Hyperlink"/>
            <w:noProof/>
          </w:rPr>
          <w:t>0</w:t>
        </w:r>
        <w:r w:rsidR="006D2ACA" w:rsidRPr="00342B21">
          <w:rPr>
            <w:rStyle w:val="Hyperlink"/>
            <w:noProof/>
          </w:rPr>
          <w:t>23</w:t>
        </w:r>
        <w:r w:rsidR="00342B21" w:rsidRPr="00342B21">
          <w:rPr>
            <w:rStyle w:val="Hyperlink"/>
            <w:noProof/>
          </w:rPr>
          <w:t> </w:t>
        </w:r>
        <w:r w:rsidR="006D2ACA" w:rsidRPr="00342B21">
          <w:rPr>
            <w:rStyle w:val="Hyperlink"/>
            <w:noProof/>
          </w:rPr>
          <w:t>r.</w:t>
        </w:r>
        <w:r w:rsidR="006D2ACA" w:rsidRPr="006A1212">
          <w:rPr>
            <w:rStyle w:val="Hyperlink"/>
            <w:noProof/>
          </w:rPr>
          <w:t>, list</w:t>
        </w:r>
        <w:r w:rsidR="00342B21" w:rsidRPr="006A1212">
          <w:rPr>
            <w:rStyle w:val="Hyperlink"/>
            <w:noProof/>
          </w:rPr>
          <w:t xml:space="preserve"> w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spr</w:t>
        </w:r>
        <w:r w:rsidR="006D2ACA" w:rsidRPr="006A1212">
          <w:rPr>
            <w:rStyle w:val="Hyperlink"/>
            <w:noProof/>
          </w:rPr>
          <w:t xml:space="preserve">awie poprawek 1/2023 oraz przyjęcie budżetu </w:t>
        </w:r>
        <w:r w:rsidR="006D2ACA" w:rsidRPr="00342B21">
          <w:rPr>
            <w:rStyle w:val="Hyperlink"/>
            <w:noProof/>
          </w:rPr>
          <w:t>na</w:t>
        </w:r>
        <w:r w:rsidR="00342B21" w:rsidRPr="00342B21">
          <w:rPr>
            <w:rStyle w:val="Hyperlink"/>
            <w:noProof/>
          </w:rPr>
          <w:t> </w:t>
        </w:r>
        <w:r w:rsidR="006D2ACA" w:rsidRPr="00342B21">
          <w:rPr>
            <w:rStyle w:val="Hyperlink"/>
            <w:noProof/>
          </w:rPr>
          <w:t>2</w:t>
        </w:r>
        <w:r w:rsidR="006D2ACA" w:rsidRPr="006A1212">
          <w:rPr>
            <w:rStyle w:val="Hyperlink"/>
            <w:noProof/>
          </w:rPr>
          <w:t>0</w:t>
        </w:r>
        <w:r w:rsidR="006D2ACA" w:rsidRPr="00342B21">
          <w:rPr>
            <w:rStyle w:val="Hyperlink"/>
            <w:noProof/>
          </w:rPr>
          <w:t>23</w:t>
        </w:r>
        <w:r w:rsidR="00342B21" w:rsidRPr="00342B21">
          <w:rPr>
            <w:rStyle w:val="Hyperlink"/>
            <w:noProof/>
          </w:rPr>
          <w:t> </w:t>
        </w:r>
        <w:r w:rsidR="006D2ACA" w:rsidRPr="00342B21">
          <w:rPr>
            <w:rStyle w:val="Hyperlink"/>
            <w:noProof/>
          </w:rPr>
          <w:t>r.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_Toc176966468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3</w:t>
        </w:r>
        <w:r w:rsidR="006D2ACA">
          <w:rPr>
            <w:noProof/>
            <w:webHidden/>
          </w:rPr>
          <w:fldChar w:fldCharType="end"/>
        </w:r>
      </w:hyperlink>
    </w:p>
    <w:p w14:paraId="7C2D1FC6" w14:textId="28AB6E30" w:rsidR="006D2ACA" w:rsidRDefault="00D70BAA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69" w:history="1">
        <w:r w:rsidR="006D2ACA" w:rsidRPr="006A1212">
          <w:rPr>
            <w:rStyle w:val="Hyperlink"/>
            <w:noProof/>
          </w:rPr>
          <w:t>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WYKONANIE BUDŻETU EFRG I EFRROW NA 2023 R.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_Toc176966469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4</w:t>
        </w:r>
        <w:r w:rsidR="006D2ACA">
          <w:rPr>
            <w:noProof/>
            <w:webHidden/>
          </w:rPr>
          <w:fldChar w:fldCharType="end"/>
        </w:r>
      </w:hyperlink>
    </w:p>
    <w:p w14:paraId="6A28F580" w14:textId="4279F07B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0" w:history="1">
        <w:r w:rsidR="006D2ACA" w:rsidRPr="006A1212">
          <w:rPr>
            <w:rStyle w:val="Hyperlink"/>
            <w:noProof/>
          </w:rPr>
          <w:t>2.1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Europejski Fundusz Rolniczy Gwarancji (EFRG)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_Toc176966470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4</w:t>
        </w:r>
        <w:r w:rsidR="006D2ACA">
          <w:rPr>
            <w:noProof/>
            <w:webHidden/>
          </w:rPr>
          <w:fldChar w:fldCharType="end"/>
        </w:r>
      </w:hyperlink>
    </w:p>
    <w:p w14:paraId="405F1208" w14:textId="71C7D653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1" w:history="1">
        <w:r w:rsidR="006D2ACA" w:rsidRPr="006A1212">
          <w:rPr>
            <w:rStyle w:val="Hyperlink"/>
            <w:noProof/>
          </w:rPr>
          <w:t>2.1.1.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Płatności miesięczne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_Toc176966471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4</w:t>
        </w:r>
        <w:r w:rsidR="006D2ACA">
          <w:rPr>
            <w:noProof/>
            <w:webHidden/>
          </w:rPr>
          <w:fldChar w:fldCharType="end"/>
        </w:r>
      </w:hyperlink>
    </w:p>
    <w:p w14:paraId="1A439147" w14:textId="24B23784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2" w:history="1">
        <w:r w:rsidR="006D2ACA" w:rsidRPr="006A1212">
          <w:rPr>
            <w:rStyle w:val="Hyperlink"/>
            <w:noProof/>
          </w:rPr>
          <w:t>2.1.2.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Zmniejszenie płatności miesięcznych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_Toc176966472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4</w:t>
        </w:r>
        <w:r w:rsidR="006D2ACA">
          <w:rPr>
            <w:noProof/>
            <w:webHidden/>
          </w:rPr>
          <w:fldChar w:fldCharType="end"/>
        </w:r>
      </w:hyperlink>
    </w:p>
    <w:p w14:paraId="2D291880" w14:textId="266E895A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3" w:history="1">
        <w:r w:rsidR="006D2ACA" w:rsidRPr="006A1212">
          <w:rPr>
            <w:rStyle w:val="Hyperlink"/>
            <w:noProof/>
          </w:rPr>
          <w:t>2.1.3.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Wydatki poniesione przez Komisję</w:t>
        </w:r>
        <w:r w:rsidR="00342B21" w:rsidRPr="006A1212">
          <w:rPr>
            <w:rStyle w:val="Hyperlink"/>
            <w:noProof/>
          </w:rPr>
          <w:t xml:space="preserve"> w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ram</w:t>
        </w:r>
        <w:r w:rsidR="006D2ACA" w:rsidRPr="006A1212">
          <w:rPr>
            <w:rStyle w:val="Hyperlink"/>
            <w:noProof/>
          </w:rPr>
          <w:t>ach zarządzania bezpośredniego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_Toc176966473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4</w:t>
        </w:r>
        <w:r w:rsidR="006D2ACA">
          <w:rPr>
            <w:noProof/>
            <w:webHidden/>
          </w:rPr>
          <w:fldChar w:fldCharType="end"/>
        </w:r>
      </w:hyperlink>
    </w:p>
    <w:p w14:paraId="1C9DB9D3" w14:textId="5D92CA2F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4" w:history="1">
        <w:r w:rsidR="006D2ACA" w:rsidRPr="006A1212">
          <w:rPr>
            <w:rStyle w:val="Hyperlink"/>
            <w:noProof/>
          </w:rPr>
          <w:t>2.2.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Europejski Fundusz Rolny na rzecz Rozwoju Obszarów Wiejskich (EFRROW)</w:t>
        </w:r>
        <w:r w:rsidR="00342B21" w:rsidRPr="006A1212">
          <w:rPr>
            <w:rStyle w:val="Hyperlink"/>
            <w:noProof/>
          </w:rPr>
          <w:t xml:space="preserve"> i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Ins</w:t>
        </w:r>
        <w:r w:rsidR="006D2ACA" w:rsidRPr="006A1212">
          <w:rPr>
            <w:rStyle w:val="Hyperlink"/>
            <w:noProof/>
          </w:rPr>
          <w:t>trument Unii Europejskiej na rzecz Odbudowy (EURI)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_Toc176966474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6</w:t>
        </w:r>
        <w:r w:rsidR="006D2ACA">
          <w:rPr>
            <w:noProof/>
            <w:webHidden/>
          </w:rPr>
          <w:fldChar w:fldCharType="end"/>
        </w:r>
      </w:hyperlink>
    </w:p>
    <w:p w14:paraId="69EE8687" w14:textId="1FE8936F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5" w:history="1">
        <w:r w:rsidR="006D2ACA" w:rsidRPr="006A1212">
          <w:rPr>
            <w:rStyle w:val="Hyperlink"/>
            <w:noProof/>
          </w:rPr>
          <w:t>2.2.1.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Środki na płatności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_Toc176966475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6</w:t>
        </w:r>
        <w:r w:rsidR="006D2ACA">
          <w:rPr>
            <w:noProof/>
            <w:webHidden/>
          </w:rPr>
          <w:fldChar w:fldCharType="end"/>
        </w:r>
      </w:hyperlink>
    </w:p>
    <w:p w14:paraId="7EABCFB1" w14:textId="1A7D7C55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6" w:history="1">
        <w:r w:rsidR="006D2ACA" w:rsidRPr="006A1212">
          <w:rPr>
            <w:rStyle w:val="Hyperlink"/>
            <w:noProof/>
          </w:rPr>
          <w:t>2.2.2.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Zmniejszanie płatności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_Toc176966476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6</w:t>
        </w:r>
        <w:r w:rsidR="006D2ACA">
          <w:rPr>
            <w:noProof/>
            <w:webHidden/>
          </w:rPr>
          <w:fldChar w:fldCharType="end"/>
        </w:r>
      </w:hyperlink>
    </w:p>
    <w:p w14:paraId="204BB3A9" w14:textId="6F97A9B5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7" w:history="1">
        <w:r w:rsidR="006D2ACA" w:rsidRPr="006A1212">
          <w:rPr>
            <w:rStyle w:val="Hyperlink"/>
            <w:noProof/>
          </w:rPr>
          <w:t>2.2.3.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Wydatki zarządzane bezpośrednio przez Komisję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_Toc176966477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6</w:t>
        </w:r>
        <w:r w:rsidR="006D2ACA">
          <w:rPr>
            <w:noProof/>
            <w:webHidden/>
          </w:rPr>
          <w:fldChar w:fldCharType="end"/>
        </w:r>
      </w:hyperlink>
    </w:p>
    <w:p w14:paraId="133825B3" w14:textId="5BB0D111" w:rsidR="006D2ACA" w:rsidRDefault="00D70BAA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8" w:history="1">
        <w:r w:rsidR="006D2ACA" w:rsidRPr="006A1212">
          <w:rPr>
            <w:rStyle w:val="Hyperlink"/>
            <w:noProof/>
          </w:rPr>
          <w:t>3.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WYKORZYSTANIE ŚRODKÓW BUDŻETOWYCH EFRG I EFRROW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_Toc176966478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8</w:t>
        </w:r>
        <w:r w:rsidR="006D2ACA">
          <w:rPr>
            <w:noProof/>
            <w:webHidden/>
          </w:rPr>
          <w:fldChar w:fldCharType="end"/>
        </w:r>
      </w:hyperlink>
    </w:p>
    <w:p w14:paraId="6C0B0C8E" w14:textId="06348C1D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79" w:history="1">
        <w:r w:rsidR="006D2ACA" w:rsidRPr="006A1212">
          <w:rPr>
            <w:rStyle w:val="Hyperlink"/>
            <w:noProof/>
          </w:rPr>
          <w:t>3.1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Europejski Fundusz Rolniczy Gwarancji (EFRG)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_Toc176966479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8</w:t>
        </w:r>
        <w:r w:rsidR="006D2ACA">
          <w:rPr>
            <w:noProof/>
            <w:webHidden/>
          </w:rPr>
          <w:fldChar w:fldCharType="end"/>
        </w:r>
      </w:hyperlink>
    </w:p>
    <w:p w14:paraId="7EED9D31" w14:textId="5710D984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0" w:history="1">
        <w:r w:rsidR="006D2ACA" w:rsidRPr="006A1212">
          <w:rPr>
            <w:rStyle w:val="Hyperlink"/>
            <w:noProof/>
          </w:rPr>
          <w:t>3.2.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Europejski Fundusz Rolny na rzecz Rozwoju Obszarów Wiejskich (EFRROW)</w:t>
        </w:r>
        <w:r w:rsidR="00342B21" w:rsidRPr="006A1212">
          <w:rPr>
            <w:rStyle w:val="Hyperlink"/>
            <w:noProof/>
          </w:rPr>
          <w:t xml:space="preserve"> i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Ins</w:t>
        </w:r>
        <w:r w:rsidR="006D2ACA" w:rsidRPr="006A1212">
          <w:rPr>
            <w:rStyle w:val="Hyperlink"/>
            <w:noProof/>
          </w:rPr>
          <w:t>trument Unii Europejskiej na rzecz Odbudowy (EURI)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_Toc176966480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8</w:t>
        </w:r>
        <w:r w:rsidR="006D2ACA">
          <w:rPr>
            <w:noProof/>
            <w:webHidden/>
          </w:rPr>
          <w:fldChar w:fldCharType="end"/>
        </w:r>
      </w:hyperlink>
    </w:p>
    <w:p w14:paraId="7CB45982" w14:textId="6D013FD4" w:rsidR="006D2ACA" w:rsidRDefault="00D70BAA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1" w:history="1">
        <w:r w:rsidR="006D2ACA" w:rsidRPr="006A1212">
          <w:rPr>
            <w:rStyle w:val="Hyperlink"/>
            <w:noProof/>
          </w:rPr>
          <w:t>4.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ŚRODKI KONTROLI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_Toc176966481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11</w:t>
        </w:r>
        <w:r w:rsidR="006D2ACA">
          <w:rPr>
            <w:noProof/>
            <w:webHidden/>
          </w:rPr>
          <w:fldChar w:fldCharType="end"/>
        </w:r>
      </w:hyperlink>
    </w:p>
    <w:p w14:paraId="2DDAC20B" w14:textId="22F8E8FF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2" w:history="1">
        <w:r w:rsidR="006D2ACA" w:rsidRPr="006A1212">
          <w:rPr>
            <w:rStyle w:val="Hyperlink"/>
            <w:noProof/>
          </w:rPr>
          <w:t>4.1.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Wprowadzenie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_Toc176966482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11</w:t>
        </w:r>
        <w:r w:rsidR="006D2ACA">
          <w:rPr>
            <w:noProof/>
            <w:webHidden/>
          </w:rPr>
          <w:fldChar w:fldCharType="end"/>
        </w:r>
      </w:hyperlink>
    </w:p>
    <w:p w14:paraId="3C52F68A" w14:textId="4EFE0117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3" w:history="1">
        <w:r w:rsidR="006D2ACA" w:rsidRPr="006A1212">
          <w:rPr>
            <w:rStyle w:val="Hyperlink"/>
            <w:noProof/>
          </w:rPr>
          <w:t>4.2.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Zintegrowany system zarządzania</w:t>
        </w:r>
        <w:r w:rsidR="00342B21" w:rsidRPr="006A1212">
          <w:rPr>
            <w:rStyle w:val="Hyperlink"/>
            <w:noProof/>
          </w:rPr>
          <w:t xml:space="preserve"> i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kon</w:t>
        </w:r>
        <w:r w:rsidR="006D2ACA" w:rsidRPr="006A1212">
          <w:rPr>
            <w:rStyle w:val="Hyperlink"/>
            <w:noProof/>
          </w:rPr>
          <w:t>troli (ZSZiK)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_Toc176966483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11</w:t>
        </w:r>
        <w:r w:rsidR="006D2ACA">
          <w:rPr>
            <w:noProof/>
            <w:webHidden/>
          </w:rPr>
          <w:fldChar w:fldCharType="end"/>
        </w:r>
      </w:hyperlink>
    </w:p>
    <w:p w14:paraId="55C8DE1A" w14:textId="4CE20D6D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4" w:history="1">
        <w:r w:rsidR="006D2ACA" w:rsidRPr="006A1212">
          <w:rPr>
            <w:rStyle w:val="Hyperlink"/>
            <w:noProof/>
          </w:rPr>
          <w:t>4.3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 xml:space="preserve">Stosowanie tytułu V rozdział III rozporządzenia (UE) </w:t>
        </w:r>
        <w:r w:rsidR="006D2ACA" w:rsidRPr="00342B21">
          <w:rPr>
            <w:rStyle w:val="Hyperlink"/>
            <w:noProof/>
          </w:rPr>
          <w:t>nr</w:t>
        </w:r>
        <w:r w:rsidR="00342B21" w:rsidRPr="00342B21">
          <w:rPr>
            <w:rStyle w:val="Hyperlink"/>
            <w:noProof/>
          </w:rPr>
          <w:t> </w:t>
        </w:r>
        <w:r w:rsidR="006D2ACA" w:rsidRPr="00342B21">
          <w:rPr>
            <w:rStyle w:val="Hyperlink"/>
            <w:noProof/>
          </w:rPr>
          <w:t>1</w:t>
        </w:r>
        <w:r w:rsidR="006D2ACA" w:rsidRPr="006A1212">
          <w:rPr>
            <w:rStyle w:val="Hyperlink"/>
            <w:noProof/>
          </w:rPr>
          <w:t>306/2013</w:t>
        </w:r>
        <w:r w:rsidR="00342B21" w:rsidRPr="006A1212">
          <w:rPr>
            <w:rStyle w:val="Hyperlink"/>
            <w:noProof/>
          </w:rPr>
          <w:t xml:space="preserve"> i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tyt</w:t>
        </w:r>
        <w:r w:rsidR="006D2ACA" w:rsidRPr="006A1212">
          <w:rPr>
            <w:rStyle w:val="Hyperlink"/>
            <w:noProof/>
          </w:rPr>
          <w:t>ułu IV rozdział III rozporządzenia (UE) 2021/2116 (kontrola transakcji)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_Toc176966484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12</w:t>
        </w:r>
        <w:r w:rsidR="006D2ACA">
          <w:rPr>
            <w:noProof/>
            <w:webHidden/>
          </w:rPr>
          <w:fldChar w:fldCharType="end"/>
        </w:r>
      </w:hyperlink>
    </w:p>
    <w:p w14:paraId="15FD80B6" w14:textId="02CB4506" w:rsidR="006D2ACA" w:rsidRDefault="00D70BAA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5" w:history="1">
        <w:r w:rsidR="006D2ACA" w:rsidRPr="006A1212">
          <w:rPr>
            <w:rStyle w:val="Hyperlink"/>
            <w:noProof/>
          </w:rPr>
          <w:t>5.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ROZLICZENIE RACHUNKÓW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_Toc176966485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12</w:t>
        </w:r>
        <w:r w:rsidR="006D2ACA">
          <w:rPr>
            <w:noProof/>
            <w:webHidden/>
          </w:rPr>
          <w:fldChar w:fldCharType="end"/>
        </w:r>
      </w:hyperlink>
    </w:p>
    <w:p w14:paraId="393F83DC" w14:textId="68BDF31B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6" w:history="1">
        <w:r w:rsidR="006D2ACA" w:rsidRPr="006A1212">
          <w:rPr>
            <w:rStyle w:val="Hyperlink"/>
            <w:noProof/>
          </w:rPr>
          <w:t>5.1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Kontrola zgodności rozliczeń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_Toc176966486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12</w:t>
        </w:r>
        <w:r w:rsidR="006D2ACA">
          <w:rPr>
            <w:noProof/>
            <w:webHidden/>
          </w:rPr>
          <w:fldChar w:fldCharType="end"/>
        </w:r>
      </w:hyperlink>
    </w:p>
    <w:p w14:paraId="54B25C2C" w14:textId="46A4FE0E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7" w:history="1">
        <w:r w:rsidR="006D2ACA" w:rsidRPr="006A1212">
          <w:rPr>
            <w:rStyle w:val="Hyperlink"/>
            <w:noProof/>
          </w:rPr>
          <w:t>5.2.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Rozliczenie finansowe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_Toc176966487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14</w:t>
        </w:r>
        <w:r w:rsidR="006D2ACA">
          <w:rPr>
            <w:noProof/>
            <w:webHidden/>
          </w:rPr>
          <w:fldChar w:fldCharType="end"/>
        </w:r>
      </w:hyperlink>
    </w:p>
    <w:p w14:paraId="5986E83D" w14:textId="276B3B30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8" w:history="1">
        <w:r w:rsidR="006D2ACA" w:rsidRPr="006A1212">
          <w:rPr>
            <w:rStyle w:val="Hyperlink"/>
            <w:noProof/>
          </w:rPr>
          <w:t>5.3.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Odwołania wniesione do Trybunału Sprawiedliwości Unii Europejskiej od decyzji</w:t>
        </w:r>
        <w:r w:rsidR="00342B21" w:rsidRPr="006A1212">
          <w:rPr>
            <w:rStyle w:val="Hyperlink"/>
            <w:noProof/>
          </w:rPr>
          <w:t xml:space="preserve"> w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spr</w:t>
        </w:r>
        <w:r w:rsidR="006D2ACA" w:rsidRPr="006A1212">
          <w:rPr>
            <w:rStyle w:val="Hyperlink"/>
            <w:noProof/>
          </w:rPr>
          <w:t>awie rozliczeń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_Toc176966488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15</w:t>
        </w:r>
        <w:r w:rsidR="006D2ACA">
          <w:rPr>
            <w:noProof/>
            <w:webHidden/>
          </w:rPr>
          <w:fldChar w:fldCharType="end"/>
        </w:r>
      </w:hyperlink>
    </w:p>
    <w:p w14:paraId="2788475A" w14:textId="00520D39" w:rsidR="006D2ACA" w:rsidRDefault="00D70BAA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89" w:history="1">
        <w:r w:rsidR="006D2ACA" w:rsidRPr="006A1212">
          <w:rPr>
            <w:rStyle w:val="Hyperlink"/>
            <w:noProof/>
          </w:rPr>
          <w:t>6.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STOSUNKI Z PARLAMENTEM I EUROPEJSKIM TRYBUNAŁEM OBRACHUNKOWYM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_Toc176966489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15</w:t>
        </w:r>
        <w:r w:rsidR="006D2ACA">
          <w:rPr>
            <w:noProof/>
            <w:webHidden/>
          </w:rPr>
          <w:fldChar w:fldCharType="end"/>
        </w:r>
      </w:hyperlink>
    </w:p>
    <w:p w14:paraId="3225FD58" w14:textId="01D2CB32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90" w:history="1">
        <w:r w:rsidR="006D2ACA" w:rsidRPr="006A1212">
          <w:rPr>
            <w:rStyle w:val="Hyperlink"/>
            <w:noProof/>
          </w:rPr>
          <w:t>6.1.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Stosunki</w:t>
        </w:r>
        <w:r w:rsidR="00342B21" w:rsidRPr="006A1212">
          <w:rPr>
            <w:rStyle w:val="Hyperlink"/>
            <w:noProof/>
          </w:rPr>
          <w:t xml:space="preserve"> z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Par</w:t>
        </w:r>
        <w:r w:rsidR="006D2ACA" w:rsidRPr="006A1212">
          <w:rPr>
            <w:rStyle w:val="Hyperlink"/>
            <w:noProof/>
          </w:rPr>
          <w:t>lamentem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_Toc176966490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15</w:t>
        </w:r>
        <w:r w:rsidR="006D2ACA">
          <w:rPr>
            <w:noProof/>
            <w:webHidden/>
          </w:rPr>
          <w:fldChar w:fldCharType="end"/>
        </w:r>
      </w:hyperlink>
    </w:p>
    <w:p w14:paraId="7674F4E7" w14:textId="69B97391" w:rsidR="006D2ACA" w:rsidRDefault="00D70BA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E" w:eastAsia="en-IE"/>
          <w14:ligatures w14:val="standardContextual"/>
        </w:rPr>
      </w:pPr>
      <w:hyperlink w:anchor="_Toc176966491" w:history="1">
        <w:r w:rsidR="006D2ACA" w:rsidRPr="006A1212">
          <w:rPr>
            <w:rStyle w:val="Hyperlink"/>
            <w:noProof/>
          </w:rPr>
          <w:t>6.2.</w:t>
        </w:r>
        <w:r w:rsidR="006D2A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E" w:eastAsia="en-IE"/>
            <w14:ligatures w14:val="standardContextual"/>
          </w:rPr>
          <w:tab/>
        </w:r>
        <w:r w:rsidR="006D2ACA" w:rsidRPr="006A1212">
          <w:rPr>
            <w:rStyle w:val="Hyperlink"/>
            <w:noProof/>
          </w:rPr>
          <w:t>Stosunki</w:t>
        </w:r>
        <w:r w:rsidR="00342B21" w:rsidRPr="006A1212">
          <w:rPr>
            <w:rStyle w:val="Hyperlink"/>
            <w:noProof/>
          </w:rPr>
          <w:t xml:space="preserve"> z</w:t>
        </w:r>
        <w:r w:rsidR="00342B21">
          <w:rPr>
            <w:rStyle w:val="Hyperlink"/>
            <w:noProof/>
          </w:rPr>
          <w:t> </w:t>
        </w:r>
        <w:r w:rsidR="00342B21" w:rsidRPr="006A1212">
          <w:rPr>
            <w:rStyle w:val="Hyperlink"/>
            <w:noProof/>
          </w:rPr>
          <w:t>Eur</w:t>
        </w:r>
        <w:r w:rsidR="006D2ACA" w:rsidRPr="006A1212">
          <w:rPr>
            <w:rStyle w:val="Hyperlink"/>
            <w:noProof/>
          </w:rPr>
          <w:t>opejskim Trybunałem Obrachunkowym</w:t>
        </w:r>
        <w:r w:rsidR="006D2ACA">
          <w:rPr>
            <w:noProof/>
            <w:webHidden/>
          </w:rPr>
          <w:tab/>
        </w:r>
        <w:r w:rsidR="006D2ACA">
          <w:rPr>
            <w:noProof/>
            <w:webHidden/>
          </w:rPr>
          <w:fldChar w:fldCharType="begin"/>
        </w:r>
        <w:r w:rsidR="006D2ACA">
          <w:rPr>
            <w:noProof/>
            <w:webHidden/>
          </w:rPr>
          <w:instrText xml:space="preserve"> PAGEREF _Toc176966491 \h </w:instrText>
        </w:r>
        <w:r w:rsidR="006D2ACA">
          <w:rPr>
            <w:noProof/>
            <w:webHidden/>
          </w:rPr>
        </w:r>
        <w:r w:rsidR="006D2ACA">
          <w:rPr>
            <w:noProof/>
            <w:webHidden/>
          </w:rPr>
          <w:fldChar w:fldCharType="separate"/>
        </w:r>
        <w:r w:rsidR="006D2ACA">
          <w:rPr>
            <w:noProof/>
            <w:webHidden/>
          </w:rPr>
          <w:t>15</w:t>
        </w:r>
        <w:r w:rsidR="006D2ACA">
          <w:rPr>
            <w:noProof/>
            <w:webHidden/>
          </w:rPr>
          <w:fldChar w:fldCharType="end"/>
        </w:r>
      </w:hyperlink>
    </w:p>
    <w:p w14:paraId="1C394450" w14:textId="7FE43D3F" w:rsidR="6AF0C460" w:rsidRDefault="6AF0C460" w:rsidP="00D006F7">
      <w:pPr>
        <w:pStyle w:val="TOC1"/>
        <w:rPr>
          <w:noProof/>
        </w:rPr>
      </w:pPr>
      <w:r>
        <w:rPr>
          <w:noProof/>
        </w:rPr>
        <w:fldChar w:fldCharType="end"/>
      </w:r>
    </w:p>
    <w:p w14:paraId="7894AD69" w14:textId="5F380060" w:rsidR="00A44A15" w:rsidRDefault="00A44A15" w:rsidP="00A44A15">
      <w:pPr>
        <w:pStyle w:val="TOCHeading"/>
        <w:rPr>
          <w:noProof/>
        </w:rPr>
        <w:sectPr w:rsidR="00A44A1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106" w:right="1389" w:bottom="1077" w:left="1389" w:header="680" w:footer="624" w:gutter="0"/>
          <w:pgNumType w:start="1"/>
          <w:cols w:space="720"/>
          <w:docGrid w:linePitch="326"/>
        </w:sectPr>
      </w:pPr>
    </w:p>
    <w:p w14:paraId="7ACD9532" w14:textId="77777777" w:rsidR="00A44A15" w:rsidRDefault="00A44A15" w:rsidP="00990270">
      <w:pPr>
        <w:pStyle w:val="ManualHeading1"/>
        <w:spacing w:after="160"/>
        <w:ind w:left="851" w:hanging="851"/>
        <w:rPr>
          <w:noProof/>
        </w:rPr>
      </w:pPr>
      <w:bookmarkStart w:id="2" w:name="_Toc322938550"/>
      <w:bookmarkStart w:id="3" w:name="_Toc102661828"/>
      <w:bookmarkStart w:id="4" w:name="_Toc105773176"/>
      <w:bookmarkStart w:id="5" w:name="_Toc176966466"/>
      <w:r>
        <w:rPr>
          <w:noProof/>
        </w:rPr>
        <w:t>1.</w:t>
      </w:r>
      <w:r>
        <w:rPr>
          <w:noProof/>
        </w:rPr>
        <w:tab/>
        <w:t>PROCEDURA BUDŻETOWA</w:t>
      </w:r>
      <w:bookmarkEnd w:id="2"/>
      <w:bookmarkEnd w:id="3"/>
      <w:bookmarkEnd w:id="4"/>
      <w:bookmarkEnd w:id="5"/>
    </w:p>
    <w:p w14:paraId="3F89FF47" w14:textId="2C3B63A4" w:rsidR="00410DE1" w:rsidRPr="00D006F7" w:rsidRDefault="00927A58" w:rsidP="00D006F7">
      <w:pPr>
        <w:pStyle w:val="Text1"/>
      </w:pPr>
      <w:r>
        <w:t>Zreformowana WPR na lata 2023–2027 wprowadziła podejście strategiczne</w:t>
      </w:r>
      <w:r w:rsidR="00342B21">
        <w:t xml:space="preserve"> i now</w:t>
      </w:r>
      <w:r>
        <w:t>y model realizacji skoncentrowany na wydajności</w:t>
      </w:r>
      <w:r w:rsidR="00342B21">
        <w:t xml:space="preserve"> i wyn</w:t>
      </w:r>
      <w:r>
        <w:t>ikach. Nowa WPR konsoliduje dwa istniejące fundusze – Europejski Fundusz Rolniczy Gwarancji (EFRG)</w:t>
      </w:r>
      <w:r w:rsidR="00342B21">
        <w:t xml:space="preserve"> i Eur</w:t>
      </w:r>
      <w:r>
        <w:t>opejski Fundusz Rolny na rzecz Rozwoju Obszarów Wiejskich (EFRROW) –</w:t>
      </w:r>
      <w:r w:rsidR="00342B21">
        <w:t xml:space="preserve"> w ram</w:t>
      </w:r>
      <w:r>
        <w:t>ach jednolitych planów strategicznych WPR obejmujących finansowanie wsparcia dochodów, rozwoju obszarów wiejskich</w:t>
      </w:r>
      <w:r w:rsidR="00342B21">
        <w:t xml:space="preserve"> i wsp</w:t>
      </w:r>
      <w:r>
        <w:t>arcia dla niektórych sektorów. Rok 2023 był pierwszym rokiem wdrażania planów strategicznych WPR.</w:t>
      </w:r>
    </w:p>
    <w:p w14:paraId="3BE18957" w14:textId="77777777" w:rsidR="00A44A15" w:rsidRDefault="00A44A15" w:rsidP="00990270">
      <w:pPr>
        <w:pStyle w:val="ManualHeading2"/>
        <w:spacing w:before="360" w:after="160"/>
        <w:ind w:left="851" w:hanging="851"/>
        <w:rPr>
          <w:noProof/>
        </w:rPr>
      </w:pPr>
      <w:bookmarkStart w:id="6" w:name="_Toc322938551"/>
      <w:bookmarkStart w:id="7" w:name="_Toc102661829"/>
      <w:bookmarkStart w:id="8" w:name="_Toc105773177"/>
      <w:bookmarkStart w:id="9" w:name="_Toc176966467"/>
      <w:r>
        <w:rPr>
          <w:noProof/>
        </w:rPr>
        <w:t>1.1.</w:t>
      </w:r>
      <w:r>
        <w:rPr>
          <w:noProof/>
        </w:rPr>
        <w:tab/>
        <w:t>Ramy finansowe 2021–</w:t>
      </w:r>
      <w:bookmarkEnd w:id="6"/>
      <w:r>
        <w:rPr>
          <w:noProof/>
        </w:rPr>
        <w:t>2027</w:t>
      </w:r>
      <w:bookmarkEnd w:id="7"/>
      <w:bookmarkEnd w:id="8"/>
      <w:bookmarkEnd w:id="9"/>
      <w:r>
        <w:rPr>
          <w:noProof/>
        </w:rPr>
        <w:t xml:space="preserve"> </w:t>
      </w:r>
    </w:p>
    <w:p w14:paraId="565E90EA" w14:textId="0C0843B2" w:rsidR="00A44A15" w:rsidRDefault="00A44A15" w:rsidP="00A44A15">
      <w:pPr>
        <w:pStyle w:val="Text1"/>
      </w:pPr>
      <w:r>
        <w:t>Wydatki na wspólną politykę rolną (WPR) są finansowane</w:t>
      </w:r>
      <w:r w:rsidR="00342B21">
        <w:t xml:space="preserve"> w ram</w:t>
      </w:r>
      <w:r>
        <w:t>ach wieloletnich ram finansowych na lata 2021–2027 zgodnie</w:t>
      </w:r>
      <w:r w:rsidR="00342B21">
        <w:t xml:space="preserve"> z roz</w:t>
      </w:r>
      <w:r>
        <w:t>porządzeniem Rady (UE, Euratom) 2020/2093</w:t>
      </w:r>
      <w:r>
        <w:rPr>
          <w:vertAlign w:val="superscript"/>
        </w:rPr>
        <w:footnoteReference w:id="2"/>
      </w:r>
      <w:r w:rsidR="00342B21">
        <w:t>. W szc</w:t>
      </w:r>
      <w:r>
        <w:t>zególności wydatki na WPR stanowią część pułapu ustalonego</w:t>
      </w:r>
      <w:r w:rsidR="00342B21">
        <w:t xml:space="preserve"> w odn</w:t>
      </w:r>
      <w:r>
        <w:t>iesieniu do działu 3 „Zasoby naturalne</w:t>
      </w:r>
      <w:r w:rsidR="00342B21">
        <w:t xml:space="preserve"> i śro</w:t>
      </w:r>
      <w:r>
        <w:t>dowisko”</w:t>
      </w:r>
      <w:r w:rsidR="00342B21">
        <w:t>. W ram</w:t>
      </w:r>
      <w:r>
        <w:t>ach tego ogólnego pułapu ustalono konkretny podpułap wydatków związanych rynkiem</w:t>
      </w:r>
      <w:r w:rsidR="00342B21">
        <w:t xml:space="preserve"> i pła</w:t>
      </w:r>
      <w:r>
        <w:t>tności bezpośrednich finansowanych</w:t>
      </w:r>
      <w:r w:rsidR="00342B21">
        <w:t xml:space="preserve"> z Eur</w:t>
      </w:r>
      <w:r>
        <w:t>opejskiego Funduszu Rolniczego Gwarancji (EFRG).</w:t>
      </w:r>
    </w:p>
    <w:p w14:paraId="04EA57B3" w14:textId="0193DC3C" w:rsidR="00A44A15" w:rsidRDefault="1BFC6801" w:rsidP="00A44A15">
      <w:pPr>
        <w:pStyle w:val="Text1"/>
      </w:pPr>
      <w:r>
        <w:t>Podpułap EFRG dostosowano</w:t>
      </w:r>
      <w:r w:rsidR="00342B21">
        <w:t xml:space="preserve"> w nas</w:t>
      </w:r>
      <w:r>
        <w:t>tępstwie przesunięcia niektórych kwot płatności bezpośrednich do puli na rozwój obszarów wiejskich finansowany</w:t>
      </w:r>
      <w:r w:rsidR="00342B21">
        <w:t xml:space="preserve"> z Eur</w:t>
      </w:r>
      <w:r>
        <w:t>opejskiego Funduszu Rolnego na rzecz Rozwoju Obszarów Wiejskich (EFRROW),</w:t>
      </w:r>
      <w:r w:rsidR="00342B21">
        <w:t xml:space="preserve"> a tak</w:t>
      </w:r>
      <w:r>
        <w:t>że przesunięcia środków</w:t>
      </w:r>
      <w:r w:rsidR="00342B21">
        <w:t xml:space="preserve"> z pul</w:t>
      </w:r>
      <w:r>
        <w:t>i na rozwój obszarów wiejskich do puli na płatności bezpośrednie. Dokonano też pewnych dostosowań</w:t>
      </w:r>
      <w:r w:rsidR="00342B21">
        <w:t xml:space="preserve"> w ram</w:t>
      </w:r>
      <w:r>
        <w:t>ach śródokresowej rewizji WRF</w:t>
      </w:r>
      <w:r w:rsidR="00342B21">
        <w:t xml:space="preserve"> w 2</w:t>
      </w:r>
      <w:r>
        <w:t>0</w:t>
      </w:r>
      <w:r w:rsidRPr="00342B21">
        <w:t>24</w:t>
      </w:r>
      <w:r w:rsidR="00342B21" w:rsidRPr="00342B21">
        <w:t> </w:t>
      </w:r>
      <w:r w:rsidRPr="00342B21">
        <w:t>r.</w:t>
      </w:r>
      <w:r>
        <w:t>, jak określono</w:t>
      </w:r>
      <w:r w:rsidR="00342B21">
        <w:t xml:space="preserve"> w roz</w:t>
      </w:r>
      <w:r>
        <w:t>porządzeniu Rady (UE, Euratom) 2024/765</w:t>
      </w:r>
      <w:r>
        <w:rPr>
          <w:rStyle w:val="FootnoteReference"/>
        </w:rPr>
        <w:footnoteReference w:id="3"/>
      </w:r>
      <w:r w:rsidR="00342B21">
        <w:t>. W zwi</w:t>
      </w:r>
      <w:r>
        <w:t>ązku</w:t>
      </w:r>
      <w:r w:rsidR="00342B21">
        <w:t xml:space="preserve"> z tym</w:t>
      </w:r>
      <w:r>
        <w:t xml:space="preserve"> na podstawie rozporządzenia wykonawczego Komisji (UE) 2021/128</w:t>
      </w:r>
      <w:r>
        <w:rPr>
          <w:vertAlign w:val="superscript"/>
        </w:rPr>
        <w:footnoteReference w:id="4"/>
      </w:r>
      <w:r>
        <w:t xml:space="preserve"> ustanawiającego saldo netto udostępnione na wydatki EFRG kwoty na WPR uwzględnione</w:t>
      </w:r>
      <w:r w:rsidR="00342B21">
        <w:t xml:space="preserve"> w dzi</w:t>
      </w:r>
      <w:r>
        <w:t xml:space="preserve">ale 3 wieloletnich ram finansowych (2021–2027) są następujące: </w:t>
      </w:r>
    </w:p>
    <w:p w14:paraId="2D3316B7" w14:textId="0785624D" w:rsidR="00A44A15" w:rsidRDefault="00477026" w:rsidP="00D006F7">
      <w:pPr>
        <w:pStyle w:val="Text1"/>
        <w:rPr>
          <w:i/>
        </w:rPr>
      </w:pPr>
      <w:r>
        <w:t xml:space="preserve">Tabela 1            </w:t>
      </w:r>
      <w:r>
        <w:rPr>
          <w:i/>
        </w:rPr>
        <w:t>(w mln EUR; ceny bieżące)</w:t>
      </w:r>
    </w:p>
    <w:tbl>
      <w:tblPr>
        <w:tblpPr w:leftFromText="180" w:rightFromText="180" w:vertAnchor="text" w:horzAnchor="page" w:tblpX="1351" w:tblpY="37"/>
        <w:tblW w:w="9600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960"/>
        <w:gridCol w:w="960"/>
        <w:gridCol w:w="960"/>
        <w:gridCol w:w="960"/>
      </w:tblGrid>
      <w:tr w:rsidR="00DB00D7" w:rsidRPr="002B5206" w14:paraId="082D2C6B" w14:textId="77777777" w:rsidTr="00B36033">
        <w:trPr>
          <w:trHeight w:val="280"/>
        </w:trPr>
        <w:tc>
          <w:tcPr>
            <w:tcW w:w="2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639C5AF" w14:textId="77777777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 xml:space="preserve">Dział 3* 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3161B3B3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0C37ADCD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4F1347CC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31B62B09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349DCE83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2508540E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99CC00"/>
            <w:vAlign w:val="center"/>
            <w:hideMark/>
          </w:tcPr>
          <w:p w14:paraId="4B8D561B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2027</w:t>
            </w:r>
          </w:p>
        </w:tc>
      </w:tr>
      <w:tr w:rsidR="00DB00D7" w:rsidRPr="002B5206" w14:paraId="1769C05B" w14:textId="77777777" w:rsidTr="00B36033">
        <w:trPr>
          <w:trHeight w:val="260"/>
        </w:trPr>
        <w:tc>
          <w:tcPr>
            <w:tcW w:w="2880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DB9D8" w14:textId="77777777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 xml:space="preserve">Ogółem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7D6B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55 713,0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4590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53 365,90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A165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53 626,90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71BE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53 757,90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3587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53 890,90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5C07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54 021,90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AD462B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54 155,90</w:t>
            </w:r>
          </w:p>
        </w:tc>
      </w:tr>
      <w:tr w:rsidR="00DB00D7" w:rsidRPr="002B5206" w14:paraId="230F2659" w14:textId="77777777" w:rsidTr="00B36033">
        <w:trPr>
          <w:trHeight w:val="260"/>
        </w:trPr>
        <w:tc>
          <w:tcPr>
            <w:tcW w:w="2880" w:type="dxa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529A4" w14:textId="77777777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w tym: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B5677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DD8E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097FC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5AB7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F2D9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5CE6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B8DD50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</w:tr>
      <w:tr w:rsidR="00DB00D7" w:rsidRPr="002B5206" w14:paraId="0E75C15C" w14:textId="77777777" w:rsidTr="00B36033">
        <w:trPr>
          <w:trHeight w:val="630"/>
        </w:trPr>
        <w:tc>
          <w:tcPr>
            <w:tcW w:w="2880" w:type="dxa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EE778" w14:textId="527B8A7C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– wydatki związane</w:t>
            </w:r>
            <w:r w:rsidR="00342B21">
              <w:rPr>
                <w:rFonts w:ascii="Times New Roman" w:hAnsi="Times New Roman"/>
                <w:noProof/>
                <w:sz w:val="20"/>
              </w:rPr>
              <w:t xml:space="preserve"> z ryn</w:t>
            </w:r>
            <w:r>
              <w:rPr>
                <w:rFonts w:ascii="Times New Roman" w:hAnsi="Times New Roman"/>
                <w:noProof/>
                <w:sz w:val="20"/>
              </w:rPr>
              <w:t>kiem</w:t>
            </w:r>
            <w:r w:rsidR="00342B21">
              <w:rPr>
                <w:rFonts w:ascii="Times New Roman" w:hAnsi="Times New Roman"/>
                <w:noProof/>
                <w:sz w:val="20"/>
              </w:rPr>
              <w:t xml:space="preserve"> i pła</w:t>
            </w:r>
            <w:r>
              <w:rPr>
                <w:rFonts w:ascii="Times New Roman" w:hAnsi="Times New Roman"/>
                <w:noProof/>
                <w:sz w:val="20"/>
              </w:rPr>
              <w:t>tności bezpośrednie, a), b), c), 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B6D7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40 368,00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448E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40 638,20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A506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40 692,20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9BD1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40 602,10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6316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40 528,90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2BBF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40 541,20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FCEF50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40 495,80</w:t>
            </w:r>
          </w:p>
        </w:tc>
      </w:tr>
      <w:tr w:rsidR="00DB00D7" w:rsidRPr="002B5206" w14:paraId="1B5D7346" w14:textId="77777777" w:rsidTr="00B36033">
        <w:trPr>
          <w:trHeight w:val="620"/>
        </w:trPr>
        <w:tc>
          <w:tcPr>
            <w:tcW w:w="288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78C1C" w14:textId="77777777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– Rozwój obszarów wiejskich a), b), c)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F606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15 345,0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1493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12 727,70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47C9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12 934,70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193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13 155,80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4027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13 226,00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D34A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13 331,70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497D6D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13 505,10</w:t>
            </w:r>
          </w:p>
        </w:tc>
      </w:tr>
      <w:tr w:rsidR="00DB00D7" w:rsidRPr="002B5206" w14:paraId="6F5CD7B6" w14:textId="77777777" w:rsidTr="00B36033">
        <w:trPr>
          <w:trHeight w:val="450"/>
        </w:trPr>
        <w:tc>
          <w:tcPr>
            <w:tcW w:w="2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B1C1281" w14:textId="77777777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 xml:space="preserve">Zewnętrzne dochody przeznaczone na określony cel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2EFEC30B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7E8D5149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0E746AFD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23391CFE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6119EEC6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3AEA0C1B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9CC00"/>
            <w:vAlign w:val="center"/>
            <w:hideMark/>
          </w:tcPr>
          <w:p w14:paraId="3FDF2A0C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2027</w:t>
            </w:r>
          </w:p>
        </w:tc>
      </w:tr>
      <w:tr w:rsidR="00DB00D7" w:rsidRPr="002B5206" w14:paraId="79069EE8" w14:textId="77777777" w:rsidTr="00B36033">
        <w:trPr>
          <w:trHeight w:val="430"/>
        </w:trPr>
        <w:tc>
          <w:tcPr>
            <w:tcW w:w="2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C5AA6" w14:textId="77777777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NGEU e)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841F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2 387,70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6FBC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5 682,80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23EF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8135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B1FC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AE151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72D949" w14:textId="77777777" w:rsidR="00DB00D7" w:rsidRPr="002B5206" w:rsidRDefault="00DB00D7" w:rsidP="00B3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</w:p>
        </w:tc>
      </w:tr>
      <w:tr w:rsidR="00DB00D7" w:rsidRPr="002B5206" w14:paraId="5BAC1CC3" w14:textId="77777777" w:rsidTr="00B36033">
        <w:trPr>
          <w:trHeight w:val="500"/>
        </w:trPr>
        <w:tc>
          <w:tcPr>
            <w:tcW w:w="9600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1EDF" w14:textId="1441AD96" w:rsidR="00DB00D7" w:rsidRPr="002B5206" w:rsidRDefault="00DB00D7" w:rsidP="00B360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* Zasoby naturalne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i śro</w:t>
            </w:r>
            <w:r>
              <w:rPr>
                <w:rFonts w:ascii="Times New Roman" w:hAnsi="Times New Roman"/>
                <w:noProof/>
                <w:sz w:val="18"/>
              </w:rPr>
              <w:t xml:space="preserve">dowisko związane z WPR </w:t>
            </w:r>
          </w:p>
        </w:tc>
      </w:tr>
      <w:tr w:rsidR="00DB00D7" w:rsidRPr="00687990" w14:paraId="2A956098" w14:textId="77777777" w:rsidTr="00B36033">
        <w:trPr>
          <w:trHeight w:val="568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3683" w14:textId="55C39AF3" w:rsidR="0083700E" w:rsidRDefault="00DB00D7" w:rsidP="00B36033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a) po dokonaniu rocznych przesunięć środków z EFRG do EFRROW na lata budżetowe 2021–2023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w łąc</w:t>
            </w:r>
            <w:r>
              <w:rPr>
                <w:rFonts w:ascii="Times New Roman" w:hAnsi="Times New Roman"/>
                <w:noProof/>
                <w:sz w:val="18"/>
              </w:rPr>
              <w:t xml:space="preserve">znej wysokości 3 463,1 mln EUR na podstawie </w:t>
            </w:r>
            <w:r w:rsidRPr="00342B21">
              <w:rPr>
                <w:rFonts w:ascii="Times New Roman" w:hAnsi="Times New Roman"/>
                <w:noProof/>
                <w:sz w:val="18"/>
              </w:rPr>
              <w:t>art.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4 </w:t>
            </w:r>
            <w:r w:rsidRPr="00342B21">
              <w:rPr>
                <w:rFonts w:ascii="Times New Roman" w:hAnsi="Times New Roman"/>
                <w:noProof/>
                <w:sz w:val="18"/>
              </w:rPr>
              <w:t>ust.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 rozporządzenia (UE) </w:t>
            </w:r>
            <w:r w:rsidRPr="00342B21">
              <w:rPr>
                <w:rFonts w:ascii="Times New Roman" w:hAnsi="Times New Roman"/>
                <w:noProof/>
                <w:sz w:val="18"/>
              </w:rPr>
              <w:t>nr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307/2013 oraz na lata budżetowe 2024–2027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w łąc</w:t>
            </w:r>
            <w:r>
              <w:rPr>
                <w:rFonts w:ascii="Times New Roman" w:hAnsi="Times New Roman"/>
                <w:noProof/>
                <w:sz w:val="18"/>
              </w:rPr>
              <w:t xml:space="preserve">znej wysokości 7 123,8 mln EUR na podstawie </w:t>
            </w:r>
            <w:r w:rsidRPr="00342B21">
              <w:rPr>
                <w:rFonts w:ascii="Times New Roman" w:hAnsi="Times New Roman"/>
                <w:noProof/>
                <w:sz w:val="18"/>
              </w:rPr>
              <w:t>art.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03 </w:t>
            </w:r>
            <w:r w:rsidRPr="00342B21">
              <w:rPr>
                <w:rFonts w:ascii="Times New Roman" w:hAnsi="Times New Roman"/>
                <w:noProof/>
                <w:sz w:val="18"/>
              </w:rPr>
              <w:t>ust.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 </w:t>
            </w:r>
            <w:r w:rsidRPr="00342B21">
              <w:rPr>
                <w:rFonts w:ascii="Times New Roman" w:hAnsi="Times New Roman"/>
                <w:noProof/>
                <w:sz w:val="18"/>
              </w:rPr>
              <w:t>lit.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a)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i 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art</w:t>
            </w:r>
            <w:r w:rsidRPr="00342B21">
              <w:rPr>
                <w:rFonts w:ascii="Times New Roman" w:hAnsi="Times New Roman"/>
                <w:noProof/>
                <w:sz w:val="18"/>
              </w:rPr>
              <w:t>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03 </w:t>
            </w:r>
            <w:r w:rsidRPr="00342B21">
              <w:rPr>
                <w:rFonts w:ascii="Times New Roman" w:hAnsi="Times New Roman"/>
                <w:noProof/>
                <w:sz w:val="18"/>
              </w:rPr>
              <w:t>ust.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2</w:t>
            </w:r>
            <w:r>
              <w:rPr>
                <w:rFonts w:ascii="Times New Roman" w:hAnsi="Times New Roman"/>
                <w:noProof/>
                <w:sz w:val="18"/>
              </w:rPr>
              <w:t xml:space="preserve"> rozporządzenia (UE) 2021/2115; </w:t>
            </w:r>
          </w:p>
          <w:p w14:paraId="20ADF941" w14:textId="2119899D" w:rsidR="0083700E" w:rsidRDefault="0083700E" w:rsidP="00B36033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b) po dokonaniu rocznych przesunięć środków z EFRROW do EFRG na lata budżetowe 2021–2023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w łąc</w:t>
            </w:r>
            <w:r>
              <w:rPr>
                <w:rFonts w:ascii="Times New Roman" w:hAnsi="Times New Roman"/>
                <w:noProof/>
                <w:sz w:val="18"/>
              </w:rPr>
              <w:t xml:space="preserve">znej wysokości 1 633,4 mln EUR na podstawie </w:t>
            </w:r>
            <w:r w:rsidRPr="00342B21">
              <w:rPr>
                <w:rFonts w:ascii="Times New Roman" w:hAnsi="Times New Roman"/>
                <w:noProof/>
                <w:sz w:val="18"/>
              </w:rPr>
              <w:t>art.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4 </w:t>
            </w:r>
            <w:r w:rsidRPr="00342B21">
              <w:rPr>
                <w:rFonts w:ascii="Times New Roman" w:hAnsi="Times New Roman"/>
                <w:noProof/>
                <w:sz w:val="18"/>
              </w:rPr>
              <w:t>ust.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2</w:t>
            </w:r>
            <w:r>
              <w:rPr>
                <w:rFonts w:ascii="Times New Roman" w:hAnsi="Times New Roman"/>
                <w:noProof/>
                <w:sz w:val="18"/>
              </w:rPr>
              <w:t xml:space="preserve"> rozporządzenia (UE) </w:t>
            </w:r>
            <w:r w:rsidRPr="00342B21">
              <w:rPr>
                <w:rFonts w:ascii="Times New Roman" w:hAnsi="Times New Roman"/>
                <w:noProof/>
                <w:sz w:val="18"/>
              </w:rPr>
              <w:t>nr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307/2013 oraz na lata budżetowe 2024–2027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w łąc</w:t>
            </w:r>
            <w:r>
              <w:rPr>
                <w:rFonts w:ascii="Times New Roman" w:hAnsi="Times New Roman"/>
                <w:noProof/>
                <w:sz w:val="18"/>
              </w:rPr>
              <w:t xml:space="preserve">znej wysokości 2 360,9 mln EUR na podstawie </w:t>
            </w:r>
            <w:r w:rsidRPr="00342B21">
              <w:rPr>
                <w:rFonts w:ascii="Times New Roman" w:hAnsi="Times New Roman"/>
                <w:noProof/>
                <w:sz w:val="18"/>
              </w:rPr>
              <w:t>art.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03 </w:t>
            </w:r>
            <w:r w:rsidRPr="00342B21">
              <w:rPr>
                <w:rFonts w:ascii="Times New Roman" w:hAnsi="Times New Roman"/>
                <w:noProof/>
                <w:sz w:val="18"/>
              </w:rPr>
              <w:t>ust.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 </w:t>
            </w:r>
            <w:r w:rsidRPr="00342B21">
              <w:rPr>
                <w:rFonts w:ascii="Times New Roman" w:hAnsi="Times New Roman"/>
                <w:noProof/>
                <w:sz w:val="18"/>
              </w:rPr>
              <w:t>lit.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b)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i 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art</w:t>
            </w:r>
            <w:r w:rsidRPr="00342B21">
              <w:rPr>
                <w:rFonts w:ascii="Times New Roman" w:hAnsi="Times New Roman"/>
                <w:noProof/>
                <w:sz w:val="18"/>
              </w:rPr>
              <w:t>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 xml:space="preserve">03 </w:t>
            </w:r>
            <w:r w:rsidRPr="00342B21">
              <w:rPr>
                <w:rFonts w:ascii="Times New Roman" w:hAnsi="Times New Roman"/>
                <w:noProof/>
                <w:sz w:val="18"/>
              </w:rPr>
              <w:t>ust.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3</w:t>
            </w:r>
            <w:r>
              <w:rPr>
                <w:rFonts w:ascii="Times New Roman" w:hAnsi="Times New Roman"/>
                <w:noProof/>
                <w:sz w:val="18"/>
              </w:rPr>
              <w:t xml:space="preserve"> rozporządzenia (UE) 2021/2115;</w:t>
            </w:r>
          </w:p>
          <w:p w14:paraId="6FDDB684" w14:textId="0EC93C7A" w:rsidR="00ED654B" w:rsidRDefault="00ED654B" w:rsidP="00B36033">
            <w:pPr>
              <w:pStyle w:val="paragraph"/>
              <w:spacing w:before="0" w:beforeAutospacing="0" w:after="120" w:afterAutospacing="0"/>
              <w:textAlignment w:val="baseline"/>
              <w:rPr>
                <w:noProof/>
              </w:rPr>
            </w:pPr>
            <w:r>
              <w:rPr>
                <w:rStyle w:val="normaltextrun"/>
                <w:noProof/>
                <w:sz w:val="18"/>
              </w:rPr>
              <w:t>c) po dokonaniu rocznych przesunięć środków z EFRG do EFRROW na lata budżetowe 2021–2023</w:t>
            </w:r>
            <w:r w:rsidR="00342B21">
              <w:rPr>
                <w:rStyle w:val="normaltextrun"/>
                <w:noProof/>
                <w:sz w:val="18"/>
              </w:rPr>
              <w:t xml:space="preserve"> w łąc</w:t>
            </w:r>
            <w:r>
              <w:rPr>
                <w:rStyle w:val="normaltextrun"/>
                <w:noProof/>
                <w:sz w:val="18"/>
              </w:rPr>
              <w:t xml:space="preserve">znej wysokości 171,9 mln EUR na podstawie </w:t>
            </w:r>
            <w:r w:rsidRPr="00342B21">
              <w:rPr>
                <w:rStyle w:val="normaltextrun"/>
                <w:noProof/>
                <w:sz w:val="18"/>
              </w:rPr>
              <w:t>art.</w:t>
            </w:r>
            <w:r w:rsidR="00342B21" w:rsidRPr="00342B21">
              <w:rPr>
                <w:rStyle w:val="normaltextrun"/>
                <w:noProof/>
                <w:sz w:val="18"/>
              </w:rPr>
              <w:t> </w:t>
            </w:r>
            <w:r w:rsidRPr="00342B21">
              <w:rPr>
                <w:rStyle w:val="normaltextrun"/>
                <w:noProof/>
                <w:sz w:val="18"/>
              </w:rPr>
              <w:t>7</w:t>
            </w:r>
            <w:r>
              <w:rPr>
                <w:rStyle w:val="normaltextrun"/>
                <w:noProof/>
                <w:sz w:val="18"/>
              </w:rPr>
              <w:t xml:space="preserve"> </w:t>
            </w:r>
            <w:r w:rsidRPr="00342B21">
              <w:rPr>
                <w:rStyle w:val="normaltextrun"/>
                <w:noProof/>
                <w:sz w:val="18"/>
              </w:rPr>
              <w:t>ust.</w:t>
            </w:r>
            <w:r w:rsidR="00342B21" w:rsidRPr="00342B21">
              <w:rPr>
                <w:rStyle w:val="normaltextrun"/>
                <w:noProof/>
                <w:sz w:val="18"/>
              </w:rPr>
              <w:t> </w:t>
            </w:r>
            <w:r w:rsidRPr="00342B21">
              <w:rPr>
                <w:rStyle w:val="normaltextrun"/>
                <w:noProof/>
                <w:sz w:val="18"/>
              </w:rPr>
              <w:t>2</w:t>
            </w:r>
            <w:r>
              <w:rPr>
                <w:rStyle w:val="normaltextrun"/>
                <w:noProof/>
                <w:sz w:val="18"/>
              </w:rPr>
              <w:t xml:space="preserve"> rozporządzenia (UE) </w:t>
            </w:r>
            <w:r w:rsidRPr="00342B21">
              <w:rPr>
                <w:rStyle w:val="normaltextrun"/>
                <w:noProof/>
                <w:sz w:val="18"/>
              </w:rPr>
              <w:t>nr</w:t>
            </w:r>
            <w:r w:rsidR="00342B21" w:rsidRPr="00342B21">
              <w:rPr>
                <w:rStyle w:val="normaltextrun"/>
                <w:noProof/>
                <w:sz w:val="18"/>
              </w:rPr>
              <w:t> </w:t>
            </w:r>
            <w:r w:rsidRPr="00342B21">
              <w:rPr>
                <w:rStyle w:val="normaltextrun"/>
                <w:noProof/>
                <w:sz w:val="18"/>
              </w:rPr>
              <w:t>1</w:t>
            </w:r>
            <w:r>
              <w:rPr>
                <w:rStyle w:val="normaltextrun"/>
                <w:noProof/>
                <w:sz w:val="18"/>
              </w:rPr>
              <w:t>307/2013 oraz na lata budżetowe 2024–2027</w:t>
            </w:r>
            <w:r w:rsidR="00342B21">
              <w:rPr>
                <w:rStyle w:val="normaltextrun"/>
                <w:noProof/>
                <w:sz w:val="18"/>
              </w:rPr>
              <w:t xml:space="preserve"> w łąc</w:t>
            </w:r>
            <w:r>
              <w:rPr>
                <w:rStyle w:val="normaltextrun"/>
                <w:noProof/>
                <w:sz w:val="18"/>
              </w:rPr>
              <w:t xml:space="preserve">znej wysokości 20 mln EUR na podstawie </w:t>
            </w:r>
            <w:r w:rsidRPr="00342B21">
              <w:rPr>
                <w:rStyle w:val="normaltextrun"/>
                <w:noProof/>
                <w:sz w:val="18"/>
              </w:rPr>
              <w:t>art.</w:t>
            </w:r>
            <w:r w:rsidR="00342B21" w:rsidRPr="00342B21">
              <w:rPr>
                <w:rStyle w:val="normaltextrun"/>
                <w:noProof/>
                <w:sz w:val="18"/>
              </w:rPr>
              <w:t> </w:t>
            </w:r>
            <w:r w:rsidRPr="00342B21">
              <w:rPr>
                <w:rStyle w:val="normaltextrun"/>
                <w:noProof/>
                <w:sz w:val="18"/>
              </w:rPr>
              <w:t>1</w:t>
            </w:r>
            <w:r>
              <w:rPr>
                <w:rStyle w:val="normaltextrun"/>
                <w:noProof/>
                <w:sz w:val="18"/>
              </w:rPr>
              <w:t xml:space="preserve">7 </w:t>
            </w:r>
            <w:r w:rsidRPr="00342B21">
              <w:rPr>
                <w:rStyle w:val="normaltextrun"/>
                <w:noProof/>
                <w:sz w:val="18"/>
              </w:rPr>
              <w:t>ust.</w:t>
            </w:r>
            <w:r w:rsidR="00342B21" w:rsidRPr="00342B21">
              <w:rPr>
                <w:rStyle w:val="normaltextrun"/>
                <w:noProof/>
                <w:sz w:val="18"/>
              </w:rPr>
              <w:t> </w:t>
            </w:r>
            <w:r w:rsidRPr="00342B21">
              <w:rPr>
                <w:rStyle w:val="normaltextrun"/>
                <w:noProof/>
                <w:sz w:val="18"/>
              </w:rPr>
              <w:t>5</w:t>
            </w:r>
            <w:r>
              <w:rPr>
                <w:rStyle w:val="normaltextrun"/>
                <w:noProof/>
                <w:sz w:val="18"/>
              </w:rPr>
              <w:t xml:space="preserve"> rozporządzenia (UE) 2021/2115;</w:t>
            </w:r>
            <w:r>
              <w:rPr>
                <w:rStyle w:val="eop"/>
                <w:noProof/>
                <w:sz w:val="18"/>
              </w:rPr>
              <w:t xml:space="preserve"> </w:t>
            </w:r>
          </w:p>
          <w:p w14:paraId="2DB28951" w14:textId="32E3C277" w:rsidR="0083700E" w:rsidRDefault="0083700E" w:rsidP="00B36033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d) po zmniejszeniu środków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o 4</w:t>
            </w:r>
            <w:r>
              <w:rPr>
                <w:rFonts w:ascii="Times New Roman" w:hAnsi="Times New Roman"/>
                <w:noProof/>
                <w:sz w:val="18"/>
              </w:rPr>
              <w:t>40 mln EUR na lata 2025–2027</w:t>
            </w:r>
            <w:r w:rsidR="00342B21">
              <w:rPr>
                <w:rFonts w:ascii="Times New Roman" w:hAnsi="Times New Roman"/>
                <w:noProof/>
                <w:sz w:val="18"/>
              </w:rPr>
              <w:t xml:space="preserve"> w nas</w:t>
            </w:r>
            <w:r>
              <w:rPr>
                <w:rFonts w:ascii="Times New Roman" w:hAnsi="Times New Roman"/>
                <w:noProof/>
                <w:sz w:val="18"/>
              </w:rPr>
              <w:t>tępstwie śródokresowej rewizji WRF;</w:t>
            </w:r>
          </w:p>
          <w:p w14:paraId="74D8572D" w14:textId="5A12306B" w:rsidR="00DB00D7" w:rsidRPr="00772191" w:rsidRDefault="0083700E" w:rsidP="00B36033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 xml:space="preserve">e) </w:t>
            </w:r>
            <w:r w:rsidRPr="00342B21">
              <w:rPr>
                <w:rFonts w:ascii="Times New Roman" w:hAnsi="Times New Roman"/>
                <w:noProof/>
                <w:sz w:val="18"/>
              </w:rPr>
              <w:t>art.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5</w:t>
            </w:r>
            <w:r>
              <w:rPr>
                <w:rFonts w:ascii="Times New Roman" w:hAnsi="Times New Roman"/>
                <w:noProof/>
                <w:sz w:val="18"/>
              </w:rPr>
              <w:t xml:space="preserve">8 </w:t>
            </w:r>
            <w:r w:rsidRPr="00342B21">
              <w:rPr>
                <w:rFonts w:ascii="Times New Roman" w:hAnsi="Times New Roman"/>
                <w:noProof/>
                <w:sz w:val="18"/>
              </w:rPr>
              <w:t>lit.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a)</w:t>
            </w:r>
            <w:r>
              <w:rPr>
                <w:rFonts w:ascii="Times New Roman" w:hAnsi="Times New Roman"/>
                <w:noProof/>
                <w:sz w:val="18"/>
              </w:rPr>
              <w:t xml:space="preserve"> rozporządzenia (UE) </w:t>
            </w:r>
            <w:r w:rsidRPr="00342B21">
              <w:rPr>
                <w:rFonts w:ascii="Times New Roman" w:hAnsi="Times New Roman"/>
                <w:noProof/>
                <w:sz w:val="18"/>
              </w:rPr>
              <w:t>nr</w:t>
            </w:r>
            <w:r w:rsidR="00342B21" w:rsidRPr="00342B21">
              <w:rPr>
                <w:rFonts w:ascii="Times New Roman" w:hAnsi="Times New Roman"/>
                <w:noProof/>
                <w:sz w:val="18"/>
              </w:rPr>
              <w:t> </w:t>
            </w:r>
            <w:r w:rsidRPr="00342B21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305/2013.</w:t>
            </w:r>
          </w:p>
        </w:tc>
      </w:tr>
    </w:tbl>
    <w:p w14:paraId="53822CB5" w14:textId="2DF33882" w:rsidR="4A804922" w:rsidRPr="003742A7" w:rsidRDefault="4A804922">
      <w:pPr>
        <w:rPr>
          <w:noProof/>
          <w:lang w:val="pt-PT"/>
        </w:rPr>
      </w:pPr>
    </w:p>
    <w:p w14:paraId="55A38B23" w14:textId="4745D472" w:rsidR="00421B55" w:rsidRDefault="1BFC6801" w:rsidP="00990270">
      <w:pPr>
        <w:pStyle w:val="ManualHeading2"/>
        <w:spacing w:before="360" w:after="160"/>
        <w:ind w:left="851" w:hanging="851"/>
        <w:rPr>
          <w:noProof/>
        </w:rPr>
      </w:pPr>
      <w:bookmarkStart w:id="10" w:name="_Toc393364826"/>
      <w:bookmarkStart w:id="11" w:name="_Toc102661830"/>
      <w:bookmarkStart w:id="12" w:name="_Toc105773178"/>
      <w:bookmarkStart w:id="13" w:name="_Toc176966468"/>
      <w:bookmarkStart w:id="14" w:name="_Toc322938555"/>
      <w:r>
        <w:rPr>
          <w:noProof/>
        </w:rPr>
        <w:t>1.2.</w:t>
      </w:r>
      <w:r>
        <w:rPr>
          <w:noProof/>
        </w:rPr>
        <w:tab/>
        <w:t xml:space="preserve">Projekt budżetu </w:t>
      </w:r>
      <w:r w:rsidRPr="00342B21">
        <w:rPr>
          <w:noProof/>
        </w:rPr>
        <w:t>na</w:t>
      </w:r>
      <w:r w:rsidR="00342B21" w:rsidRPr="00342B21">
        <w:rPr>
          <w:noProof/>
        </w:rPr>
        <w:t> </w:t>
      </w:r>
      <w:r w:rsidRPr="00342B21">
        <w:rPr>
          <w:noProof/>
        </w:rPr>
        <w:t>2</w:t>
      </w:r>
      <w:r>
        <w:rPr>
          <w:noProof/>
        </w:rPr>
        <w:t>0</w:t>
      </w:r>
      <w:r w:rsidRPr="00342B21">
        <w:rPr>
          <w:noProof/>
        </w:rPr>
        <w:t>23</w:t>
      </w:r>
      <w:r w:rsidR="00342B21" w:rsidRPr="00342B21">
        <w:rPr>
          <w:noProof/>
        </w:rPr>
        <w:t> </w:t>
      </w:r>
      <w:r w:rsidRPr="00342B21">
        <w:rPr>
          <w:noProof/>
        </w:rPr>
        <w:t>r.</w:t>
      </w:r>
      <w:r>
        <w:rPr>
          <w:noProof/>
        </w:rPr>
        <w:t>, list</w:t>
      </w:r>
      <w:r w:rsidR="00342B21">
        <w:rPr>
          <w:noProof/>
        </w:rPr>
        <w:t xml:space="preserve"> w spr</w:t>
      </w:r>
      <w:r>
        <w:rPr>
          <w:noProof/>
        </w:rPr>
        <w:t>awie poprawek 1/</w:t>
      </w:r>
      <w:bookmarkEnd w:id="10"/>
      <w:bookmarkEnd w:id="11"/>
      <w:bookmarkEnd w:id="12"/>
      <w:r>
        <w:rPr>
          <w:noProof/>
        </w:rPr>
        <w:t xml:space="preserve">2023 oraz przyjęcie budżetu </w:t>
      </w:r>
      <w:r w:rsidRPr="00342B21">
        <w:rPr>
          <w:noProof/>
        </w:rPr>
        <w:t>na</w:t>
      </w:r>
      <w:r w:rsidR="00342B21" w:rsidRPr="00342B21">
        <w:rPr>
          <w:noProof/>
        </w:rPr>
        <w:t> </w:t>
      </w:r>
      <w:r w:rsidRPr="00342B21">
        <w:rPr>
          <w:noProof/>
        </w:rPr>
        <w:t>2</w:t>
      </w:r>
      <w:r>
        <w:rPr>
          <w:noProof/>
        </w:rPr>
        <w:t>0</w:t>
      </w:r>
      <w:r w:rsidRPr="00342B21">
        <w:rPr>
          <w:noProof/>
        </w:rPr>
        <w:t>23</w:t>
      </w:r>
      <w:r w:rsidR="00342B21" w:rsidRPr="00342B21">
        <w:rPr>
          <w:noProof/>
        </w:rPr>
        <w:t> </w:t>
      </w:r>
      <w:r w:rsidRPr="00342B21">
        <w:rPr>
          <w:noProof/>
        </w:rPr>
        <w:t>r.</w:t>
      </w:r>
      <w:bookmarkEnd w:id="13"/>
    </w:p>
    <w:p w14:paraId="446157C1" w14:textId="42DE21E9" w:rsidR="002E58A6" w:rsidRDefault="00A44A15" w:rsidP="00384438">
      <w:pPr>
        <w:pStyle w:val="Text1"/>
      </w:pPr>
      <w:bookmarkStart w:id="15" w:name="_Toc393364829"/>
      <w:bookmarkEnd w:id="14"/>
      <w:r>
        <w:t>1 lipca 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Komisja przyjęła</w:t>
      </w:r>
      <w:r w:rsidR="00342B21">
        <w:t xml:space="preserve"> i prz</w:t>
      </w:r>
      <w:r>
        <w:t xml:space="preserve">edłożyła władzy budżetowej wstępny projekt budżetu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6 września 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Rada przyjęła stanowisko</w:t>
      </w:r>
      <w:r w:rsidR="00342B21">
        <w:t xml:space="preserve"> w spr</w:t>
      </w:r>
      <w:r>
        <w:t xml:space="preserve">awie projektu budżetu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5 października 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Komisja przedstawiła list </w:t>
      </w:r>
      <w:r w:rsidRPr="00342B21">
        <w:t>nr</w:t>
      </w:r>
      <w:r w:rsidR="00342B21" w:rsidRPr="00342B21">
        <w:t> </w:t>
      </w:r>
      <w:r w:rsidRPr="00342B21">
        <w:t>1</w:t>
      </w:r>
      <w:r>
        <w:t>/2023</w:t>
      </w:r>
      <w:r w:rsidR="00342B21">
        <w:t xml:space="preserve"> w spr</w:t>
      </w:r>
      <w:r>
        <w:t>awie poprawek do projektu budżetu ogólnego Unii Europejskiej, natomiast Parlament Europejski przyjął swoje stanowisko 19 października 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</w:t>
      </w:r>
    </w:p>
    <w:p w14:paraId="657050D7" w14:textId="50392D58" w:rsidR="002E58A6" w:rsidRDefault="002E58A6" w:rsidP="00D05B1F">
      <w:pPr>
        <w:pStyle w:val="Text1"/>
      </w:pPr>
      <w:r>
        <w:t>24 października 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przewodniczący Rady zwołał komitet pojednawczy. Komitet pojednawczy uzgodnił wspólny tekst, który został zatwierdzony przez Radę 22 listopada 20</w:t>
      </w:r>
      <w:r w:rsidRPr="00342B21">
        <w:t>22</w:t>
      </w:r>
      <w:r w:rsidR="00342B21" w:rsidRPr="00342B21">
        <w:t> </w:t>
      </w:r>
      <w:r w:rsidRPr="00342B21">
        <w:t>r.</w:t>
      </w:r>
      <w:r w:rsidR="00342B21">
        <w:t xml:space="preserve"> i prz</w:t>
      </w:r>
      <w:r>
        <w:t>ez Parlament 23 listopada 20</w:t>
      </w:r>
      <w:r w:rsidRPr="00342B21">
        <w:t>22</w:t>
      </w:r>
      <w:r w:rsidR="00342B21" w:rsidRPr="00342B21">
        <w:t> </w:t>
      </w:r>
      <w:r w:rsidRPr="00342B21">
        <w:t>r.</w:t>
      </w:r>
    </w:p>
    <w:p w14:paraId="20DA3E1F" w14:textId="0191490A" w:rsidR="00155986" w:rsidRDefault="00155986" w:rsidP="00155986">
      <w:pPr>
        <w:pStyle w:val="Text1"/>
      </w:pPr>
      <w:r>
        <w:t>Całkowita kwota środków na zobowiązania dla EFRG wyniosła 40 692,2 mln EUR,</w:t>
      </w:r>
      <w:r w:rsidR="00342B21">
        <w:t xml:space="preserve"> a śro</w:t>
      </w:r>
      <w:r>
        <w:t>dków na płatności – 40 698,2 mln EUR.</w:t>
      </w:r>
    </w:p>
    <w:p w14:paraId="055D6F6D" w14:textId="6FF52298" w:rsidR="00F144CA" w:rsidRDefault="00F834A4" w:rsidP="00155986">
      <w:pPr>
        <w:pStyle w:val="Text1"/>
      </w:pPr>
      <w:r>
        <w:t>Całkowita kwota środków na zobowiązania dla EFRROW wyniosła 12 934,7 mln EUR,</w:t>
      </w:r>
      <w:r w:rsidR="00342B21">
        <w:t xml:space="preserve"> a śro</w:t>
      </w:r>
      <w:r>
        <w:t xml:space="preserve">dków na płatności – 15 087,2 mln EUR. </w:t>
      </w:r>
    </w:p>
    <w:p w14:paraId="6F8DE1F5" w14:textId="346B7E22" w:rsidR="00155986" w:rsidRPr="00155986" w:rsidRDefault="791D8D88" w:rsidP="00155986">
      <w:pPr>
        <w:pStyle w:val="Text1"/>
      </w:pPr>
      <w:r>
        <w:t>Szczegółowe informacje na temat kwot związanych</w:t>
      </w:r>
      <w:r w:rsidR="00342B21">
        <w:t xml:space="preserve"> z pro</w:t>
      </w:r>
      <w:r>
        <w:t xml:space="preserve">jektem budżetu Komisji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>,</w:t>
      </w:r>
      <w:r w:rsidR="00342B21">
        <w:t xml:space="preserve"> a tak</w:t>
      </w:r>
      <w:r>
        <w:t>że stanowiskami Rady</w:t>
      </w:r>
      <w:r w:rsidR="00342B21">
        <w:t xml:space="preserve"> i Par</w:t>
      </w:r>
      <w:r>
        <w:t>lamentu Europejskiego, listem</w:t>
      </w:r>
      <w:r w:rsidR="00342B21">
        <w:t xml:space="preserve"> w spr</w:t>
      </w:r>
      <w:r>
        <w:t>awie poprawek</w:t>
      </w:r>
      <w:r w:rsidR="00342B21">
        <w:t xml:space="preserve"> i zat</w:t>
      </w:r>
      <w:r>
        <w:t>wierdzonym budżetem znajdują się</w:t>
      </w:r>
      <w:r w:rsidR="00342B21">
        <w:t xml:space="preserve"> w zał</w:t>
      </w:r>
      <w:r>
        <w:t>ączniku 1.</w:t>
      </w:r>
    </w:p>
    <w:p w14:paraId="312264C6" w14:textId="64FF3B36" w:rsidR="00155986" w:rsidRPr="001C1B70" w:rsidRDefault="00453242" w:rsidP="00155986">
      <w:pPr>
        <w:pStyle w:val="Text1"/>
      </w:pPr>
      <w:r>
        <w:t>Jeżeli chodzi</w:t>
      </w:r>
      <w:r w:rsidR="00342B21">
        <w:t xml:space="preserve"> o doc</w:t>
      </w:r>
      <w:r>
        <w:t>hody przeznaczone na określony cel,</w:t>
      </w:r>
      <w:r w:rsidR="00342B21">
        <w:t xml:space="preserve"> w chw</w:t>
      </w:r>
      <w:r>
        <w:t xml:space="preserve">ili sporządzania budżetu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przewidywaną kwotę, która miała zostać uzyskana</w:t>
      </w:r>
      <w:r w:rsidR="00342B21">
        <w:t xml:space="preserve"> w rok</w:t>
      </w:r>
      <w:r>
        <w:t xml:space="preserve">u budżetowym 2023, oszacowano </w:t>
      </w:r>
      <w:r w:rsidRPr="00342B21">
        <w:t>na</w:t>
      </w:r>
      <w:r w:rsidR="00342B21" w:rsidRPr="00342B21">
        <w:t> </w:t>
      </w:r>
      <w:r w:rsidRPr="00342B21">
        <w:t>6</w:t>
      </w:r>
      <w:r>
        <w:t>32 mln EUR</w:t>
      </w:r>
      <w:r w:rsidR="00342B21">
        <w:t xml:space="preserve"> w odn</w:t>
      </w:r>
      <w:r>
        <w:t>iesieniu do EFRG</w:t>
      </w:r>
      <w:r w:rsidR="00342B21">
        <w:t xml:space="preserve"> i 5</w:t>
      </w:r>
      <w:r>
        <w:t>0 mln EUR</w:t>
      </w:r>
      <w:r w:rsidR="00342B21">
        <w:t xml:space="preserve"> w odn</w:t>
      </w:r>
      <w:r>
        <w:t>iesieniu do EFRROW.</w:t>
      </w:r>
    </w:p>
    <w:p w14:paraId="0F80C1A5" w14:textId="40F89ECB" w:rsidR="00A44A15" w:rsidRDefault="00453242" w:rsidP="006827A2">
      <w:pPr>
        <w:pStyle w:val="Text1"/>
        <w:spacing w:before="0" w:after="0"/>
        <w:ind w:left="851"/>
      </w:pPr>
      <w:r>
        <w:t xml:space="preserve">Szacowane dochody przeznaczone na określony cel z EFRG zostały uwzględnione na potrzeby finansowe systemu płatności podstawowej, gdy władza budżetowa przyjęła budżet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Szczegółowe informacje na temat wypłaty, wykorzystania</w:t>
      </w:r>
      <w:r w:rsidR="00342B21">
        <w:t xml:space="preserve"> i ewe</w:t>
      </w:r>
      <w:r>
        <w:t>ntualnego przeniesienia dochodów przeznaczonych na określony cel znajdują się</w:t>
      </w:r>
      <w:r w:rsidR="00342B21">
        <w:t xml:space="preserve"> w zał</w:t>
      </w:r>
      <w:r>
        <w:t>ącznikach 2 i</w:t>
      </w:r>
      <w:bookmarkEnd w:id="15"/>
      <w:r>
        <w:t>3.</w:t>
      </w:r>
    </w:p>
    <w:p w14:paraId="3F7A85A7" w14:textId="321EE639" w:rsidR="00D23917" w:rsidRDefault="1BFC6801" w:rsidP="00B36033">
      <w:pPr>
        <w:pStyle w:val="ManualHeading1"/>
        <w:spacing w:after="160"/>
        <w:ind w:left="851" w:hanging="851"/>
        <w:rPr>
          <w:noProof/>
        </w:rPr>
      </w:pPr>
      <w:bookmarkStart w:id="16" w:name="_Toc102661833"/>
      <w:bookmarkStart w:id="17" w:name="_Toc105773181"/>
      <w:bookmarkStart w:id="18" w:name="_Toc322938559"/>
      <w:bookmarkStart w:id="19" w:name="_Toc176966469"/>
      <w:r>
        <w:rPr>
          <w:noProof/>
        </w:rPr>
        <w:t>2.</w:t>
      </w:r>
      <w:bookmarkEnd w:id="16"/>
      <w:bookmarkEnd w:id="17"/>
      <w:bookmarkEnd w:id="18"/>
      <w:r>
        <w:rPr>
          <w:noProof/>
        </w:rPr>
        <w:tab/>
        <w:t>WYKONANIE BUDŻETU EFRG I EFRROW NA 2023 R.</w:t>
      </w:r>
      <w:bookmarkEnd w:id="19"/>
    </w:p>
    <w:p w14:paraId="2439AFF4" w14:textId="73AFEF41" w:rsidR="00204F06" w:rsidRDefault="00204F06" w:rsidP="00990270">
      <w:pPr>
        <w:pStyle w:val="ManualHeading2"/>
        <w:spacing w:before="360" w:after="160"/>
        <w:ind w:left="851" w:hanging="851"/>
        <w:rPr>
          <w:noProof/>
        </w:rPr>
      </w:pPr>
      <w:bookmarkStart w:id="20" w:name="_Toc176966470"/>
      <w:r>
        <w:rPr>
          <w:noProof/>
        </w:rPr>
        <w:t>2.1</w:t>
      </w:r>
      <w:r>
        <w:rPr>
          <w:noProof/>
        </w:rPr>
        <w:tab/>
        <w:t>Europejski Fundusz Rolniczy Gwarancji (EFRG)</w:t>
      </w:r>
      <w:bookmarkEnd w:id="20"/>
    </w:p>
    <w:p w14:paraId="412FC8C2" w14:textId="1FB887B8" w:rsidR="00A44A15" w:rsidRDefault="00A44A15" w:rsidP="00A44A15">
      <w:pPr>
        <w:pStyle w:val="Text1"/>
      </w:pPr>
      <w:r>
        <w:t>Art. 21 ust. 1 rozporządzenia (UE) 2021/2116</w:t>
      </w:r>
      <w:r>
        <w:rPr>
          <w:rFonts w:asciiTheme="minorHAnsi" w:eastAsiaTheme="minorEastAsia" w:hAnsiTheme="minorHAnsi" w:cstheme="minorBidi"/>
          <w:sz w:val="22"/>
          <w:szCs w:val="22"/>
          <w:vertAlign w:val="superscript"/>
        </w:rPr>
        <w:footnoteReference w:id="5"/>
      </w:r>
      <w:r>
        <w:t xml:space="preserve"> stanowi, że Komisja dokonuje płatności miesięcznych</w:t>
      </w:r>
      <w:r w:rsidR="00342B21">
        <w:t xml:space="preserve"> z tyt</w:t>
      </w:r>
      <w:r>
        <w:t>ułu wydatków poniesionych przez akredytowane agencje płatnicze państw członkowskich</w:t>
      </w:r>
      <w:r w:rsidR="00342B21">
        <w:t xml:space="preserve"> w mie</w:t>
      </w:r>
      <w:r>
        <w:t>siącu referencyjnym. Płatności miesięcznych na rzecz każdego państwa członkowskiego dokonuje się najpóźniej trzeciego dnia roboczego drugiego miesiąca następującego po miesiącu,</w:t>
      </w:r>
      <w:r w:rsidR="00342B21">
        <w:t xml:space="preserve"> w któ</w:t>
      </w:r>
      <w:r>
        <w:t>rym dokonano wydatków.</w:t>
      </w:r>
    </w:p>
    <w:p w14:paraId="61358328" w14:textId="420819B6" w:rsidR="00A44A15" w:rsidRDefault="1BFC6801" w:rsidP="00A44A15">
      <w:pPr>
        <w:pStyle w:val="Text1"/>
      </w:pPr>
      <w:r>
        <w:t>Płatności miesięczne stanowią zwrot wydatków netto (po odliczeniu dochodu), które zostały już poniesione, i są udostępniane na podstawie miesięcznych deklaracji przedkładanych przez państwa członkowskie</w:t>
      </w:r>
      <w:r>
        <w:rPr>
          <w:vertAlign w:val="superscript"/>
        </w:rPr>
        <w:footnoteReference w:id="6"/>
      </w:r>
      <w:r>
        <w:t>. Miesięczne księgowanie wydatków</w:t>
      </w:r>
      <w:r w:rsidR="00342B21">
        <w:t xml:space="preserve"> i doc</w:t>
      </w:r>
      <w:r>
        <w:t>hodów podlega kontrolom</w:t>
      </w:r>
      <w:r w:rsidR="00342B21">
        <w:t xml:space="preserve"> i kor</w:t>
      </w:r>
      <w:r>
        <w:t>ektom na podstawie tych deklaracji. Ponadto płatności te nabierają ostatecznego charakteru po weryfikacji przez Komisję</w:t>
      </w:r>
      <w:r w:rsidR="00342B21">
        <w:t xml:space="preserve"> w ram</w:t>
      </w:r>
      <w:r>
        <w:t>ach procedury rozliczania rachunków.</w:t>
      </w:r>
    </w:p>
    <w:p w14:paraId="5CF576B6" w14:textId="2A83B8DA" w:rsidR="00A44A15" w:rsidRDefault="00A44A15" w:rsidP="00A44A15">
      <w:pPr>
        <w:pStyle w:val="Text1"/>
      </w:pPr>
      <w:r>
        <w:t>Systemem płatności miesięcznych objęte są płatności dokonane przez państwa członkowskie</w:t>
      </w:r>
      <w:r w:rsidR="00342B21">
        <w:t xml:space="preserve"> w okr</w:t>
      </w:r>
      <w:r>
        <w:t xml:space="preserve">esie </w:t>
      </w:r>
      <w:r w:rsidRPr="00342B21">
        <w:t>od</w:t>
      </w:r>
      <w:r w:rsidR="00342B21" w:rsidRPr="00342B21">
        <w:t> </w:t>
      </w:r>
      <w:r w:rsidRPr="00342B21">
        <w:t>1</w:t>
      </w:r>
      <w:r>
        <w:t>6 października 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</w:t>
      </w:r>
      <w:r w:rsidRPr="00342B21">
        <w:t>do</w:t>
      </w:r>
      <w:r w:rsidR="00342B21" w:rsidRPr="00342B21">
        <w:t> </w:t>
      </w:r>
      <w:r w:rsidRPr="00342B21">
        <w:t>1</w:t>
      </w:r>
      <w:r>
        <w:t>5 października 20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</w:t>
      </w:r>
    </w:p>
    <w:p w14:paraId="4FD81482" w14:textId="60B93E04" w:rsidR="00A44A15" w:rsidRDefault="00A44A15" w:rsidP="3B469FC1">
      <w:pPr>
        <w:pStyle w:val="Text1"/>
      </w:pPr>
      <w:r>
        <w:t>W odniesieniu do całego roku budżetowego łączna kwota płatności miesięcznych, co do których podjęto decyzje, wyniosła 40 835,0 mln EUR. Biorąc pod uwagę odzyskane kwoty wynikające</w:t>
      </w:r>
      <w:r w:rsidR="00342B21">
        <w:t xml:space="preserve"> z dec</w:t>
      </w:r>
      <w:r>
        <w:t>yzji</w:t>
      </w:r>
      <w:r w:rsidR="00342B21">
        <w:t xml:space="preserve"> w spr</w:t>
      </w:r>
      <w:r>
        <w:t>awie rozliczeń, na rzecz państw członkowskich faktycznie wypłacono łącznie 40 349,6 mln EUR.</w:t>
      </w:r>
    </w:p>
    <w:p w14:paraId="2F97AAC0" w14:textId="360BC6D7" w:rsidR="00A44A15" w:rsidRPr="00FC6CD6" w:rsidRDefault="2E3DC063" w:rsidP="00990270">
      <w:pPr>
        <w:pStyle w:val="ManualHeading2"/>
        <w:spacing w:before="360" w:after="160"/>
        <w:ind w:left="851" w:hanging="851"/>
        <w:rPr>
          <w:noProof/>
        </w:rPr>
      </w:pPr>
      <w:bookmarkStart w:id="21" w:name="_Toc7010706"/>
      <w:bookmarkStart w:id="22" w:name="_Toc102661846"/>
      <w:bookmarkStart w:id="23" w:name="_Toc105773194"/>
      <w:bookmarkStart w:id="24" w:name="_Toc176966471"/>
      <w:r>
        <w:rPr>
          <w:noProof/>
        </w:rPr>
        <w:t>2.1.1.</w:t>
      </w:r>
      <w:r>
        <w:rPr>
          <w:noProof/>
        </w:rPr>
        <w:tab/>
        <w:t>Płatności miesięczne</w:t>
      </w:r>
      <w:bookmarkEnd w:id="21"/>
      <w:bookmarkEnd w:id="22"/>
      <w:bookmarkEnd w:id="23"/>
      <w:bookmarkEnd w:id="24"/>
    </w:p>
    <w:p w14:paraId="687E5453" w14:textId="4DD96759" w:rsidR="00A44A15" w:rsidRDefault="00A44A15" w:rsidP="00A44A15">
      <w:pPr>
        <w:pStyle w:val="Text1"/>
      </w:pPr>
      <w:r>
        <w:t>Komisja przyjęła decyzję</w:t>
      </w:r>
      <w:r w:rsidR="00342B21">
        <w:t xml:space="preserve"> w spr</w:t>
      </w:r>
      <w:r>
        <w:t>awie płatności na każdy</w:t>
      </w:r>
      <w:r w:rsidR="00342B21">
        <w:t xml:space="preserve"> z dwu</w:t>
      </w:r>
      <w:r>
        <w:t>nastu okresów roku budżetowego. Ponadto</w:t>
      </w:r>
      <w:r w:rsidR="00342B21">
        <w:t xml:space="preserve"> w gru</w:t>
      </w:r>
      <w:r>
        <w:t>dniu przyjęto decyzję dodatkową, dostosowującą całkowite wydatki, które należało zaksięgować</w:t>
      </w:r>
      <w:r w:rsidR="00342B21">
        <w:t xml:space="preserve"> w prz</w:t>
      </w:r>
      <w:r>
        <w:t>edmiotowym roku budżetowym.</w:t>
      </w:r>
    </w:p>
    <w:p w14:paraId="5175E66B" w14:textId="7BF2D819" w:rsidR="00A44A15" w:rsidRDefault="1BFC6801" w:rsidP="00A44A15">
      <w:pPr>
        <w:pStyle w:val="Text1"/>
      </w:pPr>
      <w:r>
        <w:t>Szczegółowe informacje znajdują się</w:t>
      </w:r>
      <w:r w:rsidR="00342B21">
        <w:t xml:space="preserve"> w zał</w:t>
      </w:r>
      <w:r>
        <w:t>ączniku 4.</w:t>
      </w:r>
    </w:p>
    <w:p w14:paraId="331570C9" w14:textId="0576BE52" w:rsidR="00A44A15" w:rsidRPr="003B1662" w:rsidRDefault="00A44A15" w:rsidP="00990270">
      <w:pPr>
        <w:pStyle w:val="ManualHeading2"/>
        <w:spacing w:before="360" w:after="160"/>
        <w:ind w:left="851" w:hanging="851"/>
        <w:rPr>
          <w:noProof/>
        </w:rPr>
      </w:pPr>
      <w:bookmarkStart w:id="25" w:name="_Toc7010707"/>
      <w:bookmarkStart w:id="26" w:name="_Toc102661847"/>
      <w:bookmarkStart w:id="27" w:name="_Toc105773195"/>
      <w:bookmarkStart w:id="28" w:name="_Toc176966472"/>
      <w:r>
        <w:rPr>
          <w:noProof/>
        </w:rPr>
        <w:t>2.1.2.</w:t>
      </w:r>
      <w:r>
        <w:rPr>
          <w:noProof/>
        </w:rPr>
        <w:tab/>
        <w:t>Zmniejszenie płatności miesięcznych</w:t>
      </w:r>
      <w:bookmarkEnd w:id="25"/>
      <w:bookmarkEnd w:id="26"/>
      <w:bookmarkEnd w:id="27"/>
      <w:bookmarkEnd w:id="28"/>
    </w:p>
    <w:p w14:paraId="5894A7A9" w14:textId="731F7E00" w:rsidR="00A44A15" w:rsidRDefault="00A44A15" w:rsidP="001C1B70">
      <w:pPr>
        <w:pStyle w:val="Text1"/>
        <w:spacing w:before="60"/>
      </w:pPr>
      <w:r>
        <w:t>W 20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dokonano zmniejszenia płatności miesięcznych na rzecz państw członkowskich</w:t>
      </w:r>
      <w:r w:rsidR="00342B21">
        <w:t xml:space="preserve"> o kwo</w:t>
      </w:r>
      <w:r>
        <w:t>tę netto 16,9 mln EUR</w:t>
      </w:r>
      <w:r w:rsidR="00342B21">
        <w:t>. W prz</w:t>
      </w:r>
      <w:r>
        <w:t>ypadku niektórych środków finansowanych z EFRG pułapy finansowe określono</w:t>
      </w:r>
      <w:r w:rsidR="00342B21">
        <w:t xml:space="preserve"> w roz</w:t>
      </w:r>
      <w:r>
        <w:t>porządzeniach sektorowych. Wydatki przekraczające te pułapy są uznawane za „wydatki niekwalifikowalne”</w:t>
      </w:r>
      <w:r w:rsidR="00342B21">
        <w:t xml:space="preserve"> i pro</w:t>
      </w:r>
      <w:r>
        <w:t xml:space="preserve">wadzą do zmniejszenia płatności miesięcznych. </w:t>
      </w:r>
    </w:p>
    <w:p w14:paraId="59F0D3A9" w14:textId="4BA75482" w:rsidR="00A44A15" w:rsidRPr="00C84E21" w:rsidRDefault="00A44A15" w:rsidP="00990270">
      <w:pPr>
        <w:pStyle w:val="ManualHeading2"/>
        <w:spacing w:before="360" w:after="160"/>
        <w:ind w:left="851" w:hanging="851"/>
        <w:rPr>
          <w:noProof/>
        </w:rPr>
      </w:pPr>
      <w:bookmarkStart w:id="29" w:name="_Toc7010708"/>
      <w:bookmarkStart w:id="30" w:name="_Toc102661848"/>
      <w:bookmarkStart w:id="31" w:name="_Toc105773196"/>
      <w:bookmarkStart w:id="32" w:name="_Toc176966473"/>
      <w:r>
        <w:rPr>
          <w:noProof/>
        </w:rPr>
        <w:t>2.1.3.</w:t>
      </w:r>
      <w:r>
        <w:rPr>
          <w:noProof/>
        </w:rPr>
        <w:tab/>
        <w:t>Wydatki poniesione przez Komisję</w:t>
      </w:r>
      <w:r w:rsidR="00342B21">
        <w:rPr>
          <w:noProof/>
        </w:rPr>
        <w:t xml:space="preserve"> w ram</w:t>
      </w:r>
      <w:r>
        <w:rPr>
          <w:noProof/>
        </w:rPr>
        <w:t>ach zarządzania bezpośredniego</w:t>
      </w:r>
      <w:bookmarkEnd w:id="29"/>
      <w:bookmarkEnd w:id="30"/>
      <w:bookmarkEnd w:id="31"/>
      <w:bookmarkEnd w:id="32"/>
    </w:p>
    <w:p w14:paraId="5213A4EB" w14:textId="3D72DCD6" w:rsidR="00226591" w:rsidRDefault="49E10B03" w:rsidP="00990270">
      <w:pPr>
        <w:pStyle w:val="Text1"/>
        <w:spacing w:after="160"/>
        <w:ind w:left="851"/>
      </w:pPr>
      <w:r>
        <w:t>W przypadku niektórych środków Komisja dokonuje płatności</w:t>
      </w:r>
      <w:r w:rsidR="00342B21">
        <w:t xml:space="preserve"> w ram</w:t>
      </w:r>
      <w:r>
        <w:t>ach zarządzania bezpośredniego. Są one głównie związane</w:t>
      </w:r>
      <w:r w:rsidR="00342B21">
        <w:t xml:space="preserve"> z ope</w:t>
      </w:r>
      <w:r>
        <w:t>racyjną pomocą techniczną oraz działaniami promocyjnymi. Szczegółowe informacje przedstawiono</w:t>
      </w:r>
      <w:r w:rsidR="00342B21">
        <w:t xml:space="preserve"> w tab</w:t>
      </w:r>
      <w:r>
        <w:t>elach 2</w:t>
      </w:r>
      <w:r w:rsidR="00342B21">
        <w:t xml:space="preserve"> i 3</w:t>
      </w:r>
      <w:r>
        <w:t>. Szczegółowe informacje dotyczące środków wykorzystanych</w:t>
      </w:r>
      <w:r w:rsidR="00342B21">
        <w:t xml:space="preserve"> w ram</w:t>
      </w:r>
      <w:r>
        <w:t>ach zarządzania bezpośredniego przez Komisję Europejską</w:t>
      </w:r>
      <w:r w:rsidR="00342B21">
        <w:t xml:space="preserve"> w rok</w:t>
      </w:r>
      <w:r>
        <w:t>u budżetowym 2023 na wydatki operacyjne</w:t>
      </w:r>
      <w:r w:rsidR="00342B21">
        <w:t xml:space="preserve"> i adm</w:t>
      </w:r>
      <w:r>
        <w:t>inistracyjne przedstawiono</w:t>
      </w:r>
      <w:r w:rsidR="00342B21">
        <w:t xml:space="preserve"> w zał</w:t>
      </w:r>
      <w:r>
        <w:t>ącznikach 5</w:t>
      </w:r>
      <w:r w:rsidR="00342B21">
        <w:t xml:space="preserve"> i 6</w:t>
      </w:r>
      <w:r>
        <w:t>.</w:t>
      </w:r>
    </w:p>
    <w:p w14:paraId="2EFA10FF" w14:textId="366CA4A2" w:rsidR="000763C9" w:rsidRDefault="3A95FE9C" w:rsidP="57DE3101">
      <w:pPr>
        <w:pStyle w:val="Text1"/>
        <w:rPr>
          <w:i/>
          <w:iCs/>
        </w:rPr>
      </w:pPr>
      <w:r>
        <w:t xml:space="preserve">Tabela 2                                                                           </w:t>
      </w:r>
      <w:r>
        <w:rPr>
          <w:i/>
        </w:rPr>
        <w:t>(w EUR; ceny bieżące)</w:t>
      </w:r>
    </w:p>
    <w:tbl>
      <w:tblPr>
        <w:tblW w:w="8221" w:type="dxa"/>
        <w:tblInd w:w="1101" w:type="dxa"/>
        <w:tblLook w:val="04A0" w:firstRow="1" w:lastRow="0" w:firstColumn="1" w:lastColumn="0" w:noHBand="0" w:noVBand="1"/>
      </w:tblPr>
      <w:tblGrid>
        <w:gridCol w:w="5298"/>
        <w:gridCol w:w="2923"/>
      </w:tblGrid>
      <w:tr w:rsidR="00B02FF3" w:rsidRPr="00B02FF3" w14:paraId="7A7F0C03" w14:textId="77777777" w:rsidTr="00B02FF3">
        <w:trPr>
          <w:trHeight w:val="552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DDDD49" w14:textId="77777777" w:rsidR="00B02FF3" w:rsidRPr="00B02FF3" w:rsidRDefault="00B02FF3" w:rsidP="00B0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IE" w:eastAsia="en-IE"/>
              </w:rPr>
              <w:t>Operacyjna pomoc techniczna EFRG</w:t>
            </w:r>
          </w:p>
        </w:tc>
      </w:tr>
      <w:tr w:rsidR="00B02FF3" w:rsidRPr="00B02FF3" w14:paraId="5D4E5F02" w14:textId="77777777" w:rsidTr="00B02FF3">
        <w:trPr>
          <w:trHeight w:val="402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DA44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en-IE" w:eastAsia="en-IE"/>
              </w:rPr>
              <w:t xml:space="preserve">Pozycja budżetu: 08.020603                                                                                                                         </w:t>
            </w:r>
            <w:r w:rsidRPr="00B02FF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IE" w:eastAsia="en-IE"/>
              </w:rPr>
              <w:t xml:space="preserve">(w EUR) </w:t>
            </w:r>
          </w:p>
        </w:tc>
      </w:tr>
      <w:tr w:rsidR="00B02FF3" w:rsidRPr="00B02FF3" w14:paraId="6432DA96" w14:textId="77777777" w:rsidTr="00B02FF3">
        <w:trPr>
          <w:trHeight w:val="402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9FB6C1" w14:textId="77777777" w:rsidR="00B02FF3" w:rsidRPr="00B02FF3" w:rsidRDefault="00B02FF3" w:rsidP="00B0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>Opis</w:t>
            </w:r>
          </w:p>
        </w:tc>
      </w:tr>
      <w:tr w:rsidR="00B02FF3" w:rsidRPr="00B02FF3" w14:paraId="12BEF71F" w14:textId="77777777" w:rsidTr="00B02FF3">
        <w:trPr>
          <w:trHeight w:val="525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8897B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Dane rachunkowe gospodarstw rolnych (FADN)</w:t>
            </w:r>
          </w:p>
        </w:tc>
      </w:tr>
      <w:tr w:rsidR="00B02FF3" w:rsidRPr="00B02FF3" w14:paraId="038E6BC8" w14:textId="77777777" w:rsidTr="00B02FF3">
        <w:trPr>
          <w:trHeight w:val="270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B2605" w14:textId="77B049E0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Zakup obrazów satelitarnych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 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dan</w:t>
            </w: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ych</w:t>
            </w:r>
          </w:p>
        </w:tc>
      </w:tr>
      <w:tr w:rsidR="00B02FF3" w:rsidRPr="00B02FF3" w14:paraId="12A3B7C5" w14:textId="77777777" w:rsidTr="00B02FF3">
        <w:trPr>
          <w:trHeight w:val="270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98298" w14:textId="11B93D10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Badania struktury gospodarstw rolnych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 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bad</w:t>
            </w: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ania rolne</w:t>
            </w:r>
          </w:p>
        </w:tc>
      </w:tr>
      <w:tr w:rsidR="00B02FF3" w:rsidRPr="00B02FF3" w14:paraId="48D9CC26" w14:textId="77777777" w:rsidTr="00B02FF3">
        <w:trPr>
          <w:trHeight w:val="383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DBD09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Technologia informacyjna</w:t>
            </w:r>
          </w:p>
        </w:tc>
      </w:tr>
      <w:tr w:rsidR="00B02FF3" w:rsidRPr="00B02FF3" w14:paraId="64B0F025" w14:textId="77777777" w:rsidTr="00B02FF3">
        <w:trPr>
          <w:trHeight w:val="360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9AB63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Środki informacyjne związane z WPR</w:t>
            </w:r>
          </w:p>
        </w:tc>
      </w:tr>
      <w:tr w:rsidR="00B02FF3" w:rsidRPr="00B02FF3" w14:paraId="6F6D13F5" w14:textId="77777777" w:rsidTr="00B02FF3">
        <w:trPr>
          <w:trHeight w:val="270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9ACF4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Komunikacja instytucjonalna</w:t>
            </w:r>
          </w:p>
        </w:tc>
      </w:tr>
      <w:tr w:rsidR="00B02FF3" w:rsidRPr="00B02FF3" w14:paraId="0E3E25E6" w14:textId="77777777" w:rsidTr="00B02FF3">
        <w:trPr>
          <w:trHeight w:val="270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3A001" w14:textId="1194C84E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Audyt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 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kon</w:t>
            </w: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trole</w:t>
            </w:r>
          </w:p>
        </w:tc>
      </w:tr>
      <w:tr w:rsidR="00B02FF3" w:rsidRPr="00B02FF3" w14:paraId="2A15A965" w14:textId="77777777" w:rsidTr="00B02FF3">
        <w:trPr>
          <w:trHeight w:val="312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0B2BD" w14:textId="275254E8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Badania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 </w:t>
            </w:r>
            <w:r w:rsidR="00342B21"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oce</w:t>
            </w:r>
            <w:r w:rsidRPr="00B02F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IE" w:eastAsia="en-IE"/>
              </w:rPr>
              <w:t>ny</w:t>
            </w:r>
          </w:p>
        </w:tc>
      </w:tr>
      <w:tr w:rsidR="00B02FF3" w:rsidRPr="00B02FF3" w14:paraId="43F30E2F" w14:textId="77777777" w:rsidTr="00B02FF3">
        <w:trPr>
          <w:trHeight w:val="270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04C08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>Przyznane środki ogółem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4180B2" w14:textId="77777777" w:rsidR="00B02FF3" w:rsidRPr="00B02FF3" w:rsidRDefault="00B02FF3" w:rsidP="00B0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 xml:space="preserve"> 76 660 086 </w:t>
            </w:r>
          </w:p>
        </w:tc>
      </w:tr>
      <w:tr w:rsidR="00B02FF3" w:rsidRPr="00B02FF3" w14:paraId="4A3F0BF5" w14:textId="77777777" w:rsidTr="00B02FF3">
        <w:trPr>
          <w:trHeight w:val="409"/>
        </w:trPr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73F73D" w14:textId="77777777" w:rsidR="00B02FF3" w:rsidRPr="00B02FF3" w:rsidRDefault="00B02FF3" w:rsidP="00B02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>Płatności dokonane ogółem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E0DB05" w14:textId="77777777" w:rsidR="00B02FF3" w:rsidRPr="00B02FF3" w:rsidRDefault="00B02FF3" w:rsidP="00B0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B02FF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 xml:space="preserve"> 73 295 181 </w:t>
            </w:r>
          </w:p>
        </w:tc>
      </w:tr>
    </w:tbl>
    <w:p w14:paraId="1A5B9497" w14:textId="77777777" w:rsidR="00D51119" w:rsidRDefault="00D51119" w:rsidP="00806DFF">
      <w:pPr>
        <w:pStyle w:val="Text1"/>
        <w:rPr>
          <w:iCs/>
        </w:rPr>
      </w:pPr>
    </w:p>
    <w:p w14:paraId="6E6067A4" w14:textId="3EDB941E" w:rsidR="00806DFF" w:rsidRDefault="00806DFF" w:rsidP="00806DFF">
      <w:pPr>
        <w:pStyle w:val="Text1"/>
        <w:rPr>
          <w:i/>
        </w:rPr>
      </w:pPr>
      <w:r>
        <w:t xml:space="preserve">Tabela 3     </w:t>
      </w:r>
      <w:r>
        <w:rPr>
          <w:i/>
        </w:rPr>
        <w:t>(w EUR; ceny bieżące)</w:t>
      </w:r>
    </w:p>
    <w:tbl>
      <w:tblPr>
        <w:tblW w:w="8165" w:type="dxa"/>
        <w:tblInd w:w="959" w:type="dxa"/>
        <w:tblLook w:val="04A0" w:firstRow="1" w:lastRow="0" w:firstColumn="1" w:lastColumn="0" w:noHBand="0" w:noVBand="1"/>
      </w:tblPr>
      <w:tblGrid>
        <w:gridCol w:w="5441"/>
        <w:gridCol w:w="2724"/>
      </w:tblGrid>
      <w:tr w:rsidR="009A016A" w:rsidRPr="009A016A" w14:paraId="51A94337" w14:textId="77777777" w:rsidTr="009A016A">
        <w:trPr>
          <w:trHeight w:val="1065"/>
        </w:trPr>
        <w:tc>
          <w:tcPr>
            <w:tcW w:w="8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6F309F" w14:textId="19908D4D" w:rsidR="009A016A" w:rsidRPr="009A016A" w:rsidRDefault="009A016A" w:rsidP="009A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Promowanie produktów rolnych — Programy,</w:t>
            </w:r>
            <w:r w:rsidR="00342B21"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 xml:space="preserve"> w</w:t>
            </w:r>
            <w:r w:rsidR="00342B2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 </w:t>
            </w:r>
            <w:r w:rsidR="00342B21"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któ</w:t>
            </w:r>
            <w:r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rych uczestniczy wiele państw,</w:t>
            </w:r>
            <w:r w:rsidR="00342B21"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 </w:t>
            </w:r>
            <w:r w:rsidR="00342B21"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dzi</w:t>
            </w:r>
            <w:r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ałania realizowane przez Komisję</w:t>
            </w:r>
            <w:r w:rsidR="00342B21"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 xml:space="preserve"> w</w:t>
            </w:r>
            <w:r w:rsidR="00342B2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 </w:t>
            </w:r>
            <w:r w:rsidR="00342B21"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ram</w:t>
            </w:r>
            <w:r w:rsidRPr="009A016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ach zarządzania bezpośredniego</w:t>
            </w:r>
          </w:p>
        </w:tc>
      </w:tr>
      <w:tr w:rsidR="009A016A" w:rsidRPr="009A016A" w14:paraId="247401C6" w14:textId="77777777" w:rsidTr="009A016A">
        <w:trPr>
          <w:trHeight w:val="420"/>
        </w:trPr>
        <w:tc>
          <w:tcPr>
            <w:tcW w:w="8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46DC5" w14:textId="37C3A370" w:rsidR="009A016A" w:rsidRPr="009A016A" w:rsidRDefault="009A016A" w:rsidP="009A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en-IE" w:eastAsia="en-IE"/>
              </w:rPr>
              <w:t xml:space="preserve">Pozycja budżetu: 08.020303                                                                                                                      </w:t>
            </w:r>
          </w:p>
        </w:tc>
      </w:tr>
      <w:tr w:rsidR="009A016A" w:rsidRPr="009A016A" w14:paraId="494112DD" w14:textId="77777777" w:rsidTr="009A016A">
        <w:trPr>
          <w:trHeight w:val="390"/>
        </w:trPr>
        <w:tc>
          <w:tcPr>
            <w:tcW w:w="8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74CF4A" w14:textId="77777777" w:rsidR="009A016A" w:rsidRPr="009A016A" w:rsidRDefault="009A016A" w:rsidP="009A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en-IE"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en-IE" w:eastAsia="en-IE"/>
              </w:rPr>
              <w:t>Opis</w:t>
            </w:r>
          </w:p>
        </w:tc>
      </w:tr>
      <w:tr w:rsidR="009A016A" w:rsidRPr="009A016A" w14:paraId="497D1CBA" w14:textId="77777777" w:rsidTr="009A016A">
        <w:trPr>
          <w:trHeight w:val="585"/>
        </w:trPr>
        <w:tc>
          <w:tcPr>
            <w:tcW w:w="8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D7EFA" w14:textId="35BB5CEC" w:rsidR="009A016A" w:rsidRPr="009A016A" w:rsidRDefault="009A016A" w:rsidP="009A01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</w:pPr>
            <w:r w:rsidRPr="009A01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Programy promocyjne (wiele państw), pomoc techniczna</w:t>
            </w:r>
            <w:r w:rsidR="00342B21" w:rsidRPr="009A01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 </w:t>
            </w:r>
            <w:r w:rsidR="00342B21" w:rsidRPr="009A01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>eks</w:t>
            </w:r>
            <w:r w:rsidRPr="009A01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IE"/>
              </w:rPr>
              <w:t xml:space="preserve">perci </w:t>
            </w:r>
          </w:p>
        </w:tc>
      </w:tr>
      <w:tr w:rsidR="009A016A" w:rsidRPr="009A016A" w14:paraId="23C31554" w14:textId="77777777" w:rsidTr="009A016A">
        <w:trPr>
          <w:trHeight w:val="345"/>
        </w:trPr>
        <w:tc>
          <w:tcPr>
            <w:tcW w:w="5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C3F897" w14:textId="77777777" w:rsidR="009A016A" w:rsidRPr="009A016A" w:rsidRDefault="009A016A" w:rsidP="009A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>Przyznane środki ogółem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249DB5" w14:textId="77777777" w:rsidR="009A016A" w:rsidRPr="009A016A" w:rsidRDefault="009A016A" w:rsidP="009A0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 xml:space="preserve">           83 079 033 </w:t>
            </w:r>
          </w:p>
        </w:tc>
      </w:tr>
      <w:tr w:rsidR="009A016A" w:rsidRPr="009A016A" w14:paraId="4D17C527" w14:textId="77777777" w:rsidTr="009A016A">
        <w:trPr>
          <w:trHeight w:val="270"/>
        </w:trPr>
        <w:tc>
          <w:tcPr>
            <w:tcW w:w="5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5F2A3" w14:textId="77777777" w:rsidR="009A016A" w:rsidRPr="009A016A" w:rsidRDefault="009A016A" w:rsidP="009A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>Płatności dokonane ogółem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0A16C0" w14:textId="77777777" w:rsidR="009A016A" w:rsidRPr="009A016A" w:rsidRDefault="009A016A" w:rsidP="009A0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</w:pPr>
            <w:r w:rsidRPr="009A016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IE" w:eastAsia="en-IE"/>
              </w:rPr>
              <w:t xml:space="preserve"> 73 222 763 </w:t>
            </w:r>
          </w:p>
        </w:tc>
      </w:tr>
    </w:tbl>
    <w:p w14:paraId="7937C7CC" w14:textId="6761D6D4" w:rsidR="00806DFF" w:rsidRDefault="00806DFF" w:rsidP="00A44A15">
      <w:pPr>
        <w:pStyle w:val="Text1"/>
      </w:pPr>
    </w:p>
    <w:p w14:paraId="555794CE" w14:textId="192FB3BF" w:rsidR="003013DF" w:rsidRDefault="1E3A0658" w:rsidP="00990270">
      <w:pPr>
        <w:pStyle w:val="ManualHeading2"/>
        <w:spacing w:before="360" w:after="160"/>
        <w:ind w:left="851" w:hanging="851"/>
        <w:rPr>
          <w:noProof/>
        </w:rPr>
      </w:pPr>
      <w:bookmarkStart w:id="33" w:name="_Toc176966474"/>
      <w:r>
        <w:rPr>
          <w:noProof/>
        </w:rPr>
        <w:t>2.2.</w:t>
      </w:r>
      <w:r>
        <w:rPr>
          <w:noProof/>
        </w:rPr>
        <w:tab/>
        <w:t>Europejski Fundusz Rolny na rzecz Rozwoju Obszarów Wiejskich (EFRROW)</w:t>
      </w:r>
      <w:r w:rsidR="00342B21">
        <w:rPr>
          <w:noProof/>
        </w:rPr>
        <w:t xml:space="preserve"> i Ins</w:t>
      </w:r>
      <w:r>
        <w:rPr>
          <w:noProof/>
        </w:rPr>
        <w:t>trument Unii Europejskiej na rzecz Odbudowy (EURI)</w:t>
      </w:r>
      <w:bookmarkEnd w:id="33"/>
    </w:p>
    <w:p w14:paraId="5607B185" w14:textId="6DA210C4" w:rsidR="00430704" w:rsidRDefault="006C1868" w:rsidP="00A44A15">
      <w:pPr>
        <w:pStyle w:val="Text1"/>
      </w:pPr>
      <w:r>
        <w:t xml:space="preserve">Art. 31 </w:t>
      </w:r>
      <w:bookmarkStart w:id="34" w:name="_Hlk173174003"/>
      <w:r>
        <w:t>rozporządzenia (UE) 2021/2116</w:t>
      </w:r>
      <w:r>
        <w:rPr>
          <w:rFonts w:asciiTheme="minorHAnsi" w:eastAsiaTheme="minorEastAsia" w:hAnsiTheme="minorHAnsi" w:cstheme="minorBidi"/>
          <w:sz w:val="22"/>
          <w:szCs w:val="22"/>
          <w:vertAlign w:val="superscript"/>
        </w:rPr>
        <w:footnoteReference w:id="7"/>
      </w:r>
      <w:bookmarkEnd w:id="34"/>
      <w:r>
        <w:t xml:space="preserve"> stanowi, że</w:t>
      </w:r>
      <w:r w:rsidR="00342B21">
        <w:t xml:space="preserve"> w nas</w:t>
      </w:r>
      <w:r>
        <w:t>tępstwie decyzji wykonawczej zatwierdzającej plan strategiczny WPR Komisja wypłaca państwu członkowskiemu początkową kwotę płatności zaliczkowej na cały okres obowiązywania planu strategicznego WPR</w:t>
      </w:r>
      <w:r w:rsidR="00342B21">
        <w:t>. W </w:t>
      </w:r>
      <w:r w:rsidR="00342B21" w:rsidRPr="00342B21">
        <w:t>art</w:t>
      </w:r>
      <w:r w:rsidRPr="00342B21">
        <w:t>.</w:t>
      </w:r>
      <w:r w:rsidR="00342B21" w:rsidRPr="00342B21">
        <w:t> </w:t>
      </w:r>
      <w:r w:rsidRPr="00342B21">
        <w:t>3</w:t>
      </w:r>
      <w:r>
        <w:t>2 rozporządzenia (UE) 2021/2116 przewidziano również płatności okresowe</w:t>
      </w:r>
      <w:r w:rsidR="00342B21">
        <w:t xml:space="preserve"> w ram</w:t>
      </w:r>
      <w:r>
        <w:t>ach każdego planu strategicznego WPR</w:t>
      </w:r>
      <w:r w:rsidR="00342B21">
        <w:t xml:space="preserve"> w cel</w:t>
      </w:r>
      <w:r>
        <w:t>u zwrotu wydatków dokonanych przez akredytowane agencje płatnicze</w:t>
      </w:r>
      <w:r w:rsidR="00342B21">
        <w:t xml:space="preserve"> w ram</w:t>
      </w:r>
      <w:r>
        <w:t>ach wdrażania planów strategicznych WPR.</w:t>
      </w:r>
    </w:p>
    <w:p w14:paraId="1F794AC6" w14:textId="2DC5E465" w:rsidR="00424875" w:rsidRDefault="1B285450" w:rsidP="00A44A15">
      <w:pPr>
        <w:pStyle w:val="Text1"/>
      </w:pPr>
      <w:r>
        <w:t xml:space="preserve">Odnosząc się do zakończenia programów rozwoju obszarów wiejskich zatwierdzonych na podstawie rozporządzenia (UE) </w:t>
      </w:r>
      <w:r w:rsidRPr="00342B21">
        <w:t>nr</w:t>
      </w:r>
      <w:r w:rsidR="00342B21" w:rsidRPr="00342B21">
        <w:t> </w:t>
      </w:r>
      <w:r w:rsidRPr="00342B21">
        <w:t>1</w:t>
      </w:r>
      <w:r>
        <w:t xml:space="preserve">306/2013, </w:t>
      </w:r>
      <w:r w:rsidRPr="00342B21">
        <w:t>art.</w:t>
      </w:r>
      <w:r w:rsidR="00342B21" w:rsidRPr="00342B21">
        <w:t> </w:t>
      </w:r>
      <w:r w:rsidRPr="00342B21">
        <w:t>3</w:t>
      </w:r>
      <w:r>
        <w:t>4 wspomnianego rozporządzenia stanowi, że łączna kwota prefinansowania</w:t>
      </w:r>
      <w:r w:rsidR="00342B21">
        <w:t xml:space="preserve"> i pła</w:t>
      </w:r>
      <w:r>
        <w:t>tności okresowych nie może przekroczyć 95 % wkładu EFRROW na każdy program rozwoju obszarów wiejskich. Komisja dokonuje płatności okresowych,</w:t>
      </w:r>
      <w:r w:rsidR="00342B21">
        <w:t xml:space="preserve"> z zas</w:t>
      </w:r>
      <w:r>
        <w:t>trzeżeniem dostępności środków</w:t>
      </w:r>
      <w:r w:rsidR="00342B21">
        <w:t xml:space="preserve"> w bud</w:t>
      </w:r>
      <w:r>
        <w:t xml:space="preserve">żecie, oraz uwzględniając zmniejszenia lub zawieszenia stosowane na mocy </w:t>
      </w:r>
      <w:r w:rsidRPr="00342B21">
        <w:t>art.</w:t>
      </w:r>
      <w:r w:rsidR="00342B21" w:rsidRPr="00342B21">
        <w:t> </w:t>
      </w:r>
      <w:r w:rsidRPr="00342B21">
        <w:t>4</w:t>
      </w:r>
      <w:r>
        <w:t>1,</w:t>
      </w:r>
      <w:r w:rsidR="00342B21">
        <w:t xml:space="preserve"> w cel</w:t>
      </w:r>
      <w:r>
        <w:t>u zwrotu wydatków dokonanych przez akredytowane agencje płatnicze</w:t>
      </w:r>
      <w:r w:rsidR="00342B21">
        <w:t xml:space="preserve"> w ram</w:t>
      </w:r>
      <w:r>
        <w:t>ach realizacji programów.</w:t>
      </w:r>
    </w:p>
    <w:p w14:paraId="226DAE16" w14:textId="05B3658E" w:rsidR="00FD585F" w:rsidRDefault="009B6318" w:rsidP="0042522F">
      <w:pPr>
        <w:pStyle w:val="Text1"/>
      </w:pPr>
      <w:r>
        <w:t>Jak wspomniano</w:t>
      </w:r>
      <w:r w:rsidR="00342B21">
        <w:t xml:space="preserve"> w art</w:t>
      </w:r>
      <w:r>
        <w:t xml:space="preserve">. 37 rozporządzenia (UE) </w:t>
      </w:r>
      <w:r w:rsidRPr="00342B21">
        <w:t>nr</w:t>
      </w:r>
      <w:r w:rsidR="00342B21" w:rsidRPr="00342B21">
        <w:t> </w:t>
      </w:r>
      <w:r w:rsidRPr="00342B21">
        <w:t>1</w:t>
      </w:r>
      <w:r>
        <w:t>306/2013, po otrzymaniu ostatniego rocznego sprawozdania</w:t>
      </w:r>
      <w:r w:rsidR="00342B21">
        <w:t xml:space="preserve"> z pos</w:t>
      </w:r>
      <w:r>
        <w:t>tępu realizacji danego programu rozwoju obszarów wiejskich Komisja dokonuje płatności salda,</w:t>
      </w:r>
      <w:r w:rsidR="00342B21">
        <w:t xml:space="preserve"> w zal</w:t>
      </w:r>
      <w:r>
        <w:t>eżności od dostępności zasobów, na podstawie obowiązującego planu finansowego, rocznego sprawozdania finansowego</w:t>
      </w:r>
      <w:r w:rsidR="00342B21">
        <w:t xml:space="preserve"> z ost</w:t>
      </w:r>
      <w:r>
        <w:t>atniego roku realizacji danego programu rozwoju obszarów wiejskich oraz związanej</w:t>
      </w:r>
      <w:r w:rsidR="00342B21">
        <w:t xml:space="preserve"> z nim</w:t>
      </w:r>
      <w:r>
        <w:t xml:space="preserve"> decyzji</w:t>
      </w:r>
      <w:r w:rsidR="00342B21">
        <w:t xml:space="preserve"> w spr</w:t>
      </w:r>
      <w:r>
        <w:t>awie rozliczeń.</w:t>
      </w:r>
    </w:p>
    <w:p w14:paraId="24389ED6" w14:textId="3EB4A988" w:rsidR="00783EEE" w:rsidRPr="003B1662" w:rsidRDefault="00783EEE" w:rsidP="00990270">
      <w:pPr>
        <w:pStyle w:val="ManualHeading2"/>
        <w:spacing w:before="360" w:after="160"/>
        <w:ind w:left="851" w:hanging="851"/>
        <w:rPr>
          <w:noProof/>
        </w:rPr>
      </w:pPr>
      <w:bookmarkStart w:id="35" w:name="_Toc176966475"/>
      <w:r>
        <w:rPr>
          <w:noProof/>
        </w:rPr>
        <w:t>2.2.1.</w:t>
      </w:r>
      <w:r>
        <w:rPr>
          <w:noProof/>
        </w:rPr>
        <w:tab/>
        <w:t>Środki na płatności</w:t>
      </w:r>
      <w:bookmarkEnd w:id="35"/>
    </w:p>
    <w:p w14:paraId="1252B9FF" w14:textId="58A54E59" w:rsidR="00F5467D" w:rsidRDefault="00F5467D" w:rsidP="00F5467D">
      <w:pPr>
        <w:pStyle w:val="Text1"/>
      </w:pPr>
      <w:r>
        <w:t>Komisja dokonuje zwrotu</w:t>
      </w:r>
      <w:r w:rsidR="00342B21">
        <w:t xml:space="preserve"> w odn</w:t>
      </w:r>
      <w:r>
        <w:t xml:space="preserve">iesieniu do każdej kwartalnej deklaracji wydatków za dany rok budżetowy. </w:t>
      </w:r>
    </w:p>
    <w:p w14:paraId="0AB633CC" w14:textId="06E2B841" w:rsidR="00F5467D" w:rsidRDefault="1720EFB0" w:rsidP="00F5467D">
      <w:pPr>
        <w:pStyle w:val="Text1"/>
      </w:pPr>
      <w:r>
        <w:t>Szczegółowe informacje znajdują się</w:t>
      </w:r>
      <w:r w:rsidR="00342B21">
        <w:t xml:space="preserve"> w zał</w:t>
      </w:r>
      <w:r>
        <w:t>ączniku 7.</w:t>
      </w:r>
    </w:p>
    <w:p w14:paraId="63C9EFD3" w14:textId="2C39E7D7" w:rsidR="00A71882" w:rsidRPr="003B1662" w:rsidRDefault="00A71882" w:rsidP="00C441FB">
      <w:pPr>
        <w:pStyle w:val="ManualHeading2"/>
        <w:spacing w:before="360" w:after="160"/>
        <w:ind w:left="851" w:hanging="851"/>
        <w:rPr>
          <w:noProof/>
        </w:rPr>
      </w:pPr>
      <w:bookmarkStart w:id="36" w:name="_Toc176966476"/>
      <w:r>
        <w:rPr>
          <w:noProof/>
        </w:rPr>
        <w:t>2.2.2.</w:t>
      </w:r>
      <w:r>
        <w:rPr>
          <w:noProof/>
        </w:rPr>
        <w:tab/>
        <w:t>Zmniejszanie płatności</w:t>
      </w:r>
      <w:bookmarkEnd w:id="36"/>
    </w:p>
    <w:p w14:paraId="4CF6F071" w14:textId="57639B29" w:rsidR="00F5467D" w:rsidRDefault="2286B689" w:rsidP="009B6318">
      <w:pPr>
        <w:pStyle w:val="Text1"/>
      </w:pPr>
      <w:r>
        <w:t>W 20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na podstawie kwartalnych deklaracji wydatków </w:t>
      </w:r>
      <w:r w:rsidRPr="00342B21">
        <w:t>za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dokonano zmniejszenia płatności miesięcznych na rzecz państw członkowskich</w:t>
      </w:r>
      <w:r w:rsidR="00342B21">
        <w:t xml:space="preserve"> o kwo</w:t>
      </w:r>
      <w:r>
        <w:t>tę netto 152,7 mln EUR</w:t>
      </w:r>
      <w:r w:rsidR="00342B21">
        <w:t>. W prz</w:t>
      </w:r>
      <w:r>
        <w:t>ypadku środków finansowanych z EFRROW pułapy finansowe określa się zgodnie</w:t>
      </w:r>
      <w:r w:rsidR="00342B21">
        <w:t xml:space="preserve"> z prz</w:t>
      </w:r>
      <w:r>
        <w:t>episami. Wydatki przekraczające te pułapy są uznawane za „wydatki niekwalifikowalne”</w:t>
      </w:r>
      <w:r w:rsidR="00342B21">
        <w:t xml:space="preserve"> i pro</w:t>
      </w:r>
      <w:r>
        <w:t>wadzą do zmniejszenia płatności.</w:t>
      </w:r>
    </w:p>
    <w:p w14:paraId="27F2DA00" w14:textId="45CCBA5D" w:rsidR="00A46144" w:rsidRPr="00C84E21" w:rsidRDefault="00A46144" w:rsidP="00C441FB">
      <w:pPr>
        <w:pStyle w:val="ManualHeading2"/>
        <w:spacing w:before="360" w:after="160"/>
        <w:ind w:left="851" w:hanging="851"/>
        <w:rPr>
          <w:noProof/>
        </w:rPr>
      </w:pPr>
      <w:bookmarkStart w:id="37" w:name="_Toc176966477"/>
      <w:r>
        <w:rPr>
          <w:noProof/>
        </w:rPr>
        <w:t>2.2.3.</w:t>
      </w:r>
      <w:r>
        <w:rPr>
          <w:noProof/>
        </w:rPr>
        <w:tab/>
        <w:t>Wydatki zarządzane bezpośrednio przez Komisję</w:t>
      </w:r>
      <w:bookmarkEnd w:id="37"/>
    </w:p>
    <w:p w14:paraId="0FC9B329" w14:textId="544A4F94" w:rsidR="00420206" w:rsidRDefault="00A46144" w:rsidP="00420206">
      <w:pPr>
        <w:pStyle w:val="Text1"/>
      </w:pPr>
      <w:r>
        <w:t>Komisja dokonuje płatności</w:t>
      </w:r>
      <w:r w:rsidR="00342B21">
        <w:t xml:space="preserve"> w ram</w:t>
      </w:r>
      <w:r>
        <w:t>ach zarządzania bezpośredniego na niektóre środki</w:t>
      </w:r>
      <w:r w:rsidR="00342B21">
        <w:t xml:space="preserve"> i dzi</w:t>
      </w:r>
      <w:r>
        <w:t>ałania, związane głównie</w:t>
      </w:r>
      <w:r w:rsidR="00342B21">
        <w:t xml:space="preserve"> z ope</w:t>
      </w:r>
      <w:r>
        <w:t>racyjną pomocą techniczną</w:t>
      </w:r>
      <w:r w:rsidR="00342B21">
        <w:t>. W tab</w:t>
      </w:r>
      <w:r>
        <w:t>elach 4</w:t>
      </w:r>
      <w:r w:rsidR="00342B21">
        <w:t xml:space="preserve"> i 5</w:t>
      </w:r>
      <w:r>
        <w:t xml:space="preserve"> oraz</w:t>
      </w:r>
      <w:r w:rsidR="00342B21">
        <w:t xml:space="preserve"> w zał</w:t>
      </w:r>
      <w:r>
        <w:t>ącznikach 5</w:t>
      </w:r>
      <w:r w:rsidR="00342B21">
        <w:t xml:space="preserve"> i 6</w:t>
      </w:r>
      <w:r>
        <w:t xml:space="preserve"> znajdują się szczegółowe informacje na temat środków wykonanych</w:t>
      </w:r>
      <w:r w:rsidR="00342B21">
        <w:t xml:space="preserve"> w ram</w:t>
      </w:r>
      <w:r>
        <w:t>ach zarządzania bezpośredniego przez Komisję</w:t>
      </w:r>
      <w:r w:rsidR="00342B21">
        <w:t xml:space="preserve"> w rok</w:t>
      </w:r>
      <w:r>
        <w:t>u budżetowym 2023</w:t>
      </w:r>
      <w:r w:rsidR="00342B21">
        <w:t xml:space="preserve"> w odn</w:t>
      </w:r>
      <w:r>
        <w:t xml:space="preserve">iesieniu do wydatków operacyjnych. </w:t>
      </w:r>
    </w:p>
    <w:p w14:paraId="1DBF7C5F" w14:textId="77777777" w:rsidR="002B4523" w:rsidRPr="0096764E" w:rsidRDefault="002B4523" w:rsidP="00420206">
      <w:pPr>
        <w:pStyle w:val="Text1"/>
      </w:pPr>
    </w:p>
    <w:p w14:paraId="0E9555C6" w14:textId="069BABF9" w:rsidR="00D51119" w:rsidRDefault="00D51119" w:rsidP="00D51119">
      <w:pPr>
        <w:pStyle w:val="Text1"/>
        <w:rPr>
          <w:i/>
        </w:rPr>
      </w:pPr>
      <w:r>
        <w:t xml:space="preserve">Tabela 4   </w:t>
      </w:r>
      <w:r>
        <w:rPr>
          <w:i/>
        </w:rPr>
        <w:t>(w EUR; ceny bieżące)</w:t>
      </w: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4163"/>
        <w:gridCol w:w="4342"/>
      </w:tblGrid>
      <w:tr w:rsidR="005449A2" w:rsidRPr="005449A2" w14:paraId="63A89C2C" w14:textId="77777777" w:rsidTr="005449A2">
        <w:trPr>
          <w:trHeight w:val="69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5CFED2" w14:textId="77777777" w:rsidR="005449A2" w:rsidRPr="005449A2" w:rsidRDefault="005449A2" w:rsidP="0054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Pomoc techniczna EFRROW</w:t>
            </w:r>
            <w:r w:rsidRPr="005449A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br/>
              <w:t>Wykorzystanie środków na zobowiązania</w:t>
            </w:r>
          </w:p>
        </w:tc>
      </w:tr>
      <w:tr w:rsidR="005449A2" w:rsidRPr="005449A2" w14:paraId="209DE732" w14:textId="77777777" w:rsidTr="005449A2">
        <w:trPr>
          <w:trHeight w:val="525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C34AD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Pozycja budżetu: 08.030200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B1E0" w14:textId="77777777" w:rsidR="005449A2" w:rsidRPr="005449A2" w:rsidRDefault="005449A2" w:rsidP="0054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en-IE" w:eastAsia="en-IE"/>
              </w:rPr>
              <w:t xml:space="preserve"> (w EUR) </w:t>
            </w:r>
          </w:p>
        </w:tc>
      </w:tr>
      <w:tr w:rsidR="005449A2" w:rsidRPr="005449A2" w14:paraId="7D2EE43E" w14:textId="77777777" w:rsidTr="005449A2">
        <w:trPr>
          <w:trHeight w:val="52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BB36B7" w14:textId="77777777" w:rsidR="005449A2" w:rsidRPr="005449A2" w:rsidRDefault="005449A2" w:rsidP="0054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Opis</w:t>
            </w:r>
          </w:p>
        </w:tc>
      </w:tr>
      <w:tr w:rsidR="005449A2" w:rsidRPr="005449A2" w14:paraId="431DF171" w14:textId="77777777" w:rsidTr="005449A2">
        <w:trPr>
          <w:trHeight w:val="52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70F98" w14:textId="42C33810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Działania służące tworzeniu sieci kontaktów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 xml:space="preserve"> w</w:t>
            </w:r>
            <w:r w:rsidR="00342B2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 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ram</w:t>
            </w: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ach wsparcia wspólnej polityki rolnej (WPR)</w:t>
            </w:r>
          </w:p>
        </w:tc>
      </w:tr>
      <w:tr w:rsidR="005449A2" w:rsidRPr="005449A2" w14:paraId="7C5F4629" w14:textId="77777777" w:rsidTr="005449A2">
        <w:trPr>
          <w:trHeight w:val="52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450DE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Technologia informacyjna</w:t>
            </w:r>
          </w:p>
        </w:tc>
      </w:tr>
      <w:tr w:rsidR="005449A2" w:rsidRPr="005449A2" w14:paraId="0112EB6B" w14:textId="77777777" w:rsidTr="005449A2">
        <w:trPr>
          <w:trHeight w:val="27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39A4A" w14:textId="76FA66C6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Platforma doradztwa technicznego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 xml:space="preserve"> w</w:t>
            </w:r>
            <w:r w:rsidR="00342B2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 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zak</w:t>
            </w: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resie instrumentów finansowych</w:t>
            </w:r>
          </w:p>
        </w:tc>
      </w:tr>
      <w:tr w:rsidR="005449A2" w:rsidRPr="005449A2" w14:paraId="5BFD0051" w14:textId="77777777" w:rsidTr="005449A2">
        <w:trPr>
          <w:trHeight w:val="46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E15F4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Komunikacja instytucjonalna</w:t>
            </w:r>
          </w:p>
        </w:tc>
      </w:tr>
      <w:tr w:rsidR="005449A2" w:rsidRPr="005449A2" w14:paraId="0A222811" w14:textId="77777777" w:rsidTr="005449A2">
        <w:trPr>
          <w:trHeight w:val="27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1FE18" w14:textId="45913252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Badania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 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oce</w:t>
            </w: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ny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D89F4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 </w:t>
            </w:r>
          </w:p>
        </w:tc>
      </w:tr>
      <w:tr w:rsidR="005449A2" w:rsidRPr="005449A2" w14:paraId="3643B046" w14:textId="77777777" w:rsidTr="005449A2">
        <w:trPr>
          <w:trHeight w:val="27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C028" w14:textId="22732C50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Audyt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 xml:space="preserve"> i</w:t>
            </w:r>
            <w:r w:rsidR="00342B2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 </w:t>
            </w:r>
            <w:r w:rsidR="00342B21"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kon</w:t>
            </w: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trole</w:t>
            </w:r>
          </w:p>
        </w:tc>
      </w:tr>
      <w:tr w:rsidR="005449A2" w:rsidRPr="005449A2" w14:paraId="4C044596" w14:textId="77777777" w:rsidTr="005449A2">
        <w:trPr>
          <w:trHeight w:val="27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E3CED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 xml:space="preserve">Europejska sieć oceny </w:t>
            </w:r>
          </w:p>
        </w:tc>
      </w:tr>
      <w:tr w:rsidR="005449A2" w:rsidRPr="005449A2" w14:paraId="059E4BF8" w14:textId="77777777" w:rsidTr="005449A2">
        <w:trPr>
          <w:trHeight w:val="27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E5E23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Baza danych na temat rolnictwa ekologicznego</w:t>
            </w:r>
          </w:p>
        </w:tc>
      </w:tr>
      <w:tr w:rsidR="005449A2" w:rsidRPr="005449A2" w14:paraId="188978AC" w14:textId="77777777" w:rsidTr="005449A2">
        <w:trPr>
          <w:trHeight w:val="27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D5281C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Przyznane środki ogółem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708ACC" w14:textId="77777777" w:rsidR="005449A2" w:rsidRPr="005449A2" w:rsidRDefault="005449A2" w:rsidP="0054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 xml:space="preserve"> 28 131 976 </w:t>
            </w:r>
          </w:p>
        </w:tc>
      </w:tr>
      <w:tr w:rsidR="005449A2" w:rsidRPr="005449A2" w14:paraId="0262DFD7" w14:textId="77777777" w:rsidTr="005449A2">
        <w:trPr>
          <w:trHeight w:val="27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E719AD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Płatności dokonane ogółem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D0EEB7" w14:textId="77777777" w:rsidR="005449A2" w:rsidRPr="005449A2" w:rsidRDefault="005449A2" w:rsidP="0054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 xml:space="preserve"> 27 440 249 </w:t>
            </w:r>
          </w:p>
        </w:tc>
      </w:tr>
    </w:tbl>
    <w:p w14:paraId="305C4F31" w14:textId="30CDD1BF" w:rsidR="0058729B" w:rsidRDefault="0058729B" w:rsidP="007E0E8A">
      <w:pPr>
        <w:pStyle w:val="Text1"/>
        <w:ind w:left="567"/>
        <w:jc w:val="center"/>
        <w:rPr>
          <w:i/>
        </w:rPr>
      </w:pPr>
    </w:p>
    <w:p w14:paraId="6ED7EBBE" w14:textId="27D34B6A" w:rsidR="00786D11" w:rsidRDefault="00786D11" w:rsidP="00CB4026">
      <w:pPr>
        <w:pStyle w:val="Text1"/>
        <w:rPr>
          <w:iCs/>
        </w:rPr>
      </w:pPr>
    </w:p>
    <w:p w14:paraId="4553ABD3" w14:textId="7BA24F53" w:rsidR="00CB4026" w:rsidRDefault="00CB4026" w:rsidP="00CB4026">
      <w:pPr>
        <w:pStyle w:val="Text1"/>
        <w:rPr>
          <w:i/>
        </w:rPr>
      </w:pPr>
      <w:r>
        <w:t xml:space="preserve">Tabela 5     </w:t>
      </w:r>
      <w:r>
        <w:rPr>
          <w:i/>
        </w:rPr>
        <w:t>(w EUR; ceny bieżące)</w:t>
      </w:r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4163"/>
        <w:gridCol w:w="4484"/>
      </w:tblGrid>
      <w:tr w:rsidR="005449A2" w:rsidRPr="005449A2" w14:paraId="33961440" w14:textId="77777777" w:rsidTr="005449A2">
        <w:trPr>
          <w:trHeight w:val="630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E8E495" w14:textId="77777777" w:rsidR="005449A2" w:rsidRPr="005449A2" w:rsidRDefault="005449A2" w:rsidP="0054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t>Pomoc techniczna EURI</w:t>
            </w:r>
            <w:r w:rsidRPr="005449A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en-IE"/>
              </w:rPr>
              <w:br/>
              <w:t>Wykorzystanie środków na zobowiązania</w:t>
            </w:r>
          </w:p>
        </w:tc>
      </w:tr>
      <w:tr w:rsidR="005449A2" w:rsidRPr="005449A2" w14:paraId="6DC976EB" w14:textId="77777777" w:rsidTr="005449A2">
        <w:trPr>
          <w:trHeight w:val="27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B936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Pozycja budżetu: 08.030300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1DEB" w14:textId="77777777" w:rsidR="005449A2" w:rsidRPr="005449A2" w:rsidRDefault="005449A2" w:rsidP="0054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en-IE" w:eastAsia="en-IE"/>
              </w:rPr>
              <w:t xml:space="preserve"> (w EUR) </w:t>
            </w:r>
          </w:p>
        </w:tc>
      </w:tr>
      <w:tr w:rsidR="005449A2" w:rsidRPr="005449A2" w14:paraId="18B5B863" w14:textId="77777777" w:rsidTr="005449A2">
        <w:trPr>
          <w:trHeight w:val="315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E3F833" w14:textId="77777777" w:rsidR="005449A2" w:rsidRPr="005449A2" w:rsidRDefault="005449A2" w:rsidP="0054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IE" w:eastAsia="en-IE"/>
              </w:rPr>
              <w:t>Opis</w:t>
            </w:r>
          </w:p>
        </w:tc>
      </w:tr>
      <w:tr w:rsidR="005449A2" w:rsidRPr="005449A2" w14:paraId="636CCD0A" w14:textId="77777777" w:rsidTr="005449A2">
        <w:trPr>
          <w:trHeight w:val="270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F6B1C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en-IE"/>
              </w:rPr>
              <w:t>Długoterminowa wizja dla obszarów wiejskich UE</w:t>
            </w:r>
          </w:p>
        </w:tc>
      </w:tr>
      <w:tr w:rsidR="005449A2" w:rsidRPr="005449A2" w14:paraId="6811D4F6" w14:textId="77777777" w:rsidTr="005449A2">
        <w:trPr>
          <w:trHeight w:val="270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2D77E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IE" w:eastAsia="en-IE"/>
              </w:rPr>
              <w:t>Technologia informacyjna</w:t>
            </w:r>
          </w:p>
        </w:tc>
      </w:tr>
      <w:tr w:rsidR="005449A2" w:rsidRPr="005449A2" w14:paraId="45093035" w14:textId="77777777" w:rsidTr="005449A2">
        <w:trPr>
          <w:trHeight w:val="27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23D98E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Przyznane środki ogółem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5DDD8C" w14:textId="77777777" w:rsidR="005449A2" w:rsidRPr="005449A2" w:rsidRDefault="005449A2" w:rsidP="0054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 xml:space="preserve">                            -   </w:t>
            </w:r>
          </w:p>
        </w:tc>
      </w:tr>
      <w:tr w:rsidR="005449A2" w:rsidRPr="005449A2" w14:paraId="3845DDF6" w14:textId="77777777" w:rsidTr="005449A2">
        <w:trPr>
          <w:trHeight w:val="27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8B2DE9" w14:textId="77777777" w:rsidR="005449A2" w:rsidRPr="005449A2" w:rsidRDefault="005449A2" w:rsidP="0054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>Płatności dokonane ogółem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6CF027" w14:textId="77777777" w:rsidR="005449A2" w:rsidRPr="005449A2" w:rsidRDefault="005449A2" w:rsidP="0054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</w:pPr>
            <w:r w:rsidRPr="005449A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IE" w:eastAsia="en-IE"/>
              </w:rPr>
              <w:t xml:space="preserve">                694 907 </w:t>
            </w:r>
          </w:p>
        </w:tc>
      </w:tr>
    </w:tbl>
    <w:p w14:paraId="1A52966D" w14:textId="53135A20" w:rsidR="00C27CB0" w:rsidRDefault="00C27CB0" w:rsidP="007E0E8A">
      <w:pPr>
        <w:pStyle w:val="Text1"/>
        <w:ind w:left="426"/>
        <w:jc w:val="center"/>
        <w:rPr>
          <w:i/>
        </w:rPr>
      </w:pPr>
    </w:p>
    <w:p w14:paraId="1E1E3662" w14:textId="0E4320AD" w:rsidR="00430704" w:rsidRDefault="00430704" w:rsidP="00A44A15">
      <w:pPr>
        <w:pStyle w:val="Text1"/>
      </w:pPr>
    </w:p>
    <w:p w14:paraId="06F4EF5D" w14:textId="13EB1E69" w:rsidR="00A44A15" w:rsidRDefault="00A44A15" w:rsidP="00A44A15">
      <w:pPr>
        <w:pStyle w:val="Text1"/>
      </w:pPr>
    </w:p>
    <w:p w14:paraId="69B5C67B" w14:textId="2686C5D9" w:rsidR="00A44A15" w:rsidRPr="003B1662" w:rsidRDefault="00A44A15" w:rsidP="00B36033">
      <w:pPr>
        <w:pStyle w:val="ManualHeading1"/>
        <w:spacing w:after="160"/>
        <w:ind w:left="851" w:hanging="851"/>
        <w:rPr>
          <w:noProof/>
        </w:rPr>
      </w:pPr>
      <w:bookmarkStart w:id="38" w:name="_Toc7010710"/>
      <w:bookmarkStart w:id="39" w:name="_Toc102661850"/>
      <w:bookmarkStart w:id="40" w:name="_Toc105773198"/>
      <w:bookmarkStart w:id="41" w:name="_Toc139622279"/>
      <w:bookmarkStart w:id="42" w:name="_Toc176966478"/>
      <w:r>
        <w:rPr>
          <w:noProof/>
        </w:rPr>
        <w:t>3.</w:t>
      </w:r>
      <w:r>
        <w:rPr>
          <w:noProof/>
        </w:rPr>
        <w:tab/>
        <w:t>WYKORZYSTANIE ŚRODKÓW BUDŻETOWYCH EFRG I EFRROW</w:t>
      </w:r>
      <w:bookmarkEnd w:id="38"/>
      <w:bookmarkEnd w:id="39"/>
      <w:bookmarkEnd w:id="40"/>
      <w:bookmarkEnd w:id="41"/>
      <w:bookmarkEnd w:id="42"/>
      <w:r>
        <w:rPr>
          <w:noProof/>
        </w:rPr>
        <w:t xml:space="preserve"> </w:t>
      </w:r>
    </w:p>
    <w:p w14:paraId="51B1D8B7" w14:textId="483DA1B9" w:rsidR="00EC1B77" w:rsidRDefault="00EC1B77" w:rsidP="00EC1B77">
      <w:pPr>
        <w:pStyle w:val="ManualHeading2"/>
        <w:rPr>
          <w:noProof/>
        </w:rPr>
      </w:pPr>
      <w:bookmarkStart w:id="43" w:name="_Toc176966479"/>
      <w:r>
        <w:rPr>
          <w:noProof/>
        </w:rPr>
        <w:t>3.1</w:t>
      </w:r>
      <w:r>
        <w:rPr>
          <w:noProof/>
        </w:rPr>
        <w:tab/>
        <w:t>Europejski Fundusz Rolniczy Gwarancji (EFRG)</w:t>
      </w:r>
      <w:bookmarkEnd w:id="43"/>
    </w:p>
    <w:p w14:paraId="7D8C45E1" w14:textId="1E9D2978" w:rsidR="00A44A15" w:rsidRDefault="00A44A15" w:rsidP="00A44A15">
      <w:pPr>
        <w:pStyle w:val="Text1"/>
        <w:ind w:left="851"/>
      </w:pPr>
      <w:r>
        <w:t>Poziom wykonania środków budżetowych EFRG wyniósł 41 133,6 mln EUR</w:t>
      </w:r>
      <w:r>
        <w:rPr>
          <w:vertAlign w:val="superscript"/>
        </w:rPr>
        <w:footnoteReference w:id="8"/>
      </w:r>
      <w:r>
        <w:t>. Wydatki te zostały sfinansowane przy pomocy pierwotnych środków budżetowych oraz</w:t>
      </w:r>
      <w:r w:rsidR="00342B21">
        <w:t xml:space="preserve"> z wyk</w:t>
      </w:r>
      <w:r>
        <w:t>orzystaniem dochodów przeznaczonych na EFRG</w:t>
      </w:r>
      <w:r w:rsidR="00342B21">
        <w:t>. Z kwo</w:t>
      </w:r>
      <w:r>
        <w:t>ty 623,9 mln EUR dochodów przeznaczonych na EFRG uzyskanych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283,6 mln EUR wykorzystano na pokrycie potrzeb</w:t>
      </w:r>
      <w:r w:rsidR="00342B21">
        <w:t xml:space="preserve"> w zak</w:t>
      </w:r>
      <w:r>
        <w:t>resie płatności.</w:t>
      </w:r>
    </w:p>
    <w:p w14:paraId="28486714" w14:textId="16FC156F" w:rsidR="00ED794D" w:rsidRDefault="7C74DD14" w:rsidP="00A44A15">
      <w:pPr>
        <w:pStyle w:val="Text1"/>
        <w:ind w:left="851"/>
      </w:pPr>
      <w:r>
        <w:t>W ramach rozdziału 08 01 zobowiązania EFRG na wydatki na wsparcie administracyjne</w:t>
      </w:r>
      <w:r w:rsidR="00342B21">
        <w:t xml:space="preserve"> w ram</w:t>
      </w:r>
      <w:r>
        <w:t>ach artykułu 08 01 01 wyniosły 4,3 mln EUR.</w:t>
      </w:r>
    </w:p>
    <w:p w14:paraId="0961C9D8" w14:textId="332AD18A" w:rsidR="00A44A15" w:rsidRDefault="00A44A15" w:rsidP="00A44A15">
      <w:pPr>
        <w:pStyle w:val="Text1"/>
        <w:ind w:left="851"/>
      </w:pPr>
      <w:r>
        <w:t>W ramach rozdziału 08 02 całkowite wydatki EFRG na interwencje związane</w:t>
      </w:r>
      <w:r w:rsidR="00342B21">
        <w:t xml:space="preserve"> z ryn</w:t>
      </w:r>
      <w:r>
        <w:t>kiem,</w:t>
      </w:r>
      <w:r w:rsidR="00342B21">
        <w:t xml:space="preserve"> w ram</w:t>
      </w:r>
      <w:r>
        <w:t>ach planów WPR (artykuł 08 02 02)</w:t>
      </w:r>
      <w:r w:rsidR="00342B21">
        <w:t xml:space="preserve"> i poz</w:t>
      </w:r>
      <w:r>
        <w:t>a planami WPR (artykuł 08 02 03) wyniosły 2 674 mln EUR. Płatności bezpośrednie</w:t>
      </w:r>
      <w:r w:rsidR="00342B21">
        <w:t xml:space="preserve"> w rok</w:t>
      </w:r>
      <w:r>
        <w:t>u budżetowym 2023 realizowano poza planami WPR (artykuł 08 02 05) zgodnie</w:t>
      </w:r>
      <w:r w:rsidR="00342B21">
        <w:t xml:space="preserve"> z prz</w:t>
      </w:r>
      <w:r>
        <w:t>episami określonymi</w:t>
      </w:r>
      <w:r w:rsidR="00342B21">
        <w:t xml:space="preserve"> w roz</w:t>
      </w:r>
      <w:r>
        <w:t>porządzeniu 1307/2013. Związane</w:t>
      </w:r>
      <w:r w:rsidR="00342B21">
        <w:t xml:space="preserve"> z tym</w:t>
      </w:r>
      <w:r>
        <w:t xml:space="preserve"> wydatki wyniosły 38 161,7 mln EUR. Ponadto 134,5 mln EUR</w:t>
      </w:r>
      <w:r w:rsidR="00342B21">
        <w:t xml:space="preserve"> z rez</w:t>
      </w:r>
      <w:r>
        <w:t>erwy rolnej wykorzystano na sfinansowanie różnych nadzwyczajnych środków wsparcia. Oprócz tego 159,1 mln EUR przeznaczono na wydatki</w:t>
      </w:r>
      <w:r w:rsidR="00342B21">
        <w:t xml:space="preserve"> w ram</w:t>
      </w:r>
      <w:r>
        <w:t>ach artykułów 08 02 06 – Strategia, koordynacja</w:t>
      </w:r>
      <w:r w:rsidR="00342B21">
        <w:t xml:space="preserve"> i aud</w:t>
      </w:r>
      <w:r>
        <w:t>yt polityki oraz 08 02 99 – Zakończenie poprzednich programów</w:t>
      </w:r>
      <w:r w:rsidR="00342B21">
        <w:t xml:space="preserve"> i dzi</w:t>
      </w:r>
      <w:r>
        <w:t>ałań.</w:t>
      </w:r>
    </w:p>
    <w:p w14:paraId="393E7302" w14:textId="7DCBA6FC" w:rsidR="00AF4140" w:rsidRDefault="29504D58" w:rsidP="00A44A15">
      <w:pPr>
        <w:pStyle w:val="Text1"/>
        <w:ind w:left="851"/>
      </w:pPr>
      <w:r>
        <w:t>W przypadku EFRG 341,3 mln EUR środków</w:t>
      </w:r>
      <w:r w:rsidR="00342B21">
        <w:t xml:space="preserve"> z doc</w:t>
      </w:r>
      <w:r>
        <w:t>hodów przeznaczonych na określony cel nie zostało</w:t>
      </w:r>
      <w:r w:rsidR="00342B21">
        <w:t xml:space="preserve"> w peł</w:t>
      </w:r>
      <w:r>
        <w:t>ni wykorzystane</w:t>
      </w:r>
      <w:r w:rsidR="00342B21">
        <w:t xml:space="preserve"> i prz</w:t>
      </w:r>
      <w:r>
        <w:t xml:space="preserve">eniesiono je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24</w:t>
      </w:r>
      <w:r w:rsidR="00342B21" w:rsidRPr="00342B21">
        <w:t> </w:t>
      </w:r>
      <w:r w:rsidRPr="00342B21">
        <w:t>r.</w:t>
      </w:r>
      <w:r>
        <w:t xml:space="preserve"> Niewykorzystane środki</w:t>
      </w:r>
      <w:r w:rsidR="00342B21">
        <w:t xml:space="preserve"> z rez</w:t>
      </w:r>
      <w:r>
        <w:t>erwy rolnej wyniosły ponadto 315,5 mln EUR. Wynikało to</w:t>
      </w:r>
      <w:r w:rsidR="00342B21">
        <w:t xml:space="preserve"> z póź</w:t>
      </w:r>
      <w:r>
        <w:t>nej publikacji drugiego</w:t>
      </w:r>
      <w:r w:rsidR="00342B21">
        <w:t xml:space="preserve"> i trz</w:t>
      </w:r>
      <w:r>
        <w:t>eciego pakietu wsparcia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Całą tę kwotę przeniesiono do rezerwy rolnej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24</w:t>
      </w:r>
      <w:r w:rsidR="00342B21" w:rsidRPr="00342B21">
        <w:t> </w:t>
      </w:r>
      <w:r w:rsidRPr="00342B21">
        <w:t>r.</w:t>
      </w:r>
      <w:r>
        <w:t>, zgodnie</w:t>
      </w:r>
      <w:r w:rsidR="00342B21">
        <w:t xml:space="preserve"> z prz</w:t>
      </w:r>
      <w:r>
        <w:t xml:space="preserve">episami </w:t>
      </w:r>
      <w:r w:rsidRPr="00342B21">
        <w:t>art.</w:t>
      </w:r>
      <w:r w:rsidR="00342B21" w:rsidRPr="00342B21">
        <w:t> </w:t>
      </w:r>
      <w:r w:rsidRPr="00342B21">
        <w:t>1</w:t>
      </w:r>
      <w:r>
        <w:t>6 rozporządzenia 2021/2116,</w:t>
      </w:r>
      <w:r w:rsidR="00342B21">
        <w:t xml:space="preserve"> w cel</w:t>
      </w:r>
      <w:r>
        <w:t>u sfinansowania pozostałych wydatków związanych ze środkami nadzwyczajnymi</w:t>
      </w:r>
      <w:r w:rsidR="00342B21">
        <w:t xml:space="preserve"> z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</w:p>
    <w:p w14:paraId="078915C0" w14:textId="184AD4D3" w:rsidR="00A068FF" w:rsidRDefault="1BFC6801" w:rsidP="00A44A15">
      <w:pPr>
        <w:pStyle w:val="Text1"/>
        <w:ind w:left="851"/>
      </w:pPr>
      <w:r>
        <w:t>Szczegółowe informacje dotyczące wykonania budżetu</w:t>
      </w:r>
      <w:r w:rsidR="00342B21">
        <w:t xml:space="preserve"> w pod</w:t>
      </w:r>
      <w:r>
        <w:t>ziale na obszary polityki oraz wykorzystania dochodów przeznaczonych na określony cel można znaleźć</w:t>
      </w:r>
      <w:r w:rsidR="00342B21">
        <w:t xml:space="preserve"> w zał</w:t>
      </w:r>
      <w:r>
        <w:t>ączniku 8, załączniku 9, załączniku 10, załączniku 11</w:t>
      </w:r>
      <w:r w:rsidR="00342B21">
        <w:t xml:space="preserve"> i zał</w:t>
      </w:r>
      <w:r>
        <w:t xml:space="preserve">ączniku 12. </w:t>
      </w:r>
    </w:p>
    <w:p w14:paraId="7FEC7E90" w14:textId="62234995" w:rsidR="00F22803" w:rsidRDefault="166B8160" w:rsidP="00B36033">
      <w:pPr>
        <w:pStyle w:val="ManualHeading2"/>
        <w:spacing w:before="360" w:after="160"/>
        <w:ind w:left="851" w:hanging="851"/>
        <w:rPr>
          <w:noProof/>
        </w:rPr>
      </w:pPr>
      <w:bookmarkStart w:id="44" w:name="_Toc176966480"/>
      <w:r>
        <w:rPr>
          <w:noProof/>
        </w:rPr>
        <w:t>3.2.</w:t>
      </w:r>
      <w:r>
        <w:rPr>
          <w:noProof/>
        </w:rPr>
        <w:tab/>
        <w:t>Europejski Fundusz Rolny na rzecz Rozwoju Obszarów Wiejskich (EFRROW)</w:t>
      </w:r>
      <w:r w:rsidR="00342B21">
        <w:rPr>
          <w:noProof/>
        </w:rPr>
        <w:t xml:space="preserve"> i Ins</w:t>
      </w:r>
      <w:r>
        <w:rPr>
          <w:noProof/>
        </w:rPr>
        <w:t>trument Unii Europejskiej na rzecz Odbudowy (EURI)</w:t>
      </w:r>
      <w:bookmarkEnd w:id="44"/>
    </w:p>
    <w:p w14:paraId="2CF7E207" w14:textId="66F63E21" w:rsidR="00AB4DB3" w:rsidRDefault="7E197CE2" w:rsidP="00AB4DB3">
      <w:pPr>
        <w:pStyle w:val="Text1"/>
        <w:ind w:left="851"/>
      </w:pPr>
      <w:r>
        <w:t>Poziom wykonania środki na zobowiązania EFRROW wyniósł 12 953,5 mln EUR</w:t>
      </w:r>
      <w:r>
        <w:rPr>
          <w:vertAlign w:val="superscript"/>
        </w:rPr>
        <w:t xml:space="preserve"> </w:t>
      </w:r>
      <w:r>
        <w:t>(załącznik 13). Wydatki te sfinansowano</w:t>
      </w:r>
      <w:r w:rsidR="00342B21">
        <w:t xml:space="preserve"> z pie</w:t>
      </w:r>
      <w:r>
        <w:t>rwotnie uchwalonych środków budżetowych oraz</w:t>
      </w:r>
      <w:r w:rsidR="00342B21">
        <w:t xml:space="preserve"> z wyk</w:t>
      </w:r>
      <w:r>
        <w:t xml:space="preserve">orzystaniem wewnętrznych dochodów przeznaczonych na określony cel EFRROW. </w:t>
      </w:r>
    </w:p>
    <w:p w14:paraId="55116954" w14:textId="3269199C" w:rsidR="00F27ACB" w:rsidRDefault="7E197CE2" w:rsidP="00AB4DB3">
      <w:pPr>
        <w:pStyle w:val="Text1"/>
        <w:ind w:left="851"/>
      </w:pPr>
      <w:r>
        <w:t xml:space="preserve">W ramach rozdziału 08 01 kwota zobowiązań na EFRROW wyniosła 2,2 mln EUR na wsparcie administracyjne programu. </w:t>
      </w:r>
    </w:p>
    <w:p w14:paraId="536B19E9" w14:textId="02ACE4E2" w:rsidR="00436C21" w:rsidRDefault="6FAAADA4" w:rsidP="00AB4DB3">
      <w:pPr>
        <w:pStyle w:val="Text1"/>
        <w:ind w:left="851"/>
      </w:pPr>
      <w:r>
        <w:t>W ramach rozdziału 08 03 oprócz kwoty zobowiązań związanej</w:t>
      </w:r>
      <w:r w:rsidR="00342B21">
        <w:t xml:space="preserve"> z wdr</w:t>
      </w:r>
      <w:r>
        <w:t>ażaniem rodzajów interwencji</w:t>
      </w:r>
      <w:r w:rsidR="00342B21">
        <w:t xml:space="preserve"> w ram</w:t>
      </w:r>
      <w:r>
        <w:t>ach planów strategicznych WPR (12 904,4 mln EUR) odnotowano:</w:t>
      </w:r>
    </w:p>
    <w:p w14:paraId="0D4D2C7A" w14:textId="72683A46" w:rsidR="003E67F3" w:rsidRDefault="17832E1B" w:rsidP="00436C21">
      <w:pPr>
        <w:pStyle w:val="Text1"/>
        <w:numPr>
          <w:ilvl w:val="0"/>
          <w:numId w:val="40"/>
        </w:numPr>
      </w:pPr>
      <w:r>
        <w:t>kwotę zaangażowaną na operacyjną pomoc techniczną</w:t>
      </w:r>
      <w:r w:rsidR="00342B21">
        <w:t xml:space="preserve"> w wys</w:t>
      </w:r>
      <w:r>
        <w:t>okości 28,1 mln EUR;</w:t>
      </w:r>
    </w:p>
    <w:p w14:paraId="3FCDCD12" w14:textId="1941633E" w:rsidR="00A254D0" w:rsidRDefault="62AF756C" w:rsidP="00A254D0">
      <w:pPr>
        <w:pStyle w:val="Text1"/>
        <w:numPr>
          <w:ilvl w:val="0"/>
          <w:numId w:val="40"/>
        </w:numPr>
      </w:pPr>
      <w:r>
        <w:t>kwotę zaangażowaną na operacje zwrotu kosztów</w:t>
      </w:r>
      <w:r w:rsidR="00342B21">
        <w:t xml:space="preserve"> w ram</w:t>
      </w:r>
      <w:r>
        <w:t>ach programów rozwoju obszarów wiejskich</w:t>
      </w:r>
      <w:r w:rsidR="00342B21">
        <w:t xml:space="preserve"> z pop</w:t>
      </w:r>
      <w:r>
        <w:t>rzednich okresów (sprzed 20</w:t>
      </w:r>
      <w:r w:rsidRPr="00342B21">
        <w:t>23</w:t>
      </w:r>
      <w:r w:rsidR="00342B21" w:rsidRPr="00342B21">
        <w:t> </w:t>
      </w:r>
      <w:r w:rsidRPr="00342B21">
        <w:t>r.</w:t>
      </w:r>
      <w:r>
        <w:t>)</w:t>
      </w:r>
      <w:r w:rsidR="00342B21">
        <w:t xml:space="preserve"> w wys</w:t>
      </w:r>
      <w:r>
        <w:t>okości 18,8 mln EUR.</w:t>
      </w:r>
    </w:p>
    <w:p w14:paraId="20077787" w14:textId="7F9C9156" w:rsidR="00501417" w:rsidRDefault="00501417" w:rsidP="00A254D0">
      <w:pPr>
        <w:pStyle w:val="Text1"/>
        <w:ind w:left="851"/>
      </w:pPr>
      <w:r>
        <w:t>Wskaźnik absorpcji EFRROW 2014–2022 i EFRROW 2023–2027</w:t>
      </w:r>
      <w:r w:rsidR="00342B21">
        <w:t xml:space="preserve"> w pod</w:t>
      </w:r>
      <w:r>
        <w:t>ziale na państwa członkowskie (wykresy 1a-d):</w:t>
      </w:r>
    </w:p>
    <w:p w14:paraId="10B90BE0" w14:textId="77777777" w:rsidR="00474081" w:rsidRPr="00695812" w:rsidRDefault="00474081" w:rsidP="00A254D0">
      <w:pPr>
        <w:pStyle w:val="Text1"/>
        <w:ind w:left="851"/>
        <w:rPr>
          <w:sz w:val="16"/>
          <w:szCs w:val="16"/>
        </w:rPr>
      </w:pPr>
    </w:p>
    <w:p w14:paraId="6D06C22E" w14:textId="77777777" w:rsidR="00695812" w:rsidRDefault="0066752C" w:rsidP="00A254D0">
      <w:pPr>
        <w:pStyle w:val="Text1"/>
        <w:ind w:left="851"/>
      </w:pPr>
      <w:r>
        <w:rPr>
          <w:lang w:val="en-GB" w:eastAsia="en-GB"/>
        </w:rPr>
        <w:drawing>
          <wp:inline distT="0" distB="0" distL="0" distR="0" wp14:anchorId="59561955" wp14:editId="26C3EDA5">
            <wp:extent cx="5347970" cy="3398460"/>
            <wp:effectExtent l="0" t="0" r="5080" b="12065"/>
            <wp:docPr id="19460164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5D2CF5-D2DC-4F80-9866-8822C6F7F8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30B5288" w14:textId="25DEBD09" w:rsidR="004928C0" w:rsidRDefault="00CD1676" w:rsidP="00A254D0">
      <w:pPr>
        <w:pStyle w:val="Text1"/>
        <w:ind w:left="851"/>
      </w:pPr>
      <w:r>
        <w:rPr>
          <w:lang w:val="en-GB" w:eastAsia="en-GB"/>
        </w:rPr>
        <w:drawing>
          <wp:inline distT="0" distB="0" distL="0" distR="0" wp14:anchorId="77883ED5" wp14:editId="3CF10C89">
            <wp:extent cx="5408762" cy="3388995"/>
            <wp:effectExtent l="0" t="0" r="1905" b="1905"/>
            <wp:docPr id="7735470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218D7F-DF5F-4907-AFB7-75A137B254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1A94DBD" w14:textId="08831767" w:rsidR="00BC2DA2" w:rsidRDefault="00BC2DA2" w:rsidP="007E0E8A">
      <w:pPr>
        <w:pStyle w:val="Text1"/>
        <w:ind w:left="284"/>
        <w:jc w:val="left"/>
      </w:pPr>
    </w:p>
    <w:p w14:paraId="2F8B0BD6" w14:textId="2B2FE815" w:rsidR="00696124" w:rsidRDefault="00A05252" w:rsidP="001D07EE">
      <w:pPr>
        <w:pStyle w:val="Text1"/>
        <w:ind w:left="851"/>
      </w:pPr>
      <w:r>
        <w:rPr>
          <w:lang w:val="en-GB" w:eastAsia="en-GB"/>
        </w:rPr>
        <w:drawing>
          <wp:inline distT="0" distB="0" distL="0" distR="0" wp14:anchorId="66D9065A" wp14:editId="08BE49AE">
            <wp:extent cx="5462270" cy="3666226"/>
            <wp:effectExtent l="0" t="0" r="5080" b="10795"/>
            <wp:docPr id="20434245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D934C8-45EF-4EA8-A129-4DBD182F80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CD651E8" w14:textId="409B5831" w:rsidR="00696119" w:rsidRDefault="00696119" w:rsidP="00A254D0">
      <w:pPr>
        <w:pStyle w:val="Text1"/>
        <w:ind w:left="851"/>
      </w:pPr>
    </w:p>
    <w:p w14:paraId="424937B7" w14:textId="757CB3CD" w:rsidR="00423A61" w:rsidRDefault="00D727D1" w:rsidP="001D07EE">
      <w:pPr>
        <w:pStyle w:val="Text1"/>
        <w:ind w:left="851"/>
      </w:pPr>
      <w:r>
        <w:rPr>
          <w:lang w:val="en-GB" w:eastAsia="en-GB"/>
        </w:rPr>
        <w:drawing>
          <wp:inline distT="0" distB="0" distL="0" distR="0" wp14:anchorId="00F0E023" wp14:editId="3578C725">
            <wp:extent cx="5448300" cy="3364230"/>
            <wp:effectExtent l="0" t="0" r="0" b="7620"/>
            <wp:docPr id="19167060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19CCBF-4431-439B-9973-16B4FE576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670B588" w14:textId="77777777" w:rsidR="00474081" w:rsidRDefault="00474081" w:rsidP="00686BE5">
      <w:pPr>
        <w:pStyle w:val="Text1"/>
        <w:ind w:left="851"/>
      </w:pPr>
    </w:p>
    <w:p w14:paraId="5EBB9197" w14:textId="2B6FBA3A" w:rsidR="00AB4DB3" w:rsidRPr="00E02A5F" w:rsidRDefault="7E197CE2" w:rsidP="00686BE5">
      <w:pPr>
        <w:pStyle w:val="Text1"/>
        <w:ind w:left="851"/>
      </w:pPr>
      <w:r>
        <w:t>Szczegółowe informacje dotyczące wykonania budżetu przez państwa członkowskie</w:t>
      </w:r>
      <w:r w:rsidR="00342B21">
        <w:t xml:space="preserve"> w pod</w:t>
      </w:r>
      <w:r>
        <w:t>ziale na obszary polityki oraz wykorzystania dochodów przeznaczonych na określony cel można znaleźć</w:t>
      </w:r>
      <w:r w:rsidR="00342B21">
        <w:t xml:space="preserve"> w zał</w:t>
      </w:r>
      <w:r>
        <w:t>ącznikach 14–18.</w:t>
      </w:r>
    </w:p>
    <w:p w14:paraId="5048EE7D" w14:textId="6028E422" w:rsidR="00A44A15" w:rsidRPr="00687990" w:rsidRDefault="00783DE4" w:rsidP="00687990">
      <w:pPr>
        <w:pStyle w:val="ManualHeading1"/>
        <w:spacing w:after="160"/>
        <w:ind w:left="851" w:hanging="851"/>
        <w:rPr>
          <w:noProof/>
        </w:rPr>
      </w:pPr>
      <w:bookmarkStart w:id="45" w:name="DQC4262"/>
      <w:bookmarkStart w:id="46" w:name="DQC4263"/>
      <w:bookmarkStart w:id="47" w:name="_Toc322938639"/>
      <w:bookmarkStart w:id="48" w:name="_Toc102661874"/>
      <w:bookmarkStart w:id="49" w:name="_Toc105773228"/>
      <w:bookmarkStart w:id="50" w:name="_Toc139622280"/>
      <w:bookmarkStart w:id="51" w:name="_Toc176966481"/>
      <w:bookmarkEnd w:id="45"/>
      <w:bookmarkEnd w:id="46"/>
      <w:r>
        <w:rPr>
          <w:noProof/>
        </w:rPr>
        <w:t>4.</w:t>
      </w:r>
      <w:r>
        <w:rPr>
          <w:noProof/>
        </w:rPr>
        <w:tab/>
        <w:t>ŚRODKI KONTROLI</w:t>
      </w:r>
      <w:bookmarkEnd w:id="47"/>
      <w:bookmarkEnd w:id="48"/>
      <w:bookmarkEnd w:id="49"/>
      <w:bookmarkEnd w:id="50"/>
      <w:bookmarkEnd w:id="51"/>
      <w:r>
        <w:rPr>
          <w:noProof/>
        </w:rPr>
        <w:t xml:space="preserve"> </w:t>
      </w:r>
    </w:p>
    <w:p w14:paraId="18F205DB" w14:textId="63F4130F" w:rsidR="00A44A15" w:rsidRDefault="0003316B" w:rsidP="00C441FB">
      <w:pPr>
        <w:pStyle w:val="ManualHeading2"/>
        <w:spacing w:after="160"/>
        <w:ind w:left="851" w:hanging="851"/>
        <w:rPr>
          <w:noProof/>
        </w:rPr>
      </w:pPr>
      <w:bookmarkStart w:id="52" w:name="_Toc322938640"/>
      <w:bookmarkStart w:id="53" w:name="_Toc102661875"/>
      <w:bookmarkStart w:id="54" w:name="_Toc105773229"/>
      <w:bookmarkStart w:id="55" w:name="_Toc139622281"/>
      <w:bookmarkStart w:id="56" w:name="_Toc176966482"/>
      <w:r>
        <w:rPr>
          <w:noProof/>
        </w:rPr>
        <w:t>4.1.</w:t>
      </w:r>
      <w:r>
        <w:rPr>
          <w:noProof/>
        </w:rPr>
        <w:tab/>
        <w:t>Wprowadzenie</w:t>
      </w:r>
      <w:bookmarkEnd w:id="52"/>
      <w:bookmarkEnd w:id="53"/>
      <w:bookmarkEnd w:id="54"/>
      <w:bookmarkEnd w:id="55"/>
      <w:bookmarkEnd w:id="56"/>
    </w:p>
    <w:p w14:paraId="17D7713C" w14:textId="6E7EC18D" w:rsidR="00A44A15" w:rsidRDefault="00A44A15" w:rsidP="00A44A15">
      <w:pPr>
        <w:pStyle w:val="Text1"/>
      </w:pPr>
      <w:r>
        <w:t>Zgodnie</w:t>
      </w:r>
      <w:r w:rsidR="00342B21">
        <w:t xml:space="preserve"> z prz</w:t>
      </w:r>
      <w:r>
        <w:t>episami UE</w:t>
      </w:r>
      <w:r w:rsidR="00342B21">
        <w:t xml:space="preserve"> i pod</w:t>
      </w:r>
      <w:r>
        <w:t>obnie jak</w:t>
      </w:r>
      <w:r w:rsidR="00342B21">
        <w:t xml:space="preserve"> w pop</w:t>
      </w:r>
      <w:r>
        <w:t>rzednich latach wydatki na rolnictwo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zostały objęte kompleksowym systemem środków kontroli.</w:t>
      </w:r>
    </w:p>
    <w:p w14:paraId="3F1FD9FF" w14:textId="0E9A3462" w:rsidR="00A44A15" w:rsidRDefault="00A44A15" w:rsidP="00A44A15">
      <w:pPr>
        <w:pStyle w:val="Text1"/>
      </w:pPr>
      <w:r>
        <w:t>Kontrole są przeprowadzane przez agencje płatnicze lub jednostki delegowane działające pod ich nadzorem,</w:t>
      </w:r>
      <w:r w:rsidR="00342B21">
        <w:t xml:space="preserve"> a w prz</w:t>
      </w:r>
      <w:r>
        <w:t>ypadku stwierdzenia niezgodności</w:t>
      </w:r>
      <w:r w:rsidR="00342B21">
        <w:t xml:space="preserve"> z prz</w:t>
      </w:r>
      <w:r>
        <w:t>episami UE nakładane są skuteczne, odstraszające</w:t>
      </w:r>
      <w:r w:rsidR="00342B21">
        <w:t xml:space="preserve"> i pro</w:t>
      </w:r>
      <w:r>
        <w:t>porcjonalne sankcje. Ponadto</w:t>
      </w:r>
      <w:r w:rsidR="00342B21">
        <w:t xml:space="preserve"> w prz</w:t>
      </w:r>
      <w:r>
        <w:t>ypadku większości systemów, które nie podlegają zintegrowanemu systemowi zarządzania</w:t>
      </w:r>
      <w:r w:rsidR="00342B21">
        <w:t xml:space="preserve"> i kon</w:t>
      </w:r>
      <w:r>
        <w:t>troli, poza kontrolami na pierwszym</w:t>
      </w:r>
      <w:r w:rsidR="00342B21">
        <w:t xml:space="preserve"> i dru</w:t>
      </w:r>
      <w:r>
        <w:t xml:space="preserve">gim szczeblu należy również przeprowadzić kontrole </w:t>
      </w:r>
      <w:r>
        <w:rPr>
          <w:i/>
        </w:rPr>
        <w:t>ex post</w:t>
      </w:r>
      <w:r>
        <w:t>.</w:t>
      </w:r>
    </w:p>
    <w:p w14:paraId="43FAE540" w14:textId="61E0AC4B" w:rsidR="00A44A15" w:rsidRDefault="0003316B" w:rsidP="00C441FB">
      <w:pPr>
        <w:pStyle w:val="ManualHeading2"/>
        <w:spacing w:before="360" w:after="160"/>
        <w:ind w:left="851" w:hanging="851"/>
        <w:rPr>
          <w:noProof/>
        </w:rPr>
      </w:pPr>
      <w:bookmarkStart w:id="57" w:name="_Toc322938641"/>
      <w:bookmarkStart w:id="58" w:name="_Toc102661876"/>
      <w:bookmarkStart w:id="59" w:name="_Toc105773230"/>
      <w:bookmarkStart w:id="60" w:name="_Toc139622282"/>
      <w:bookmarkStart w:id="61" w:name="_Toc176966483"/>
      <w:r>
        <w:rPr>
          <w:noProof/>
        </w:rPr>
        <w:t>4.2.</w:t>
      </w:r>
      <w:r>
        <w:rPr>
          <w:noProof/>
        </w:rPr>
        <w:tab/>
        <w:t>Zintegrowany system zarządzania</w:t>
      </w:r>
      <w:r w:rsidR="00342B21">
        <w:rPr>
          <w:noProof/>
        </w:rPr>
        <w:t xml:space="preserve"> i kon</w:t>
      </w:r>
      <w:r>
        <w:rPr>
          <w:noProof/>
        </w:rPr>
        <w:t>troli (ZSZiK)</w:t>
      </w:r>
      <w:bookmarkEnd w:id="57"/>
      <w:bookmarkEnd w:id="58"/>
      <w:bookmarkEnd w:id="59"/>
      <w:bookmarkEnd w:id="60"/>
      <w:bookmarkEnd w:id="61"/>
    </w:p>
    <w:p w14:paraId="0B39AB62" w14:textId="74EE31C8" w:rsidR="00A44A15" w:rsidRDefault="00A44A15" w:rsidP="00A44A15">
      <w:pPr>
        <w:pStyle w:val="Text1"/>
      </w:pPr>
      <w:r>
        <w:t>Przepisy dotyczące ZSZiK zawarto</w:t>
      </w:r>
      <w:r w:rsidR="00342B21">
        <w:t xml:space="preserve"> w roz</w:t>
      </w:r>
      <w:r>
        <w:t xml:space="preserve">porządzeniu (UE) </w:t>
      </w:r>
      <w:r w:rsidRPr="00342B21">
        <w:t>nr</w:t>
      </w:r>
      <w:r w:rsidR="00342B21" w:rsidRPr="00342B21">
        <w:t> </w:t>
      </w:r>
      <w:r w:rsidRPr="00342B21">
        <w:t>1</w:t>
      </w:r>
      <w:r>
        <w:t xml:space="preserve">306/2013, rozporządzeniu (UE) 2021/2116, rozporządzeniu delegowanym Komisji (UE) </w:t>
      </w:r>
      <w:r w:rsidRPr="00342B21">
        <w:t>nr</w:t>
      </w:r>
      <w:r w:rsidR="00342B21" w:rsidRPr="00342B21">
        <w:t> </w:t>
      </w:r>
      <w:r w:rsidRPr="00342B21">
        <w:t>6</w:t>
      </w:r>
      <w:r>
        <w:t>40/2014</w:t>
      </w:r>
      <w:r>
        <w:rPr>
          <w:vertAlign w:val="superscript"/>
        </w:rPr>
        <w:footnoteReference w:id="9"/>
      </w:r>
      <w:r>
        <w:rPr>
          <w:vertAlign w:val="superscript"/>
        </w:rPr>
        <w:t xml:space="preserve"> </w:t>
      </w:r>
      <w:r>
        <w:t xml:space="preserve">oraz rozporządzeniu wykonawczym Komisji (UE) </w:t>
      </w:r>
      <w:r w:rsidRPr="00342B21">
        <w:t>nr</w:t>
      </w:r>
      <w:r w:rsidR="00342B21" w:rsidRPr="00342B21">
        <w:t> </w:t>
      </w:r>
      <w:r w:rsidRPr="00342B21">
        <w:t>8</w:t>
      </w:r>
      <w:r>
        <w:t>09/2014</w:t>
      </w:r>
      <w:r>
        <w:rPr>
          <w:rStyle w:val="FootnoteReference"/>
        </w:rPr>
        <w:footnoteReference w:id="10"/>
      </w:r>
      <w:r>
        <w:t>.</w:t>
      </w:r>
    </w:p>
    <w:p w14:paraId="3E708DFE" w14:textId="0DD6234D" w:rsidR="00A44A15" w:rsidRDefault="018C3584" w:rsidP="00A44A15">
      <w:pPr>
        <w:pStyle w:val="Text1"/>
      </w:pPr>
      <w:r>
        <w:t>Roczne sprawozdanie</w:t>
      </w:r>
      <w:r w:rsidR="00342B21">
        <w:t xml:space="preserve"> z dzi</w:t>
      </w:r>
      <w:r>
        <w:t>ałalności DG ds. Rolnictwa</w:t>
      </w:r>
      <w:r w:rsidR="00342B21">
        <w:t xml:space="preserve"> i Roz</w:t>
      </w:r>
      <w:r>
        <w:t>woju Obszarów Wiejskich</w:t>
      </w:r>
      <w:r>
        <w:rPr>
          <w:vertAlign w:val="superscript"/>
        </w:rPr>
        <w:footnoteReference w:id="11"/>
      </w:r>
      <w:r>
        <w:t xml:space="preserve"> </w:t>
      </w:r>
      <w:r w:rsidRPr="00342B21">
        <w:t>za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zawiera szczegółowe informacje na temat wydatków objętych ZSZiK</w:t>
      </w:r>
      <w:r w:rsidR="00342B21">
        <w:t xml:space="preserve"> w zał</w:t>
      </w:r>
      <w:r>
        <w:t>ączniku 7, część 1, poziom 2 (s. 122): „Szczegółowe systemy kontroli przed dokonaniem płatności</w:t>
      </w:r>
      <w:r w:rsidR="00342B21">
        <w:t xml:space="preserve"> i ods</w:t>
      </w:r>
      <w:r>
        <w:t>traszające kary”. Odpowiednie elementy ZSZiK mają również zastosowanie do środków dotyczących rozwoju obszarów wiejskich, których podstawę stanowi obszar lub liczba zwierząt. Takie środki obejmują między innymi środki rolnośrodowiskowe</w:t>
      </w:r>
      <w:r w:rsidR="00342B21">
        <w:t xml:space="preserve"> i dzi</w:t>
      </w:r>
      <w:r>
        <w:t>ałania dotyczące dobrostanu zwierząt, obszary</w:t>
      </w:r>
      <w:r w:rsidR="00342B21">
        <w:t xml:space="preserve"> o nie</w:t>
      </w:r>
      <w:r>
        <w:t>korzystnych warunkach gospodarowania</w:t>
      </w:r>
      <w:r w:rsidR="00342B21">
        <w:t xml:space="preserve"> i obs</w:t>
      </w:r>
      <w:r>
        <w:t>zary, na których występują ograniczenia</w:t>
      </w:r>
      <w:r w:rsidR="00342B21">
        <w:t xml:space="preserve"> w zak</w:t>
      </w:r>
      <w:r>
        <w:t>resie ochrony środowiska,</w:t>
      </w:r>
      <w:r w:rsidR="00342B21">
        <w:t xml:space="preserve"> a tak</w:t>
      </w:r>
      <w:r>
        <w:t xml:space="preserve">że zalesianie użytków rolnych. </w:t>
      </w:r>
    </w:p>
    <w:p w14:paraId="7F04165F" w14:textId="6B5B5A24" w:rsidR="00D455C3" w:rsidRDefault="0003316B" w:rsidP="00C441FB">
      <w:pPr>
        <w:pStyle w:val="ManualHeading2"/>
        <w:spacing w:after="160"/>
        <w:ind w:left="851" w:hanging="851"/>
        <w:rPr>
          <w:noProof/>
        </w:rPr>
      </w:pPr>
      <w:bookmarkStart w:id="62" w:name="_Toc139622283"/>
      <w:bookmarkStart w:id="63" w:name="_Toc176966484"/>
      <w:r>
        <w:rPr>
          <w:noProof/>
        </w:rPr>
        <w:t>4.3</w:t>
      </w:r>
      <w:r>
        <w:rPr>
          <w:noProof/>
        </w:rPr>
        <w:tab/>
      </w:r>
      <w:bookmarkStart w:id="64" w:name="_Hlk169880891"/>
      <w:r>
        <w:rPr>
          <w:noProof/>
        </w:rPr>
        <w:t xml:space="preserve">Stosowanie tytułu V rozdział III rozporządzenia (UE) </w:t>
      </w:r>
      <w:r w:rsidRPr="00342B21">
        <w:rPr>
          <w:noProof/>
        </w:rPr>
        <w:t>nr</w:t>
      </w:r>
      <w:r w:rsidR="00342B21" w:rsidRPr="00342B21">
        <w:rPr>
          <w:noProof/>
        </w:rPr>
        <w:t> </w:t>
      </w:r>
      <w:r w:rsidRPr="00342B21">
        <w:rPr>
          <w:noProof/>
        </w:rPr>
        <w:t>1</w:t>
      </w:r>
      <w:r>
        <w:rPr>
          <w:noProof/>
        </w:rPr>
        <w:t>306/2013</w:t>
      </w:r>
      <w:r w:rsidR="00342B21">
        <w:rPr>
          <w:noProof/>
        </w:rPr>
        <w:t xml:space="preserve"> i tyt</w:t>
      </w:r>
      <w:r>
        <w:rPr>
          <w:noProof/>
        </w:rPr>
        <w:t>ułu IV rozdział III rozporządzenia (UE) 2021/2116 (kontrola transakcji)</w:t>
      </w:r>
      <w:bookmarkEnd w:id="62"/>
      <w:bookmarkEnd w:id="63"/>
    </w:p>
    <w:p w14:paraId="5ADB3731" w14:textId="18DBB99E" w:rsidR="00D455C3" w:rsidRDefault="00D455C3" w:rsidP="00D455C3">
      <w:pPr>
        <w:pStyle w:val="Text1"/>
      </w:pPr>
      <w:r>
        <w:t>W 20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stosowano system kontroli transakcji przewidziany</w:t>
      </w:r>
      <w:r w:rsidR="00342B21">
        <w:t xml:space="preserve"> w tyt</w:t>
      </w:r>
      <w:r>
        <w:t xml:space="preserve">ule V rozdział III rozporządzenia (UE) </w:t>
      </w:r>
      <w:r w:rsidRPr="00342B21">
        <w:t>nr</w:t>
      </w:r>
      <w:r w:rsidR="00342B21" w:rsidRPr="00342B21">
        <w:t> </w:t>
      </w:r>
      <w:r w:rsidRPr="00342B21">
        <w:t>1</w:t>
      </w:r>
      <w:r>
        <w:t>306/2013</w:t>
      </w:r>
      <w:r w:rsidR="00342B21">
        <w:t xml:space="preserve"> i tyt</w:t>
      </w:r>
      <w:r>
        <w:t xml:space="preserve">ule IV rozdział III rozporządzenia (UE) 2021/2116. Obejmował on system kontroli </w:t>
      </w:r>
      <w:r>
        <w:rPr>
          <w:i/>
        </w:rPr>
        <w:t>ex post</w:t>
      </w:r>
      <w:r>
        <w:t xml:space="preserve"> uzupełniający opisane powyżej sektorowe systemy kontroli. </w:t>
      </w:r>
    </w:p>
    <w:p w14:paraId="26E1363C" w14:textId="3CA5413D" w:rsidR="00D455C3" w:rsidRDefault="52207C1E" w:rsidP="00D455C3">
      <w:pPr>
        <w:pStyle w:val="Text1"/>
      </w:pPr>
      <w:bookmarkStart w:id="65" w:name="_Hlk169880845"/>
      <w:r>
        <w:t>W 20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służby kontrolne państw członkowskich zakończyły kontrole dotyczące operacji, na rzecz których dokonano płatności</w:t>
      </w:r>
      <w:r w:rsidR="00342B21">
        <w:t xml:space="preserve"> w rok</w:t>
      </w:r>
      <w:r>
        <w:t>u budżetowym 2021. Ze sprawozdań rocznych dotyczących odpowiedniego okresu kontroli (od lipca 20</w:t>
      </w:r>
      <w:r w:rsidRPr="00342B21">
        <w:t>22</w:t>
      </w:r>
      <w:r w:rsidR="00342B21" w:rsidRPr="00342B21">
        <w:t> </w:t>
      </w:r>
      <w:r w:rsidRPr="00342B21">
        <w:t>r.</w:t>
      </w:r>
      <w:r>
        <w:t xml:space="preserve"> do czerwca 20</w:t>
      </w:r>
      <w:r w:rsidRPr="00342B21">
        <w:t>23</w:t>
      </w:r>
      <w:r w:rsidR="00342B21" w:rsidRPr="00342B21">
        <w:t> </w:t>
      </w:r>
      <w:r w:rsidRPr="00342B21">
        <w:t>r.</w:t>
      </w:r>
      <w:r>
        <w:t>) wynika, że na koniec okresu sprawozdawczego dotyczącego kontroli państwa członkowskie zakończyły 8</w:t>
      </w:r>
      <w:r w:rsidRPr="00342B21">
        <w:t>6</w:t>
      </w:r>
      <w:r w:rsidR="00342B21" w:rsidRPr="00342B21">
        <w:t> </w:t>
      </w:r>
      <w:r w:rsidRPr="00342B21">
        <w:t>%</w:t>
      </w:r>
      <w:r>
        <w:t xml:space="preserve"> planowanych kontroli</w:t>
      </w:r>
      <w:bookmarkEnd w:id="65"/>
      <w:r>
        <w:t xml:space="preserve">. Odsetek nieprawidłowości tych zakończonych kontroli wynosi 2,2 %. </w:t>
      </w:r>
    </w:p>
    <w:p w14:paraId="28EA50B3" w14:textId="36F4DFCA" w:rsidR="00A44A15" w:rsidRDefault="0003316B" w:rsidP="00B36033">
      <w:pPr>
        <w:pStyle w:val="ManualHeading1"/>
        <w:spacing w:after="160"/>
        <w:ind w:left="851" w:hanging="851"/>
        <w:rPr>
          <w:noProof/>
        </w:rPr>
      </w:pPr>
      <w:bookmarkStart w:id="66" w:name="_Toc322938644"/>
      <w:bookmarkStart w:id="67" w:name="_Toc102661879"/>
      <w:bookmarkStart w:id="68" w:name="_Toc105773233"/>
      <w:bookmarkStart w:id="69" w:name="_Toc139622284"/>
      <w:bookmarkStart w:id="70" w:name="_Toc176966485"/>
      <w:bookmarkEnd w:id="64"/>
      <w:r>
        <w:rPr>
          <w:noProof/>
        </w:rPr>
        <w:t>5.</w:t>
      </w:r>
      <w:r>
        <w:rPr>
          <w:noProof/>
        </w:rPr>
        <w:tab/>
        <w:t>ROZLICZENIE RACHUNKÓW</w:t>
      </w:r>
      <w:bookmarkEnd w:id="66"/>
      <w:bookmarkEnd w:id="67"/>
      <w:bookmarkEnd w:id="68"/>
      <w:bookmarkEnd w:id="69"/>
      <w:bookmarkEnd w:id="70"/>
      <w:r>
        <w:rPr>
          <w:noProof/>
        </w:rPr>
        <w:t xml:space="preserve"> </w:t>
      </w:r>
    </w:p>
    <w:p w14:paraId="40269FA5" w14:textId="4EEFCDB9" w:rsidR="00A44A15" w:rsidRDefault="0003316B" w:rsidP="00C441FB">
      <w:pPr>
        <w:pStyle w:val="ManualHeading2"/>
        <w:spacing w:after="160"/>
        <w:ind w:left="851" w:hanging="851"/>
        <w:rPr>
          <w:noProof/>
        </w:rPr>
      </w:pPr>
      <w:bookmarkStart w:id="71" w:name="_Toc102661880"/>
      <w:bookmarkStart w:id="72" w:name="_Toc105773234"/>
      <w:bookmarkStart w:id="73" w:name="_Toc139622285"/>
      <w:bookmarkStart w:id="74" w:name="_Toc176966486"/>
      <w:bookmarkStart w:id="75" w:name="_Toc322938645"/>
      <w:r>
        <w:rPr>
          <w:noProof/>
        </w:rPr>
        <w:t>5.1</w:t>
      </w:r>
      <w:r>
        <w:rPr>
          <w:noProof/>
        </w:rPr>
        <w:tab/>
        <w:t>Kontrola zgodności rozliczeń</w:t>
      </w:r>
      <w:bookmarkEnd w:id="71"/>
      <w:bookmarkEnd w:id="72"/>
      <w:bookmarkEnd w:id="73"/>
      <w:bookmarkEnd w:id="74"/>
    </w:p>
    <w:bookmarkEnd w:id="75"/>
    <w:p w14:paraId="0E0B6BD3" w14:textId="1A029EAD" w:rsidR="00A44A15" w:rsidRDefault="00A44A15" w:rsidP="00A44A15">
      <w:pPr>
        <w:pStyle w:val="Text1"/>
      </w:pPr>
      <w:r>
        <w:t>Zapewnienie, aby transakcje były przeprowadzane prawidłowo za pomocą systemu kontroli</w:t>
      </w:r>
      <w:r w:rsidR="00342B21">
        <w:t xml:space="preserve"> i ods</w:t>
      </w:r>
      <w:r>
        <w:t>traszających sankcji, należy przede wszystkim do obowiązków państw członkowskich</w:t>
      </w:r>
      <w:r w:rsidR="00342B21">
        <w:t>. W prz</w:t>
      </w:r>
      <w:r>
        <w:t>ypadku gdy państwa członkowskie nie spełniają tego wymogu, Komisja stosuje korekty finansowe, aby chronić interesy finansowe UE.</w:t>
      </w:r>
    </w:p>
    <w:p w14:paraId="67342CDB" w14:textId="59F19302" w:rsidR="00967284" w:rsidRDefault="00A44A15" w:rsidP="003B653A">
      <w:pPr>
        <w:pStyle w:val="Text1"/>
      </w:pPr>
      <w:r>
        <w:t>Kontrola zgodności rozliczeń</w:t>
      </w:r>
      <w:r w:rsidR="00342B21">
        <w:t xml:space="preserve"> w ram</w:t>
      </w:r>
      <w:r>
        <w:t>ach WPR mająca zastosowanie</w:t>
      </w:r>
      <w:r w:rsidR="00342B21">
        <w:t xml:space="preserve"> w rok</w:t>
      </w:r>
      <w:r>
        <w:t>u budżetowym 2023 dotyczy legalności</w:t>
      </w:r>
      <w:r w:rsidR="00342B21">
        <w:t xml:space="preserve"> i pra</w:t>
      </w:r>
      <w:r>
        <w:t>widłowości transakcji. Ma ona na celu wyłączenie</w:t>
      </w:r>
      <w:r w:rsidR="00342B21">
        <w:t xml:space="preserve"> z fin</w:t>
      </w:r>
      <w:r>
        <w:t>ansowania UE wydatków, które nie zostały dokonane zgodnie</w:t>
      </w:r>
      <w:r w:rsidR="00342B21">
        <w:t xml:space="preserve"> z prz</w:t>
      </w:r>
      <w:r>
        <w:t xml:space="preserve">episami UE. </w:t>
      </w:r>
    </w:p>
    <w:p w14:paraId="2505E905" w14:textId="6157D27C" w:rsidR="00BB25C3" w:rsidRDefault="21FF0806" w:rsidP="00BB25C3">
      <w:pPr>
        <w:pStyle w:val="Text1"/>
      </w:pPr>
      <w:bookmarkStart w:id="76" w:name="_Toc322938648"/>
      <w:r>
        <w:t>Szczegółowe informacje na temat audytów przeprowadzonych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można znaleźć</w:t>
      </w:r>
      <w:r w:rsidR="00342B21">
        <w:t xml:space="preserve"> w tab</w:t>
      </w:r>
      <w:r>
        <w:t>eli 2.1.1.2.2-9</w:t>
      </w:r>
      <w:r w:rsidR="00342B21">
        <w:t xml:space="preserve"> w roc</w:t>
      </w:r>
      <w:r>
        <w:t>znym sprawozdaniu</w:t>
      </w:r>
      <w:r w:rsidR="00342B21">
        <w:t xml:space="preserve"> z dzi</w:t>
      </w:r>
      <w:r>
        <w:t>ałalności (s. 48).</w:t>
      </w:r>
    </w:p>
    <w:bookmarkEnd w:id="76"/>
    <w:p w14:paraId="6EC91DAF" w14:textId="4D8F1C5D" w:rsidR="00A10E32" w:rsidRDefault="402FC95F" w:rsidP="001C1B70">
      <w:pPr>
        <w:pStyle w:val="Text1"/>
      </w:pPr>
      <w:r>
        <w:t>Decyzje</w:t>
      </w:r>
      <w:r w:rsidR="00342B21">
        <w:t xml:space="preserve"> w spr</w:t>
      </w:r>
      <w:r>
        <w:t>awie kontroli zgodności rozliczeń przyjęte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>,</w:t>
      </w:r>
      <w:r w:rsidR="00342B21">
        <w:t xml:space="preserve"> w tym</w:t>
      </w:r>
      <w:r>
        <w:t xml:space="preserve"> dotyczące korekt finansowych</w:t>
      </w:r>
      <w:r w:rsidR="00342B21">
        <w:t xml:space="preserve"> w kil</w:t>
      </w:r>
      <w:r>
        <w:t>ku sektorach, wyszczególniono</w:t>
      </w:r>
      <w:r w:rsidR="00342B21">
        <w:t xml:space="preserve"> w tab</w:t>
      </w:r>
      <w:r>
        <w:t>eli 2.1.1.3.1-1</w:t>
      </w:r>
      <w:r w:rsidR="00342B21">
        <w:t xml:space="preserve"> w roc</w:t>
      </w:r>
      <w:r>
        <w:t>znym sprawozdaniu</w:t>
      </w:r>
      <w:r w:rsidR="00342B21">
        <w:t xml:space="preserve"> z dzi</w:t>
      </w:r>
      <w:r>
        <w:t>ałalności (s. 59).</w:t>
      </w:r>
    </w:p>
    <w:p w14:paraId="3484BD9C" w14:textId="20C503FF" w:rsidR="00A44A15" w:rsidRDefault="00245FCD" w:rsidP="001C1B70">
      <w:pPr>
        <w:pStyle w:val="Text1"/>
      </w:pPr>
      <w:r>
        <w:t>Decyzje</w:t>
      </w:r>
      <w:r w:rsidR="00342B21">
        <w:t xml:space="preserve"> w spr</w:t>
      </w:r>
      <w:r>
        <w:t xml:space="preserve">awie rozliczeń mające wpływ finansowy na budżet </w:t>
      </w:r>
      <w:r w:rsidRPr="00342B21">
        <w:t>na</w:t>
      </w:r>
      <w:r w:rsidR="00342B21" w:rsidRPr="00342B21">
        <w:t> </w:t>
      </w:r>
      <w:r w:rsidRPr="00342B21">
        <w:t>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obejmowały również wykonanie szeregu wyroków Trybunału Sprawiedliwości Unii Europejskiej na korzyść państw członkowskich</w:t>
      </w:r>
      <w:r w:rsidR="00342B21">
        <w:t>. W zwi</w:t>
      </w:r>
      <w:r>
        <w:t>ązku</w:t>
      </w:r>
      <w:r w:rsidR="00342B21">
        <w:t xml:space="preserve"> z tym</w:t>
      </w:r>
      <w:r>
        <w:t xml:space="preserve"> całkowity wpływ finansowy funduszy wyniósł 261,8 mln EUR na rzecz EFRG</w:t>
      </w:r>
      <w:r w:rsidR="00342B21">
        <w:t xml:space="preserve"> i 1</w:t>
      </w:r>
      <w:r>
        <w:t>24,4 mln EUR na rzecz EFRROW.</w:t>
      </w:r>
    </w:p>
    <w:p w14:paraId="636AC709" w14:textId="1091A3A5" w:rsidR="00A44A15" w:rsidRDefault="00A44A15" w:rsidP="00A44A15">
      <w:pPr>
        <w:pStyle w:val="ListBullet1"/>
        <w:rPr>
          <w:noProof/>
        </w:rPr>
      </w:pPr>
      <w:r>
        <w:rPr>
          <w:noProof/>
        </w:rPr>
        <w:t>Decyzja (UE) 2022/2261</w:t>
      </w:r>
      <w:r w:rsidR="00342B21">
        <w:rPr>
          <w:noProof/>
        </w:rPr>
        <w:t xml:space="preserve"> z dni</w:t>
      </w:r>
      <w:r>
        <w:rPr>
          <w:noProof/>
        </w:rPr>
        <w:t>a 11 listopada 20</w:t>
      </w:r>
      <w:r w:rsidRPr="00342B21">
        <w:rPr>
          <w:noProof/>
        </w:rPr>
        <w:t>22</w:t>
      </w:r>
      <w:r w:rsidR="00342B21" w:rsidRPr="00342B21">
        <w:rPr>
          <w:noProof/>
        </w:rPr>
        <w:t> </w:t>
      </w:r>
      <w:r w:rsidRPr="00342B21">
        <w:rPr>
          <w:noProof/>
        </w:rPr>
        <w:t>r.</w:t>
      </w:r>
      <w:r>
        <w:rPr>
          <w:noProof/>
        </w:rPr>
        <w:t xml:space="preserve"> – decyzja </w:t>
      </w:r>
      <w:r>
        <w:rPr>
          <w:i/>
          <w:iCs/>
          <w:noProof/>
        </w:rPr>
        <w:t>ad hoc</w:t>
      </w:r>
      <w:r>
        <w:rPr>
          <w:noProof/>
        </w:rPr>
        <w:t xml:space="preserve"> </w:t>
      </w:r>
      <w:r w:rsidRPr="00342B21">
        <w:rPr>
          <w:noProof/>
        </w:rPr>
        <w:t>nr</w:t>
      </w:r>
      <w:r w:rsidR="00342B21" w:rsidRPr="00342B21">
        <w:rPr>
          <w:noProof/>
        </w:rPr>
        <w:t> </w:t>
      </w:r>
      <w:r w:rsidRPr="00342B21">
        <w:rPr>
          <w:noProof/>
        </w:rPr>
        <w:t>7</w:t>
      </w:r>
      <w:r>
        <w:rPr>
          <w:noProof/>
        </w:rPr>
        <w:t>0</w:t>
      </w:r>
      <w:r w:rsidR="00342B21">
        <w:rPr>
          <w:noProof/>
        </w:rPr>
        <w:t xml:space="preserve"> z zat</w:t>
      </w:r>
      <w:r>
        <w:rPr>
          <w:noProof/>
        </w:rPr>
        <w:t>wierdzoną kwotą netto</w:t>
      </w:r>
      <w:r w:rsidR="00342B21">
        <w:rPr>
          <w:noProof/>
        </w:rPr>
        <w:t xml:space="preserve"> w wys</w:t>
      </w:r>
      <w:r>
        <w:rPr>
          <w:noProof/>
        </w:rPr>
        <w:t>okości 215,5 mln EUR na rzecz EFRG</w:t>
      </w:r>
      <w:r w:rsidR="00342B21">
        <w:rPr>
          <w:noProof/>
        </w:rPr>
        <w:t xml:space="preserve"> i 5</w:t>
      </w:r>
      <w:r>
        <w:rPr>
          <w:noProof/>
        </w:rPr>
        <w:t>5,2 mln EUR na rzecz EFRROW.</w:t>
      </w:r>
    </w:p>
    <w:p w14:paraId="12629B69" w14:textId="04FA5681" w:rsidR="00A44A15" w:rsidRDefault="00A44A15" w:rsidP="00A44A15">
      <w:pPr>
        <w:pStyle w:val="ListBullet1"/>
        <w:rPr>
          <w:noProof/>
        </w:rPr>
      </w:pPr>
      <w:r>
        <w:rPr>
          <w:noProof/>
        </w:rPr>
        <w:t>Decyzja (UE) 2022/2262</w:t>
      </w:r>
      <w:r w:rsidR="00342B21">
        <w:rPr>
          <w:noProof/>
        </w:rPr>
        <w:t xml:space="preserve"> z dni</w:t>
      </w:r>
      <w:r>
        <w:rPr>
          <w:noProof/>
        </w:rPr>
        <w:t>a 11 listopada 20</w:t>
      </w:r>
      <w:r w:rsidRPr="00342B21">
        <w:rPr>
          <w:noProof/>
        </w:rPr>
        <w:t>22</w:t>
      </w:r>
      <w:r w:rsidR="00342B21" w:rsidRPr="00342B21">
        <w:rPr>
          <w:noProof/>
        </w:rPr>
        <w:t> </w:t>
      </w:r>
      <w:r w:rsidRPr="00342B21">
        <w:rPr>
          <w:noProof/>
        </w:rPr>
        <w:t>r.</w:t>
      </w:r>
      <w:r>
        <w:rPr>
          <w:noProof/>
        </w:rPr>
        <w:t xml:space="preserve"> – decyzja </w:t>
      </w:r>
      <w:r>
        <w:rPr>
          <w:i/>
          <w:iCs/>
          <w:noProof/>
        </w:rPr>
        <w:t>ad hoc</w:t>
      </w:r>
      <w:r>
        <w:rPr>
          <w:noProof/>
        </w:rPr>
        <w:t xml:space="preserve"> </w:t>
      </w:r>
      <w:r w:rsidRPr="00342B21">
        <w:rPr>
          <w:noProof/>
        </w:rPr>
        <w:t>nr</w:t>
      </w:r>
      <w:r w:rsidR="00342B21" w:rsidRPr="00342B21">
        <w:rPr>
          <w:noProof/>
        </w:rPr>
        <w:t> </w:t>
      </w:r>
      <w:r w:rsidRPr="00342B21">
        <w:rPr>
          <w:noProof/>
        </w:rPr>
        <w:t>7</w:t>
      </w:r>
      <w:r>
        <w:rPr>
          <w:noProof/>
        </w:rPr>
        <w:t>0 dotycząca Zjednoczonego Królestwa mająca wpływ finansowy</w:t>
      </w:r>
      <w:r w:rsidR="00342B21">
        <w:rPr>
          <w:noProof/>
        </w:rPr>
        <w:t xml:space="preserve"> w wys</w:t>
      </w:r>
      <w:r>
        <w:rPr>
          <w:noProof/>
        </w:rPr>
        <w:t>okości 8,3 mln EUR na EFRG</w:t>
      </w:r>
      <w:r w:rsidR="00342B21">
        <w:rPr>
          <w:noProof/>
        </w:rPr>
        <w:t xml:space="preserve"> i 8</w:t>
      </w:r>
      <w:r>
        <w:rPr>
          <w:noProof/>
        </w:rPr>
        <w:t>,5 mln EUR na EFRROW.</w:t>
      </w:r>
    </w:p>
    <w:p w14:paraId="6BF0B746" w14:textId="5385F7D0" w:rsidR="00A44A15" w:rsidRDefault="00A44A15" w:rsidP="00A44A15">
      <w:pPr>
        <w:pStyle w:val="ListBullet1"/>
        <w:rPr>
          <w:noProof/>
        </w:rPr>
      </w:pPr>
      <w:r>
        <w:rPr>
          <w:noProof/>
        </w:rPr>
        <w:t>Decyzja (UE) 2023/1408</w:t>
      </w:r>
      <w:r w:rsidR="00342B21">
        <w:rPr>
          <w:noProof/>
        </w:rPr>
        <w:t xml:space="preserve"> z dni</w:t>
      </w:r>
      <w:r>
        <w:rPr>
          <w:noProof/>
        </w:rPr>
        <w:t>a 3 lipca 20</w:t>
      </w:r>
      <w:r w:rsidRPr="00342B21">
        <w:rPr>
          <w:noProof/>
        </w:rPr>
        <w:t>23</w:t>
      </w:r>
      <w:r w:rsidR="00342B21" w:rsidRPr="00342B21">
        <w:rPr>
          <w:noProof/>
        </w:rPr>
        <w:t> </w:t>
      </w:r>
      <w:r w:rsidRPr="00342B21">
        <w:rPr>
          <w:noProof/>
        </w:rPr>
        <w:t>r.</w:t>
      </w:r>
      <w:r>
        <w:rPr>
          <w:noProof/>
        </w:rPr>
        <w:t xml:space="preserve"> – decyzja </w:t>
      </w:r>
      <w:r>
        <w:rPr>
          <w:i/>
          <w:iCs/>
          <w:noProof/>
        </w:rPr>
        <w:t>ad hoc</w:t>
      </w:r>
      <w:r>
        <w:rPr>
          <w:noProof/>
        </w:rPr>
        <w:t xml:space="preserve"> </w:t>
      </w:r>
      <w:r w:rsidRPr="00342B21">
        <w:rPr>
          <w:noProof/>
        </w:rPr>
        <w:t>nr</w:t>
      </w:r>
      <w:r w:rsidR="00342B21" w:rsidRPr="00342B21">
        <w:rPr>
          <w:noProof/>
        </w:rPr>
        <w:t> </w:t>
      </w:r>
      <w:r w:rsidRPr="00342B21">
        <w:rPr>
          <w:noProof/>
        </w:rPr>
        <w:t>7</w:t>
      </w:r>
      <w:r>
        <w:rPr>
          <w:noProof/>
        </w:rPr>
        <w:t>1, mająca wpływ finansowy</w:t>
      </w:r>
      <w:r w:rsidR="00342B21">
        <w:rPr>
          <w:noProof/>
        </w:rPr>
        <w:t xml:space="preserve"> w wys</w:t>
      </w:r>
      <w:r>
        <w:rPr>
          <w:noProof/>
        </w:rPr>
        <w:t>okości 38,0 mln EUR na EFRG</w:t>
      </w:r>
      <w:r w:rsidR="00342B21">
        <w:rPr>
          <w:noProof/>
        </w:rPr>
        <w:t xml:space="preserve"> i 6</w:t>
      </w:r>
      <w:r>
        <w:rPr>
          <w:noProof/>
        </w:rPr>
        <w:t>0,7 mln EUR na EFRROW.</w:t>
      </w:r>
    </w:p>
    <w:p w14:paraId="54A378D5" w14:textId="0D65B7C6" w:rsidR="00A44A15" w:rsidRDefault="00A44A15" w:rsidP="00A44A15">
      <w:pPr>
        <w:pStyle w:val="ListBullet1"/>
        <w:numPr>
          <w:ilvl w:val="0"/>
          <w:numId w:val="0"/>
        </w:numPr>
        <w:ind w:left="851"/>
        <w:rPr>
          <w:noProof/>
        </w:rPr>
      </w:pPr>
      <w:r>
        <w:rPr>
          <w:noProof/>
        </w:rPr>
        <w:t xml:space="preserve">W przypadku </w:t>
      </w:r>
      <w:bookmarkStart w:id="77" w:name="_Hlk173175440"/>
      <w:r>
        <w:rPr>
          <w:noProof/>
        </w:rPr>
        <w:t>decyzji wykonawczej Komisji</w:t>
      </w:r>
      <w:bookmarkEnd w:id="77"/>
      <w:r>
        <w:rPr>
          <w:noProof/>
        </w:rPr>
        <w:t xml:space="preserve"> (UE) 2022/2261</w:t>
      </w:r>
      <w:r w:rsidR="00342B21">
        <w:rPr>
          <w:noProof/>
        </w:rPr>
        <w:t xml:space="preserve"> i dec</w:t>
      </w:r>
      <w:r>
        <w:rPr>
          <w:noProof/>
        </w:rPr>
        <w:t>yzji wykonawczej Komisji (UE) 2023/1408, ze względu na stosunkowo wysoką wartość korekt</w:t>
      </w:r>
      <w:r w:rsidR="00342B21">
        <w:rPr>
          <w:noProof/>
        </w:rPr>
        <w:t xml:space="preserve"> w por</w:t>
      </w:r>
      <w:r>
        <w:rPr>
          <w:noProof/>
        </w:rPr>
        <w:t>ównaniu</w:t>
      </w:r>
      <w:r w:rsidR="00342B21">
        <w:rPr>
          <w:noProof/>
        </w:rPr>
        <w:t xml:space="preserve"> z pro</w:t>
      </w:r>
      <w:r>
        <w:rPr>
          <w:noProof/>
        </w:rPr>
        <w:t>duktem krajowym brutto niektórych państw członkowskich, na wniosek zainteresowanych państw członkowskich Komisja podjęła decyzję, zgodnie</w:t>
      </w:r>
      <w:r w:rsidR="00342B21">
        <w:rPr>
          <w:noProof/>
        </w:rPr>
        <w:t xml:space="preserve"> z któ</w:t>
      </w:r>
      <w:r>
        <w:rPr>
          <w:noProof/>
        </w:rPr>
        <w:t>rą wymienione poniżej kwoty korekt mogą być uiszczone</w:t>
      </w:r>
      <w:r w:rsidR="00342B21">
        <w:rPr>
          <w:noProof/>
        </w:rPr>
        <w:t xml:space="preserve"> w 3</w:t>
      </w:r>
      <w:r>
        <w:rPr>
          <w:noProof/>
        </w:rPr>
        <w:t xml:space="preserve"> równych ratach rocznych.</w:t>
      </w:r>
    </w:p>
    <w:p w14:paraId="143705AA" w14:textId="77777777" w:rsidR="00C441FB" w:rsidRDefault="00C441FB" w:rsidP="00C639A0">
      <w:pPr>
        <w:pStyle w:val="Text1"/>
        <w:rPr>
          <w:iCs/>
        </w:rPr>
      </w:pPr>
    </w:p>
    <w:p w14:paraId="5AB682B6" w14:textId="2EB5EC4D" w:rsidR="000A4CAD" w:rsidRDefault="000A4CAD" w:rsidP="00C639A0">
      <w:pPr>
        <w:pStyle w:val="Text1"/>
        <w:rPr>
          <w:i/>
        </w:rPr>
      </w:pPr>
      <w:r>
        <w:t xml:space="preserve">Tabela 6 </w:t>
      </w:r>
      <w:r>
        <w:rPr>
          <w:i/>
        </w:rPr>
        <w:t>(w EUR; ceny bieżące)</w:t>
      </w:r>
    </w:p>
    <w:tbl>
      <w:tblPr>
        <w:tblStyle w:val="TableGrid1"/>
        <w:tblW w:w="0" w:type="auto"/>
        <w:tblInd w:w="851" w:type="dxa"/>
        <w:tblLook w:val="04A0" w:firstRow="1" w:lastRow="0" w:firstColumn="1" w:lastColumn="0" w:noHBand="0" w:noVBand="1"/>
      </w:tblPr>
      <w:tblGrid>
        <w:gridCol w:w="1951"/>
        <w:gridCol w:w="2268"/>
        <w:gridCol w:w="2037"/>
        <w:gridCol w:w="2038"/>
      </w:tblGrid>
      <w:tr w:rsidR="00896343" w:rsidRPr="0024366A" w14:paraId="109B4F65" w14:textId="77777777" w:rsidTr="00C441FB">
        <w:tc>
          <w:tcPr>
            <w:tcW w:w="1951" w:type="dxa"/>
            <w:vMerge w:val="restart"/>
            <w:shd w:val="clear" w:color="auto" w:fill="92D050"/>
            <w:vAlign w:val="center"/>
          </w:tcPr>
          <w:p w14:paraId="2F3DE21C" w14:textId="77777777" w:rsidR="00896343" w:rsidRPr="008225DC" w:rsidRDefault="00896343" w:rsidP="0024366A">
            <w:pPr>
              <w:keepNext/>
              <w:keepLines/>
              <w:spacing w:before="0"/>
              <w:jc w:val="center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</w:rPr>
              <w:t>Numer decyzji</w:t>
            </w:r>
          </w:p>
          <w:p w14:paraId="1E5F757F" w14:textId="314312A0" w:rsidR="00896343" w:rsidRPr="008225DC" w:rsidRDefault="00896343" w:rsidP="0024366A">
            <w:pPr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92D050"/>
            <w:vAlign w:val="center"/>
          </w:tcPr>
          <w:p w14:paraId="4F2B551D" w14:textId="77777777" w:rsidR="00896343" w:rsidRPr="008225DC" w:rsidRDefault="00896343" w:rsidP="0024366A">
            <w:pPr>
              <w:keepNext/>
              <w:keepLines/>
              <w:spacing w:before="0"/>
              <w:jc w:val="center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</w:rPr>
              <w:t>Państwo członkowskie</w:t>
            </w:r>
          </w:p>
        </w:tc>
        <w:tc>
          <w:tcPr>
            <w:tcW w:w="4075" w:type="dxa"/>
            <w:gridSpan w:val="2"/>
            <w:shd w:val="clear" w:color="auto" w:fill="92D050"/>
            <w:vAlign w:val="center"/>
          </w:tcPr>
          <w:p w14:paraId="4C6D1A6B" w14:textId="6C03CAE5" w:rsidR="00896343" w:rsidRPr="008225DC" w:rsidRDefault="00896343" w:rsidP="00C441FB">
            <w:pPr>
              <w:keepNext/>
              <w:keepLines/>
              <w:spacing w:before="0"/>
              <w:jc w:val="center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</w:rPr>
              <w:t>Płatność kwoty</w:t>
            </w:r>
            <w:r w:rsidR="00342B21">
              <w:rPr>
                <w:b/>
                <w:noProof/>
                <w:sz w:val="22"/>
              </w:rPr>
              <w:t xml:space="preserve"> w rat</w:t>
            </w:r>
            <w:r>
              <w:rPr>
                <w:b/>
                <w:noProof/>
                <w:sz w:val="22"/>
              </w:rPr>
              <w:t>ach</w:t>
            </w:r>
          </w:p>
        </w:tc>
      </w:tr>
      <w:tr w:rsidR="00896343" w:rsidRPr="0024366A" w14:paraId="0A67FEC8" w14:textId="7E39545C" w:rsidTr="00C441FB">
        <w:tc>
          <w:tcPr>
            <w:tcW w:w="1951" w:type="dxa"/>
            <w:vMerge/>
            <w:vAlign w:val="center"/>
          </w:tcPr>
          <w:p w14:paraId="1DA43F2E" w14:textId="3CF23DDE" w:rsidR="00896343" w:rsidRDefault="00896343" w:rsidP="0024366A">
            <w:pPr>
              <w:rPr>
                <w:rFonts w:eastAsia="Calibri"/>
                <w:noProof/>
              </w:rPr>
            </w:pPr>
          </w:p>
        </w:tc>
        <w:tc>
          <w:tcPr>
            <w:tcW w:w="2268" w:type="dxa"/>
            <w:vMerge/>
            <w:vAlign w:val="center"/>
          </w:tcPr>
          <w:p w14:paraId="41189723" w14:textId="77777777" w:rsidR="00896343" w:rsidRDefault="00896343" w:rsidP="0024366A">
            <w:pPr>
              <w:rPr>
                <w:rFonts w:eastAsia="Calibri"/>
                <w:noProof/>
              </w:rPr>
            </w:pPr>
          </w:p>
        </w:tc>
        <w:tc>
          <w:tcPr>
            <w:tcW w:w="2037" w:type="dxa"/>
            <w:shd w:val="clear" w:color="auto" w:fill="92D050"/>
            <w:vAlign w:val="center"/>
          </w:tcPr>
          <w:p w14:paraId="676AE1DE" w14:textId="48759657" w:rsidR="00896343" w:rsidRPr="00C639A0" w:rsidRDefault="00896343" w:rsidP="00C639A0">
            <w:pPr>
              <w:keepNext/>
              <w:keepLines/>
              <w:spacing w:before="0"/>
              <w:jc w:val="center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>
              <w:rPr>
                <w:b/>
                <w:noProof/>
              </w:rPr>
              <w:t>EFRG</w:t>
            </w:r>
          </w:p>
        </w:tc>
        <w:tc>
          <w:tcPr>
            <w:tcW w:w="2038" w:type="dxa"/>
            <w:shd w:val="clear" w:color="auto" w:fill="92D050"/>
            <w:vAlign w:val="center"/>
          </w:tcPr>
          <w:p w14:paraId="78665078" w14:textId="258A2294" w:rsidR="00896343" w:rsidRPr="00C639A0" w:rsidRDefault="00896343" w:rsidP="00C639A0">
            <w:pPr>
              <w:keepNext/>
              <w:keepLines/>
              <w:spacing w:before="0"/>
              <w:jc w:val="center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>
              <w:rPr>
                <w:b/>
                <w:noProof/>
              </w:rPr>
              <w:t>EFRROW</w:t>
            </w:r>
          </w:p>
        </w:tc>
      </w:tr>
      <w:tr w:rsidR="00896343" w:rsidRPr="0024366A" w14:paraId="595DF615" w14:textId="77777777" w:rsidTr="00C639A0">
        <w:tc>
          <w:tcPr>
            <w:tcW w:w="1951" w:type="dxa"/>
            <w:vAlign w:val="center"/>
          </w:tcPr>
          <w:p w14:paraId="314184F9" w14:textId="46CEA130" w:rsidR="00896343" w:rsidRPr="00C441FB" w:rsidRDefault="00896343" w:rsidP="00C639A0">
            <w:pPr>
              <w:spacing w:before="0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70</w:t>
            </w:r>
          </w:p>
        </w:tc>
        <w:tc>
          <w:tcPr>
            <w:tcW w:w="2268" w:type="dxa"/>
            <w:vAlign w:val="center"/>
          </w:tcPr>
          <w:p w14:paraId="39970F89" w14:textId="000A8A61" w:rsidR="00896343" w:rsidRPr="00C441FB" w:rsidRDefault="00896343" w:rsidP="00C639A0">
            <w:pPr>
              <w:spacing w:before="0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Rumunia</w:t>
            </w:r>
          </w:p>
        </w:tc>
        <w:tc>
          <w:tcPr>
            <w:tcW w:w="2037" w:type="dxa"/>
            <w:vAlign w:val="center"/>
          </w:tcPr>
          <w:p w14:paraId="60730722" w14:textId="62311690" w:rsidR="00896343" w:rsidRPr="00C441FB" w:rsidRDefault="00896343" w:rsidP="00C639A0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54,4</w:t>
            </w:r>
          </w:p>
        </w:tc>
        <w:tc>
          <w:tcPr>
            <w:tcW w:w="2038" w:type="dxa"/>
            <w:vAlign w:val="center"/>
          </w:tcPr>
          <w:p w14:paraId="733BD4C1" w14:textId="029B891F" w:rsidR="00896343" w:rsidRPr="00C441FB" w:rsidRDefault="00896343" w:rsidP="00C639A0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19,7</w:t>
            </w:r>
          </w:p>
        </w:tc>
      </w:tr>
      <w:tr w:rsidR="00896343" w:rsidRPr="0024366A" w14:paraId="2AB6DF3E" w14:textId="77777777" w:rsidTr="00C639A0">
        <w:tc>
          <w:tcPr>
            <w:tcW w:w="1951" w:type="dxa"/>
            <w:vAlign w:val="center"/>
          </w:tcPr>
          <w:p w14:paraId="04B67B25" w14:textId="44628C8F" w:rsidR="00896343" w:rsidRPr="00C441FB" w:rsidRDefault="00896343" w:rsidP="00C639A0">
            <w:pPr>
              <w:spacing w:before="0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71</w:t>
            </w:r>
          </w:p>
        </w:tc>
        <w:tc>
          <w:tcPr>
            <w:tcW w:w="2268" w:type="dxa"/>
            <w:vAlign w:val="center"/>
          </w:tcPr>
          <w:p w14:paraId="679EE30D" w14:textId="13B7304E" w:rsidR="00896343" w:rsidRPr="00C441FB" w:rsidRDefault="00896343" w:rsidP="00C639A0">
            <w:pPr>
              <w:spacing w:before="0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Litwa</w:t>
            </w:r>
          </w:p>
        </w:tc>
        <w:tc>
          <w:tcPr>
            <w:tcW w:w="2037" w:type="dxa"/>
            <w:vAlign w:val="center"/>
          </w:tcPr>
          <w:p w14:paraId="604A061F" w14:textId="608E0B80" w:rsidR="00896343" w:rsidRPr="00C441FB" w:rsidRDefault="00896343" w:rsidP="00C639A0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12,1</w:t>
            </w:r>
          </w:p>
        </w:tc>
        <w:tc>
          <w:tcPr>
            <w:tcW w:w="2038" w:type="dxa"/>
            <w:vAlign w:val="center"/>
          </w:tcPr>
          <w:p w14:paraId="557954CB" w14:textId="0A4D1F76" w:rsidR="00896343" w:rsidRPr="00C441FB" w:rsidRDefault="00896343" w:rsidP="00C639A0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noProof/>
                <w:sz w:val="22"/>
              </w:rPr>
              <w:t>1,0</w:t>
            </w:r>
          </w:p>
        </w:tc>
      </w:tr>
    </w:tbl>
    <w:p w14:paraId="449F0BCA" w14:textId="1D763BF8" w:rsidR="00930A9E" w:rsidRPr="001C1B70" w:rsidRDefault="00A44A15" w:rsidP="00C441FB">
      <w:pPr>
        <w:pStyle w:val="ListBullet1"/>
        <w:spacing w:after="160"/>
        <w:ind w:left="1135" w:hanging="284"/>
        <w:rPr>
          <w:rFonts w:eastAsia="MS PGothic"/>
          <w:noProof/>
        </w:rPr>
      </w:pPr>
      <w:bookmarkStart w:id="78" w:name="_Toc322938649"/>
      <w:r>
        <w:rPr>
          <w:noProof/>
        </w:rPr>
        <w:t>W odniesieniu do roku budżetowego 2023 państwa członkowskie 15 lutego 20</w:t>
      </w:r>
      <w:r w:rsidRPr="00342B21">
        <w:rPr>
          <w:noProof/>
        </w:rPr>
        <w:t>24</w:t>
      </w:r>
      <w:r w:rsidR="00342B21" w:rsidRPr="00342B21">
        <w:rPr>
          <w:noProof/>
        </w:rPr>
        <w:t> </w:t>
      </w:r>
      <w:r w:rsidRPr="00342B21">
        <w:rPr>
          <w:noProof/>
        </w:rPr>
        <w:t>r.</w:t>
      </w:r>
      <w:r>
        <w:rPr>
          <w:noProof/>
        </w:rPr>
        <w:t xml:space="preserve"> przekazały informacje na temat przypadków odzyskania środków. Przedstawiono je rocznym sprawozdaniu</w:t>
      </w:r>
      <w:r w:rsidR="00342B21">
        <w:rPr>
          <w:noProof/>
        </w:rPr>
        <w:t xml:space="preserve"> z dzi</w:t>
      </w:r>
      <w:r>
        <w:rPr>
          <w:noProof/>
        </w:rPr>
        <w:t>ałalności,</w:t>
      </w:r>
      <w:r w:rsidR="00342B21">
        <w:rPr>
          <w:noProof/>
        </w:rPr>
        <w:t xml:space="preserve"> w tab</w:t>
      </w:r>
      <w:r>
        <w:rPr>
          <w:noProof/>
        </w:rPr>
        <w:t>eli 5.2-1</w:t>
      </w:r>
      <w:r w:rsidR="00342B21">
        <w:rPr>
          <w:noProof/>
        </w:rPr>
        <w:t xml:space="preserve"> w zał</w:t>
      </w:r>
      <w:r>
        <w:rPr>
          <w:noProof/>
        </w:rPr>
        <w:t>ączniku 7</w:t>
      </w:r>
      <w:r w:rsidR="00342B21">
        <w:rPr>
          <w:noProof/>
        </w:rPr>
        <w:t xml:space="preserve"> i 5</w:t>
      </w:r>
      <w:r>
        <w:rPr>
          <w:noProof/>
        </w:rPr>
        <w:t>.3-1 tamże.</w:t>
      </w:r>
    </w:p>
    <w:p w14:paraId="24941C0D" w14:textId="12534747" w:rsidR="00A44A15" w:rsidRDefault="1BFC6801" w:rsidP="57DE3101">
      <w:pPr>
        <w:pStyle w:val="Text1"/>
        <w:rPr>
          <w:b/>
          <w:bCs/>
        </w:rPr>
      </w:pPr>
      <w:r>
        <w:t>W roku budżetowym 2023 państwa członkowskie odzyskały około 357,7 mln EUR na EFRG, EFRROW</w:t>
      </w:r>
      <w:r w:rsidR="00342B21">
        <w:t xml:space="preserve"> i tym</w:t>
      </w:r>
      <w:r>
        <w:t>czasowy instrument rozwoju obszarów wiejskich (TRDI). Kwota pozostała do odzyskania od beneficjentów na koniec roku budżetowego 2023 wyniosła 1 960,7 mln EUR na rzecz wszystkich funduszy. Konsekwencje finansowe dla państw członkowskich</w:t>
      </w:r>
      <w:r w:rsidR="00342B21">
        <w:t xml:space="preserve"> z tyt</w:t>
      </w:r>
      <w:r>
        <w:t>ułu nieodzyskania środków</w:t>
      </w:r>
      <w:r w:rsidR="00342B21">
        <w:t xml:space="preserve"> w spr</w:t>
      </w:r>
      <w:r>
        <w:t>awach dotyczących EFRG, EFRROW i TRDI</w:t>
      </w:r>
      <w:r w:rsidR="00342B21">
        <w:t xml:space="preserve"> w cią</w:t>
      </w:r>
      <w:r>
        <w:t>gu 4 lat od daty wniosku</w:t>
      </w:r>
      <w:r w:rsidR="00342B21">
        <w:t xml:space="preserve"> o odz</w:t>
      </w:r>
      <w:r>
        <w:t>yskanie (w przypadku nowych przypadków</w:t>
      </w:r>
      <w:r>
        <w:rPr>
          <w:rStyle w:val="FootnoteReference"/>
        </w:rPr>
        <w:footnoteReference w:id="12"/>
      </w:r>
      <w:r>
        <w:t>) lub pierwszego ustalenia administracyjnego lub sądowego (w przypadku dawnych przypadków) lub</w:t>
      </w:r>
      <w:r w:rsidR="00342B21">
        <w:t xml:space="preserve"> w cią</w:t>
      </w:r>
      <w:r>
        <w:t>gu 8 lat,</w:t>
      </w:r>
      <w:r w:rsidR="00342B21">
        <w:t xml:space="preserve"> w prz</w:t>
      </w:r>
      <w:r>
        <w:t>ypadku gdy odzyskanie jest przedmiotem postępowania przez sądami krajowymi, wyniosły 83,6 mln EUR</w:t>
      </w:r>
      <w:r w:rsidR="00342B21">
        <w:t>. W rok</w:t>
      </w:r>
      <w:r>
        <w:t>u budżetowym 2023</w:t>
      </w:r>
      <w:r w:rsidR="00342B21">
        <w:t xml:space="preserve"> w prz</w:t>
      </w:r>
      <w:r>
        <w:t>ypadku EFRG, EFRROW i TRDI około 18 mln EUR pokryto</w:t>
      </w:r>
      <w:r w:rsidR="00342B21">
        <w:t xml:space="preserve"> w 1</w:t>
      </w:r>
      <w:r>
        <w:t>0</w:t>
      </w:r>
      <w:r w:rsidRPr="00342B21">
        <w:t>0</w:t>
      </w:r>
      <w:r w:rsidR="00342B21" w:rsidRPr="00342B21">
        <w:t> </w:t>
      </w:r>
      <w:r w:rsidRPr="00342B21">
        <w:t>%</w:t>
      </w:r>
      <w:r w:rsidR="00342B21">
        <w:t xml:space="preserve"> z bud</w:t>
      </w:r>
      <w:r>
        <w:t>żetu UE</w:t>
      </w:r>
      <w:r>
        <w:rPr>
          <w:rStyle w:val="FootnoteReference"/>
        </w:rPr>
        <w:footnoteReference w:id="13"/>
      </w:r>
      <w:r>
        <w:t xml:space="preserve">. </w:t>
      </w:r>
    </w:p>
    <w:p w14:paraId="13FD5DCD" w14:textId="7743979E" w:rsidR="00A44A15" w:rsidRDefault="0003316B" w:rsidP="00C441FB">
      <w:pPr>
        <w:pStyle w:val="ManualHeading2"/>
        <w:spacing w:before="360" w:after="160"/>
        <w:ind w:left="851" w:hanging="851"/>
        <w:rPr>
          <w:noProof/>
        </w:rPr>
      </w:pPr>
      <w:bookmarkStart w:id="79" w:name="_Toc102661885"/>
      <w:bookmarkStart w:id="80" w:name="_Toc105773239"/>
      <w:bookmarkStart w:id="81" w:name="_Toc139622288"/>
      <w:bookmarkStart w:id="82" w:name="_Toc176966487"/>
      <w:r>
        <w:rPr>
          <w:noProof/>
        </w:rPr>
        <w:t>5.2.</w:t>
      </w:r>
      <w:r>
        <w:rPr>
          <w:noProof/>
        </w:rPr>
        <w:tab/>
        <w:t>Rozliczenie finansowe</w:t>
      </w:r>
      <w:bookmarkEnd w:id="78"/>
      <w:bookmarkEnd w:id="79"/>
      <w:bookmarkEnd w:id="80"/>
      <w:bookmarkEnd w:id="81"/>
      <w:bookmarkEnd w:id="82"/>
    </w:p>
    <w:p w14:paraId="4B42433E" w14:textId="0EA6988C" w:rsidR="00292B86" w:rsidRDefault="5D41918E" w:rsidP="001C1B70">
      <w:pPr>
        <w:pStyle w:val="Text1"/>
      </w:pPr>
      <w:bookmarkStart w:id="83" w:name="_Toc105773243"/>
      <w:bookmarkStart w:id="84" w:name="_Toc102661889"/>
      <w:bookmarkStart w:id="85" w:name="_Toc105773244"/>
      <w:r>
        <w:t>Przegląd decyzji</w:t>
      </w:r>
      <w:r w:rsidR="00342B21">
        <w:t xml:space="preserve"> w spr</w:t>
      </w:r>
      <w:r>
        <w:t>awie finansowego rozliczenia rachunków przyjętych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bookmarkEnd w:id="83"/>
      <w:bookmarkEnd w:id="84"/>
      <w:r>
        <w:t xml:space="preserve"> znajduje się</w:t>
      </w:r>
      <w:r w:rsidR="00342B21">
        <w:t xml:space="preserve"> w tab</w:t>
      </w:r>
      <w:r>
        <w:t>eli 7. Korekty finansowe</w:t>
      </w:r>
      <w:r w:rsidR="00342B21">
        <w:t xml:space="preserve"> w dec</w:t>
      </w:r>
      <w:r>
        <w:t>yzjach</w:t>
      </w:r>
      <w:r w:rsidR="00342B21">
        <w:t xml:space="preserve"> w spr</w:t>
      </w:r>
      <w:r>
        <w:t>awie kontroli zgodności rozliczeń</w:t>
      </w:r>
      <w:r w:rsidR="00342B21">
        <w:t xml:space="preserve"> w 2</w:t>
      </w:r>
      <w:r>
        <w:t>0</w:t>
      </w:r>
      <w:r w:rsidRPr="00342B21">
        <w:t>23</w:t>
      </w:r>
      <w:r w:rsidR="00342B21" w:rsidRPr="00342B21">
        <w:t> </w:t>
      </w:r>
      <w:r w:rsidRPr="00342B21">
        <w:t>r.</w:t>
      </w:r>
      <w:r>
        <w:t xml:space="preserve"> wyszczególniono</w:t>
      </w:r>
      <w:r w:rsidR="00342B21">
        <w:t xml:space="preserve"> w zał</w:t>
      </w:r>
      <w:r>
        <w:t>ączniku 18.</w:t>
      </w:r>
    </w:p>
    <w:p w14:paraId="058E5FB2" w14:textId="77777777" w:rsidR="00C448E3" w:rsidRDefault="00C448E3" w:rsidP="001C1B70">
      <w:pPr>
        <w:pStyle w:val="Text1"/>
      </w:pPr>
    </w:p>
    <w:p w14:paraId="15A9FF30" w14:textId="6F5B2FED" w:rsidR="000A4CAD" w:rsidRDefault="000A4CAD" w:rsidP="00C639A0">
      <w:pPr>
        <w:pStyle w:val="Text1"/>
        <w:rPr>
          <w:i/>
        </w:rPr>
      </w:pPr>
      <w:r>
        <w:t xml:space="preserve">Tabela 7            </w:t>
      </w:r>
      <w:r>
        <w:rPr>
          <w:i/>
        </w:rPr>
        <w:t>(w mln EUR; ceny bieżące)</w:t>
      </w:r>
    </w:p>
    <w:tbl>
      <w:tblPr>
        <w:tblW w:w="8789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702"/>
        <w:gridCol w:w="1276"/>
        <w:gridCol w:w="1276"/>
        <w:gridCol w:w="1665"/>
        <w:gridCol w:w="1737"/>
      </w:tblGrid>
      <w:tr w:rsidR="0626AC4C" w14:paraId="3286E98C" w14:textId="77777777" w:rsidTr="00701ECD">
        <w:trPr>
          <w:trHeight w:val="9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F2620FF" w14:textId="1BA93FE8" w:rsidR="0626AC4C" w:rsidRPr="001D07EE" w:rsidRDefault="000A4CAD" w:rsidP="00C639A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Fundusz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A06B56C" w14:textId="522B5073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Numer decyzji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1BA600E" w14:textId="03FE69BE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Data przyjęcia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D799237" w14:textId="101EADCE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Rok budżetowy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6AC501A" w14:textId="6AD42DA6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Rozliczone zadeklarowane wydatki 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50BE33CE" w14:textId="5AFFB81E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Zainteresowana AP</w:t>
            </w:r>
            <w:r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</w:p>
        </w:tc>
      </w:tr>
      <w:tr w:rsidR="0626AC4C" w14:paraId="2BB499C2" w14:textId="77777777" w:rsidTr="00701ECD">
        <w:trPr>
          <w:trHeight w:val="69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E305C" w14:textId="61AD585C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EFRG 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03C02" w14:textId="6DDAC527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Decyzja (UE) 2023/1037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F37FF" w14:textId="705568C1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24.5.2023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C776D" w14:textId="35855D86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2022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F3768" w14:textId="25B395D4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40 731,25 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C8564" w14:textId="4E61350C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Wszystkie PA</w:t>
            </w:r>
            <w:r w:rsidR="00342B21">
              <w:rPr>
                <w:rFonts w:ascii="Times New Roman" w:hAnsi="Times New Roman"/>
                <w:noProof/>
              </w:rPr>
              <w:t xml:space="preserve"> w pań</w:t>
            </w:r>
            <w:r>
              <w:rPr>
                <w:rFonts w:ascii="Times New Roman" w:hAnsi="Times New Roman"/>
                <w:noProof/>
              </w:rPr>
              <w:t xml:space="preserve">stwach członkowskich </w:t>
            </w:r>
          </w:p>
        </w:tc>
      </w:tr>
      <w:tr w:rsidR="0626AC4C" w14:paraId="0BD5CF26" w14:textId="77777777" w:rsidTr="00701ECD">
        <w:trPr>
          <w:trHeight w:val="3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51111" w14:textId="5B2C8E5B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EFRG 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571AA" w14:textId="6075D826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Decyzja (UE) 2023/1039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083F6" w14:textId="1F0D85F1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24.5.2023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9786C" w14:textId="7338F1E0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2022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2CB83" w14:textId="47FF7B19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-(1,47) 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49D76" w14:textId="12467DF1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4 AP ze Zjednoczonego Królestwa </w:t>
            </w:r>
          </w:p>
        </w:tc>
      </w:tr>
      <w:tr w:rsidR="0626AC4C" w14:paraId="168BA26E" w14:textId="77777777" w:rsidTr="00701ECD">
        <w:trPr>
          <w:trHeight w:val="3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A3625" w14:textId="545D7677" w:rsidR="0626AC4C" w:rsidRPr="001D07EE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EFRROW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00D3B" w14:textId="74990F6D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Decyzja (UE) 2023/1036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77584" w14:textId="768A8476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24.5.2023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C2D91" w14:textId="42E9E1DB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2022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F3A56" w14:textId="646042DE" w:rsidR="0626AC4C" w:rsidRPr="001D07EE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14 925,45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A29B5" w14:textId="448F3EA1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Wszystkie PA</w:t>
            </w:r>
            <w:r w:rsidR="00342B21">
              <w:rPr>
                <w:rFonts w:ascii="Times New Roman" w:hAnsi="Times New Roman"/>
                <w:noProof/>
              </w:rPr>
              <w:t xml:space="preserve"> w pań</w:t>
            </w:r>
            <w:r>
              <w:rPr>
                <w:rFonts w:ascii="Times New Roman" w:hAnsi="Times New Roman"/>
                <w:noProof/>
              </w:rPr>
              <w:t xml:space="preserve">stwach członkowskich </w:t>
            </w:r>
          </w:p>
        </w:tc>
      </w:tr>
      <w:tr w:rsidR="0626AC4C" w14:paraId="3BFDB84D" w14:textId="77777777" w:rsidTr="00701ECD">
        <w:trPr>
          <w:trHeight w:val="3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9EED8" w14:textId="254FF00A" w:rsidR="0626AC4C" w:rsidRPr="001D07EE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EFRROW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ED3D1" w14:textId="374AA7B8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Decyzja (UE) 2023/1038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5E0A1" w14:textId="4EA94552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24.5.2023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CC5DC" w14:textId="7466073F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2022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7D2EA" w14:textId="3BB09390" w:rsidR="0626AC4C" w:rsidRPr="001D07EE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475,19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BAA17" w14:textId="61F685E1" w:rsidR="0626AC4C" w:rsidRDefault="0626AC4C" w:rsidP="00C639A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 AP ze Zjednoczonego Królestwa</w:t>
            </w:r>
          </w:p>
        </w:tc>
      </w:tr>
    </w:tbl>
    <w:p w14:paraId="5D2199B7" w14:textId="01328437" w:rsidR="5F84DB30" w:rsidRDefault="5F84DB30" w:rsidP="5F84DB30">
      <w:pPr>
        <w:pStyle w:val="Text1"/>
      </w:pPr>
    </w:p>
    <w:p w14:paraId="3C5E9B8D" w14:textId="305CD03E" w:rsidR="00A44A15" w:rsidRDefault="0003316B" w:rsidP="00A44A15">
      <w:pPr>
        <w:pStyle w:val="ManualHeading2"/>
        <w:rPr>
          <w:noProof/>
        </w:rPr>
      </w:pPr>
      <w:bookmarkStart w:id="86" w:name="_Toc322938654"/>
      <w:bookmarkStart w:id="87" w:name="_Toc102661890"/>
      <w:bookmarkStart w:id="88" w:name="_Toc139622289"/>
      <w:bookmarkStart w:id="89" w:name="_Toc176966488"/>
      <w:r>
        <w:rPr>
          <w:noProof/>
        </w:rPr>
        <w:t>5.3.</w:t>
      </w:r>
      <w:r>
        <w:rPr>
          <w:noProof/>
        </w:rPr>
        <w:tab/>
        <w:t>Odwołania wniesione do Trybunału Sprawiedliwości Unii Europejskiej od decyzji</w:t>
      </w:r>
      <w:r w:rsidR="00342B21">
        <w:rPr>
          <w:noProof/>
        </w:rPr>
        <w:t xml:space="preserve"> w spr</w:t>
      </w:r>
      <w:r>
        <w:rPr>
          <w:noProof/>
        </w:rPr>
        <w:t>awie rozliczeń</w:t>
      </w:r>
      <w:bookmarkEnd w:id="85"/>
      <w:bookmarkEnd w:id="86"/>
      <w:bookmarkEnd w:id="87"/>
      <w:bookmarkEnd w:id="88"/>
      <w:bookmarkEnd w:id="89"/>
    </w:p>
    <w:p w14:paraId="148250A9" w14:textId="037A9998" w:rsidR="00330126" w:rsidRDefault="565F43CE" w:rsidP="004F4BB0">
      <w:pPr>
        <w:pStyle w:val="Text1"/>
        <w:ind w:left="851"/>
      </w:pPr>
      <w:r>
        <w:t>Zestawienie spraw wniesionych do</w:t>
      </w:r>
      <w:bookmarkStart w:id="90" w:name="_Toc322938655"/>
      <w:bookmarkStart w:id="91" w:name="_Toc102661891"/>
      <w:bookmarkStart w:id="92" w:name="_Toc105773245"/>
      <w:bookmarkStart w:id="93" w:name="_Toc322938656"/>
      <w:bookmarkEnd w:id="90"/>
      <w:bookmarkEnd w:id="91"/>
      <w:bookmarkEnd w:id="92"/>
      <w:r>
        <w:t xml:space="preserve"> Sądu</w:t>
      </w:r>
      <w:r w:rsidR="00342B21">
        <w:t xml:space="preserve"> i Try</w:t>
      </w:r>
      <w:r>
        <w:t>bunału Sprawiedliwości przedstawiono</w:t>
      </w:r>
      <w:r w:rsidR="00342B21">
        <w:t xml:space="preserve"> w zał</w:t>
      </w:r>
      <w:r>
        <w:t>ączniku 19.</w:t>
      </w:r>
      <w:bookmarkStart w:id="94" w:name="_Toc322938658"/>
      <w:bookmarkStart w:id="95" w:name="_Toc102661894"/>
      <w:bookmarkStart w:id="96" w:name="_Toc105773248"/>
      <w:bookmarkEnd w:id="93"/>
    </w:p>
    <w:p w14:paraId="665D0E1A" w14:textId="4349433A" w:rsidR="00A44A15" w:rsidRDefault="0003316B" w:rsidP="006827A2">
      <w:pPr>
        <w:pStyle w:val="ManualHeading1"/>
        <w:ind w:left="851" w:hanging="851"/>
        <w:jc w:val="left"/>
        <w:rPr>
          <w:noProof/>
        </w:rPr>
      </w:pPr>
      <w:bookmarkStart w:id="97" w:name="_Toc139622290"/>
      <w:bookmarkStart w:id="98" w:name="_Toc176966489"/>
      <w:r>
        <w:rPr>
          <w:noProof/>
        </w:rPr>
        <w:t>6.</w:t>
      </w:r>
      <w:r>
        <w:rPr>
          <w:noProof/>
        </w:rPr>
        <w:tab/>
        <w:t>STOSUNKI Z PARLAMENTEM I EUROPEJSKIM TRYBUNAŁEM OBRACHUNKOWYM</w:t>
      </w:r>
      <w:bookmarkEnd w:id="94"/>
      <w:bookmarkEnd w:id="95"/>
      <w:bookmarkEnd w:id="96"/>
      <w:bookmarkEnd w:id="97"/>
      <w:bookmarkEnd w:id="98"/>
      <w:r>
        <w:rPr>
          <w:noProof/>
        </w:rPr>
        <w:t xml:space="preserve"> </w:t>
      </w:r>
    </w:p>
    <w:p w14:paraId="1AF2E9D1" w14:textId="4A87BFF8" w:rsidR="00A44A15" w:rsidRDefault="0003316B" w:rsidP="00A44A15">
      <w:pPr>
        <w:pStyle w:val="ManualHeading2"/>
        <w:rPr>
          <w:noProof/>
        </w:rPr>
      </w:pPr>
      <w:bookmarkStart w:id="99" w:name="_Toc322938659"/>
      <w:bookmarkStart w:id="100" w:name="_Toc102661895"/>
      <w:bookmarkStart w:id="101" w:name="_Toc105773249"/>
      <w:bookmarkStart w:id="102" w:name="_Toc139622291"/>
      <w:bookmarkStart w:id="103" w:name="_Toc176966490"/>
      <w:r>
        <w:rPr>
          <w:noProof/>
        </w:rPr>
        <w:t>6.1.</w:t>
      </w:r>
      <w:r>
        <w:rPr>
          <w:noProof/>
        </w:rPr>
        <w:tab/>
        <w:t>Stosunki</w:t>
      </w:r>
      <w:r w:rsidR="00342B21">
        <w:rPr>
          <w:noProof/>
        </w:rPr>
        <w:t xml:space="preserve"> z Par</w:t>
      </w:r>
      <w:r>
        <w:rPr>
          <w:noProof/>
        </w:rPr>
        <w:t>lamentem</w:t>
      </w:r>
      <w:bookmarkEnd w:id="99"/>
      <w:bookmarkEnd w:id="100"/>
      <w:bookmarkEnd w:id="101"/>
      <w:bookmarkEnd w:id="102"/>
      <w:bookmarkEnd w:id="103"/>
      <w:r>
        <w:rPr>
          <w:noProof/>
        </w:rPr>
        <w:t xml:space="preserve"> </w:t>
      </w:r>
    </w:p>
    <w:p w14:paraId="7400BFC1" w14:textId="490627CA" w:rsidR="00A44A15" w:rsidRDefault="1BFC6801" w:rsidP="00A44A15">
      <w:pPr>
        <w:pStyle w:val="Text1"/>
      </w:pPr>
      <w:r>
        <w:t>Parlament Europejski (PE) wraz</w:t>
      </w:r>
      <w:r w:rsidR="00342B21">
        <w:t xml:space="preserve"> z Rad</w:t>
      </w:r>
      <w:r>
        <w:t>ą stanowi część władzy budżetowej UE. Jest zatem jednym</w:t>
      </w:r>
      <w:r w:rsidR="00342B21">
        <w:t xml:space="preserve"> z naj</w:t>
      </w:r>
      <w:r>
        <w:t>ważniejszych partnerów Komisji</w:t>
      </w:r>
      <w:r w:rsidR="00342B21">
        <w:t xml:space="preserve"> w dys</w:t>
      </w:r>
      <w:r>
        <w:t>kusjach na temat kwestii budżetowych,</w:t>
      </w:r>
      <w:r w:rsidR="00342B21">
        <w:t xml:space="preserve"> a tym</w:t>
      </w:r>
      <w:r>
        <w:t xml:space="preserve"> samym na temat EFRG i EFRROW.</w:t>
      </w:r>
    </w:p>
    <w:p w14:paraId="5BC93E3B" w14:textId="30E932CB" w:rsidR="00A44A15" w:rsidRDefault="00A44A15" w:rsidP="00A44A15">
      <w:pPr>
        <w:pStyle w:val="Text1"/>
      </w:pPr>
      <w:r>
        <w:t>Trzy komisje PE uczestniczą</w:t>
      </w:r>
      <w:r w:rsidR="00342B21">
        <w:t xml:space="preserve"> w dys</w:t>
      </w:r>
      <w:r>
        <w:t>kusjach</w:t>
      </w:r>
      <w:r w:rsidR="00342B21">
        <w:t xml:space="preserve"> i prz</w:t>
      </w:r>
      <w:r>
        <w:t>ygotowaniach do posiedzenia plenarnego poświęconego kwestiom budżetowym związanym</w:t>
      </w:r>
      <w:r w:rsidR="00342B21">
        <w:t xml:space="preserve"> z rol</w:t>
      </w:r>
      <w:r>
        <w:t>nictwem. Są to Komisja Rolnictwa</w:t>
      </w:r>
      <w:r w:rsidR="00342B21">
        <w:t xml:space="preserve"> i Roz</w:t>
      </w:r>
      <w:r>
        <w:t>woju Wsi, Komisja Budżetowa</w:t>
      </w:r>
      <w:r w:rsidR="00342B21">
        <w:t xml:space="preserve"> i Kom</w:t>
      </w:r>
      <w:r>
        <w:t>isja Kontroli Budżetowej.</w:t>
      </w:r>
    </w:p>
    <w:p w14:paraId="526545A8" w14:textId="0EC54A9A" w:rsidR="00A44A15" w:rsidRDefault="00A44A15" w:rsidP="00A44A15">
      <w:pPr>
        <w:pStyle w:val="Text1"/>
      </w:pPr>
      <w:r>
        <w:t>Od 20</w:t>
      </w:r>
      <w:r w:rsidRPr="00342B21">
        <w:t>14</w:t>
      </w:r>
      <w:r w:rsidR="00342B21" w:rsidRPr="00342B21">
        <w:t> </w:t>
      </w:r>
      <w:r w:rsidRPr="00342B21">
        <w:t>r.</w:t>
      </w:r>
      <w:r>
        <w:t xml:space="preserve"> Komisja Rolnictwa</w:t>
      </w:r>
      <w:r w:rsidR="00342B21">
        <w:t xml:space="preserve"> i Roz</w:t>
      </w:r>
      <w:r>
        <w:t>woju Wsi przedstawia Komisji Kontroli Budżetowej opinię na temat procedury udzielania absolutorium.</w:t>
      </w:r>
    </w:p>
    <w:p w14:paraId="122E3146" w14:textId="0A023FC3" w:rsidR="00A44A15" w:rsidRDefault="00A44A15" w:rsidP="00A44A15">
      <w:pPr>
        <w:pStyle w:val="Text1"/>
      </w:pPr>
      <w:r>
        <w:t>Komisja Kontroli Budżetowej sprawuje kontrolę nad prawidłowym wykonaniem budżetu</w:t>
      </w:r>
      <w:r w:rsidR="00342B21">
        <w:t xml:space="preserve"> i spo</w:t>
      </w:r>
      <w:r>
        <w:t>rządza projekt sprawozdania,</w:t>
      </w:r>
      <w:r w:rsidR="00342B21">
        <w:t xml:space="preserve"> w któ</w:t>
      </w:r>
      <w:r>
        <w:t>rym proponuje Parlamentowi udzielenie absolutorium</w:t>
      </w:r>
      <w:r w:rsidR="00342B21">
        <w:t xml:space="preserve"> i prz</w:t>
      </w:r>
      <w:r>
        <w:t xml:space="preserve">edstawia zalecenia dla Komisji Europejskiej lub państw członkowskich. </w:t>
      </w:r>
    </w:p>
    <w:p w14:paraId="11250BD8" w14:textId="73C9CF17" w:rsidR="00A44A15" w:rsidRDefault="00A44A15" w:rsidP="00A44A15">
      <w:pPr>
        <w:pStyle w:val="Text1"/>
      </w:pPr>
      <w:r>
        <w:t>Parlament Europejski udzielił Komisji absolutorium</w:t>
      </w:r>
      <w:r w:rsidR="00342B21">
        <w:t xml:space="preserve"> z wyk</w:t>
      </w:r>
      <w:r>
        <w:t>onania budżetu ogólnego Unii Europejskiej za rok budżetowy 2023</w:t>
      </w:r>
      <w:r w:rsidR="00342B21">
        <w:t xml:space="preserve"> w dro</w:t>
      </w:r>
      <w:r>
        <w:t xml:space="preserve">dze głosowania na posiedzeniu plenarnym dotyczącego decyzji Parlamentu, które odbyło </w:t>
      </w:r>
      <w:r w:rsidRPr="00342B21">
        <w:t>się</w:t>
      </w:r>
      <w:r w:rsidR="00342B21" w:rsidRPr="00342B21">
        <w:t> </w:t>
      </w:r>
      <w:r w:rsidRPr="00342B21">
        <w:t>1</w:t>
      </w:r>
      <w:r>
        <w:t>1 kwietnia 20</w:t>
      </w:r>
      <w:r w:rsidRPr="00342B21">
        <w:t>24</w:t>
      </w:r>
      <w:r w:rsidR="00342B21" w:rsidRPr="00342B21">
        <w:t> </w:t>
      </w:r>
      <w:r w:rsidRPr="00342B21">
        <w:t>r.</w:t>
      </w:r>
    </w:p>
    <w:p w14:paraId="32951FB2" w14:textId="29E90C83" w:rsidR="00A44A15" w:rsidRDefault="0003316B" w:rsidP="00A44A15">
      <w:pPr>
        <w:pStyle w:val="ManualHeading2"/>
        <w:rPr>
          <w:noProof/>
        </w:rPr>
      </w:pPr>
      <w:bookmarkStart w:id="104" w:name="_Toc322938660"/>
      <w:bookmarkStart w:id="105" w:name="_Toc102661896"/>
      <w:bookmarkStart w:id="106" w:name="_Toc105773250"/>
      <w:bookmarkStart w:id="107" w:name="_Toc139622292"/>
      <w:bookmarkStart w:id="108" w:name="_Toc176966491"/>
      <w:r>
        <w:rPr>
          <w:noProof/>
        </w:rPr>
        <w:t>6.2.</w:t>
      </w:r>
      <w:r>
        <w:rPr>
          <w:noProof/>
        </w:rPr>
        <w:tab/>
        <w:t>Stosunki</w:t>
      </w:r>
      <w:r w:rsidR="00342B21">
        <w:rPr>
          <w:noProof/>
        </w:rPr>
        <w:t xml:space="preserve"> z Eur</w:t>
      </w:r>
      <w:r>
        <w:rPr>
          <w:noProof/>
        </w:rPr>
        <w:t>opejskim Trybunałem Obrachunkowym</w:t>
      </w:r>
      <w:bookmarkEnd w:id="104"/>
      <w:bookmarkEnd w:id="105"/>
      <w:bookmarkEnd w:id="106"/>
      <w:bookmarkEnd w:id="107"/>
      <w:bookmarkEnd w:id="108"/>
    </w:p>
    <w:p w14:paraId="373D7D44" w14:textId="7D024CCA" w:rsidR="650879C5" w:rsidRDefault="650879C5" w:rsidP="5802674F">
      <w:pPr>
        <w:pStyle w:val="Text1"/>
      </w:pPr>
      <w:r>
        <w:t>Europejski Trybunał Obrachunkowy pełni funkcję zewnętrznego niezależnego kontrolera Unii Europejskiej. Podsumowanie ustaleń</w:t>
      </w:r>
      <w:r w:rsidR="00342B21">
        <w:t xml:space="preserve"> i wni</w:t>
      </w:r>
      <w:r>
        <w:t>osków Trybunału dotyczących roku budżetowego 2023 przedstawiono</w:t>
      </w:r>
      <w:r w:rsidR="00342B21">
        <w:t xml:space="preserve"> w </w:t>
      </w:r>
      <w:r w:rsidR="00342B21" w:rsidRPr="00342B21">
        <w:t>pkt </w:t>
      </w:r>
      <w:r w:rsidRPr="00342B21">
        <w:t>2</w:t>
      </w:r>
      <w:r>
        <w:t xml:space="preserve">.2.2 </w:t>
      </w:r>
      <w:bookmarkStart w:id="109" w:name="_Toc134214511"/>
      <w:bookmarkStart w:id="110" w:name="_Toc322938663"/>
      <w:bookmarkEnd w:id="109"/>
      <w:r>
        <w:t>rocznego sprawozdania</w:t>
      </w:r>
      <w:r w:rsidR="00342B21">
        <w:t xml:space="preserve"> z dzi</w:t>
      </w:r>
      <w:r>
        <w:t xml:space="preserve">ałalności (s. 76). </w:t>
      </w:r>
      <w:bookmarkEnd w:id="110"/>
    </w:p>
    <w:p w14:paraId="4975CFAF" w14:textId="7FADEA19" w:rsidR="00A44A15" w:rsidRDefault="00A44A15" w:rsidP="00DB0987">
      <w:pPr>
        <w:pStyle w:val="ManualHeading1"/>
        <w:spacing w:before="0"/>
        <w:ind w:left="0" w:firstLine="0"/>
        <w:rPr>
          <w:noProof/>
        </w:rPr>
      </w:pPr>
    </w:p>
    <w:sectPr w:rsidR="00A44A15" w:rsidSect="00C441F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81A2" w14:textId="77777777" w:rsidR="003522EB" w:rsidRDefault="003522EB" w:rsidP="00A44A15">
      <w:pPr>
        <w:spacing w:after="0" w:line="240" w:lineRule="auto"/>
      </w:pPr>
      <w:r>
        <w:separator/>
      </w:r>
    </w:p>
  </w:endnote>
  <w:endnote w:type="continuationSeparator" w:id="0">
    <w:p w14:paraId="355C430B" w14:textId="77777777" w:rsidR="003522EB" w:rsidRDefault="003522EB" w:rsidP="00A44A15">
      <w:pPr>
        <w:spacing w:after="0" w:line="240" w:lineRule="auto"/>
      </w:pPr>
      <w:r>
        <w:continuationSeparator/>
      </w:r>
    </w:p>
  </w:endnote>
  <w:endnote w:type="continuationNotice" w:id="1">
    <w:p w14:paraId="1489348F" w14:textId="77777777" w:rsidR="003522EB" w:rsidRDefault="00352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6DCA" w14:textId="6598EBAA" w:rsidR="00D70BAA" w:rsidRPr="00D70BAA" w:rsidRDefault="00D70BAA" w:rsidP="00D70BAA">
    <w:pPr>
      <w:pStyle w:val="FooterCoverPage"/>
      <w:rPr>
        <w:rFonts w:ascii="Arial" w:hAnsi="Arial" w:cs="Arial"/>
        <w:b/>
        <w:sz w:val="48"/>
      </w:rPr>
    </w:pPr>
    <w:r w:rsidRPr="00D70BAA">
      <w:rPr>
        <w:rFonts w:ascii="Arial" w:hAnsi="Arial" w:cs="Arial"/>
        <w:b/>
        <w:sz w:val="48"/>
      </w:rPr>
      <w:t>PL</w:t>
    </w:r>
    <w:r w:rsidRPr="00D70BAA">
      <w:rPr>
        <w:rFonts w:ascii="Arial" w:hAnsi="Arial" w:cs="Arial"/>
        <w:b/>
        <w:sz w:val="48"/>
      </w:rPr>
      <w:tab/>
    </w:r>
    <w:r w:rsidRPr="00D70BAA">
      <w:rPr>
        <w:rFonts w:ascii="Arial" w:hAnsi="Arial" w:cs="Arial"/>
        <w:b/>
        <w:sz w:val="48"/>
      </w:rPr>
      <w:tab/>
    </w:r>
    <w:r w:rsidRPr="00D70BAA">
      <w:tab/>
    </w:r>
    <w:r w:rsidRPr="00D70BAA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42CF" w14:textId="13EB6AD8" w:rsidR="00D70BAA" w:rsidRPr="00D70BAA" w:rsidRDefault="00D70BAA" w:rsidP="00D70BAA">
    <w:pPr>
      <w:pStyle w:val="FooterCoverPage"/>
      <w:rPr>
        <w:rFonts w:ascii="Arial" w:hAnsi="Arial" w:cs="Arial"/>
        <w:b/>
        <w:sz w:val="48"/>
      </w:rPr>
    </w:pPr>
    <w:r w:rsidRPr="00D70BAA">
      <w:rPr>
        <w:rFonts w:ascii="Arial" w:hAnsi="Arial" w:cs="Arial"/>
        <w:b/>
        <w:sz w:val="48"/>
      </w:rPr>
      <w:t>PL</w:t>
    </w:r>
    <w:r w:rsidRPr="00D70BAA">
      <w:rPr>
        <w:rFonts w:ascii="Arial" w:hAnsi="Arial" w:cs="Arial"/>
        <w:b/>
        <w:sz w:val="48"/>
      </w:rPr>
      <w:tab/>
    </w:r>
    <w:r w:rsidRPr="00D70BAA">
      <w:rPr>
        <w:rFonts w:ascii="Arial" w:hAnsi="Arial" w:cs="Arial"/>
        <w:b/>
        <w:sz w:val="48"/>
      </w:rPr>
      <w:tab/>
    </w:r>
    <w:r w:rsidRPr="00D70BAA">
      <w:tab/>
    </w:r>
    <w:r w:rsidRPr="00D70BAA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6A3C" w14:textId="77777777" w:rsidR="00D70BAA" w:rsidRPr="00D70BAA" w:rsidRDefault="00D70BAA" w:rsidP="00D70BAA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3189" w14:textId="77777777" w:rsidR="00527CD2" w:rsidRDefault="00527C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01C14" w14:textId="64A2A4BD" w:rsidR="00527CD2" w:rsidRDefault="00527C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0BAA">
      <w:rPr>
        <w:noProof/>
      </w:rPr>
      <w:t>1</w:t>
    </w:r>
    <w:r>
      <w:fldChar w:fldCharType="end"/>
    </w:r>
  </w:p>
  <w:p w14:paraId="6401EB7A" w14:textId="77777777" w:rsidR="00527CD2" w:rsidRDefault="00527CD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89E8B" w14:textId="77777777" w:rsidR="00527CD2" w:rsidRDefault="00527CD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A068" w14:textId="77777777" w:rsidR="00484A3D" w:rsidRDefault="00484A3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2F889" w14:textId="79A956B4" w:rsidR="00484A3D" w:rsidRDefault="00484A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0BAA">
      <w:rPr>
        <w:noProof/>
      </w:rPr>
      <w:t>9</w:t>
    </w:r>
    <w:r>
      <w:fldChar w:fldCharType="end"/>
    </w:r>
  </w:p>
  <w:p w14:paraId="737569A5" w14:textId="77777777" w:rsidR="00484A3D" w:rsidRDefault="00484A3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0986" w14:textId="77777777" w:rsidR="00484A3D" w:rsidRDefault="00484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9E1E9" w14:textId="77777777" w:rsidR="003522EB" w:rsidRDefault="003522EB" w:rsidP="00A44A15">
      <w:pPr>
        <w:spacing w:after="0" w:line="240" w:lineRule="auto"/>
      </w:pPr>
      <w:r>
        <w:separator/>
      </w:r>
    </w:p>
  </w:footnote>
  <w:footnote w:type="continuationSeparator" w:id="0">
    <w:p w14:paraId="35D9F70C" w14:textId="77777777" w:rsidR="003522EB" w:rsidRDefault="003522EB" w:rsidP="00A44A15">
      <w:pPr>
        <w:spacing w:after="0" w:line="240" w:lineRule="auto"/>
      </w:pPr>
      <w:r>
        <w:continuationSeparator/>
      </w:r>
    </w:p>
  </w:footnote>
  <w:footnote w:type="continuationNotice" w:id="1">
    <w:p w14:paraId="156F56E5" w14:textId="77777777" w:rsidR="003522EB" w:rsidRDefault="003522EB">
      <w:pPr>
        <w:spacing w:after="0" w:line="240" w:lineRule="auto"/>
      </w:pPr>
    </w:p>
  </w:footnote>
  <w:footnote w:id="2">
    <w:p w14:paraId="393439C8" w14:textId="1235BB63" w:rsidR="00527CD2" w:rsidRDefault="00527CD2" w:rsidP="00A44A15">
      <w:pPr>
        <w:pStyle w:val="FootnoteText"/>
      </w:pPr>
      <w:r>
        <w:rPr>
          <w:rStyle w:val="FootnoteReference"/>
        </w:rPr>
        <w:footnoteRef/>
      </w:r>
      <w:r>
        <w:tab/>
        <w:t>Dz.U. L 433I</w:t>
      </w:r>
      <w:r w:rsidR="00342B21">
        <w:t xml:space="preserve"> z 2</w:t>
      </w:r>
      <w:r>
        <w:t>2.12.2020, s. 11.</w:t>
      </w:r>
    </w:p>
  </w:footnote>
  <w:footnote w:id="3">
    <w:p w14:paraId="2B2DD12C" w14:textId="1DD27448" w:rsidR="00407ACD" w:rsidRPr="00FC6CD6" w:rsidRDefault="00407ACD" w:rsidP="00D35D06">
      <w:pPr>
        <w:pStyle w:val="FootnoteText"/>
      </w:pPr>
      <w:r>
        <w:rPr>
          <w:rStyle w:val="FootnoteReference"/>
        </w:rPr>
        <w:footnoteRef/>
      </w:r>
      <w:r>
        <w:tab/>
        <w:t>Dz.U. L, 2024/765, 29.2.2024, ELI:</w:t>
      </w:r>
      <w:r>
        <w:rPr>
          <w:i/>
        </w:rPr>
        <w:t> </w:t>
      </w:r>
      <w:hyperlink r:id="rId1" w:tgtFrame="_blank" w:tooltip="Dostęp do dokumentu poprzez identyfikator URI w systemie ELI." w:history="1">
        <w:r>
          <w:rPr>
            <w:rStyle w:val="Hyperlink"/>
            <w:i/>
          </w:rPr>
          <w:t>http://data.europa.eu/eli/reg/2024/765/oj</w:t>
        </w:r>
      </w:hyperlink>
      <w:r>
        <w:t>.</w:t>
      </w:r>
    </w:p>
  </w:footnote>
  <w:footnote w:id="4">
    <w:p w14:paraId="23997178" w14:textId="4C406531" w:rsidR="00527CD2" w:rsidRDefault="00527CD2" w:rsidP="00A44A15">
      <w:pPr>
        <w:pStyle w:val="FootnoteText"/>
      </w:pPr>
      <w:r>
        <w:rPr>
          <w:rStyle w:val="FootnoteReference"/>
        </w:rPr>
        <w:footnoteRef/>
      </w:r>
      <w:r>
        <w:tab/>
        <w:t>Dz.U. L 40</w:t>
      </w:r>
      <w:r w:rsidR="00342B21">
        <w:t xml:space="preserve"> z 4</w:t>
      </w:r>
      <w:r>
        <w:t>.2.2021, s. 8.</w:t>
      </w:r>
    </w:p>
  </w:footnote>
  <w:footnote w:id="5">
    <w:p w14:paraId="104C16BD" w14:textId="5243939B" w:rsidR="008C4302" w:rsidRDefault="008C4302" w:rsidP="008C43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Dz.U. L 435</w:t>
      </w:r>
      <w:r w:rsidR="00342B21">
        <w:t xml:space="preserve"> z 6</w:t>
      </w:r>
      <w:r>
        <w:t>.12.2021, s. 187.</w:t>
      </w:r>
    </w:p>
  </w:footnote>
  <w:footnote w:id="6">
    <w:p w14:paraId="5210FD77" w14:textId="28C4EDCC" w:rsidR="00527CD2" w:rsidRDefault="00527CD2" w:rsidP="00A44A15">
      <w:pPr>
        <w:pStyle w:val="FootnoteText"/>
      </w:pPr>
      <w:r>
        <w:rPr>
          <w:rStyle w:val="FootnoteReference"/>
        </w:rPr>
        <w:footnoteRef/>
      </w:r>
      <w:r>
        <w:tab/>
        <w:t>Te comiesięczne deklaracje wydatków są przekazywane przez państwa członkowskie 7-tego dnia miesiąca N+1.</w:t>
      </w:r>
    </w:p>
  </w:footnote>
  <w:footnote w:id="7">
    <w:p w14:paraId="6106A0F7" w14:textId="4A7C092B" w:rsidR="006C1868" w:rsidRDefault="006C1868" w:rsidP="006C18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Dz.U. L 435</w:t>
      </w:r>
      <w:r w:rsidR="00342B21">
        <w:t xml:space="preserve"> z 6</w:t>
      </w:r>
      <w:r>
        <w:t>.12.2021, s. 187.</w:t>
      </w:r>
    </w:p>
  </w:footnote>
  <w:footnote w:id="8">
    <w:p w14:paraId="70D8AFE5" w14:textId="38A9E46E" w:rsidR="00527CD2" w:rsidRDefault="00527CD2" w:rsidP="00A44A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Kwota ta obejmuje zwrot środków</w:t>
      </w:r>
      <w:r w:rsidR="00342B21">
        <w:t xml:space="preserve"> w ram</w:t>
      </w:r>
      <w:r>
        <w:t>ach dyscypliny finansowej związanej</w:t>
      </w:r>
      <w:r w:rsidR="00342B21">
        <w:t xml:space="preserve"> z rez</w:t>
      </w:r>
      <w:r>
        <w:t>erwą na wypadek kryzysów</w:t>
      </w:r>
      <w:r w:rsidR="00342B21">
        <w:t xml:space="preserve"> w sek</w:t>
      </w:r>
      <w:r>
        <w:t>torze rolnym przeniesionych</w:t>
      </w:r>
      <w:r w:rsidR="00342B21">
        <w:t xml:space="preserve"> z rok</w:t>
      </w:r>
      <w:r>
        <w:t xml:space="preserve">u budżetowego 2022. </w:t>
      </w:r>
    </w:p>
  </w:footnote>
  <w:footnote w:id="9">
    <w:p w14:paraId="08D7E46F" w14:textId="20C4F4EF" w:rsidR="00EC65D2" w:rsidRPr="0089061A" w:rsidRDefault="00EC65D2" w:rsidP="00B429E0"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  <w:t>Dz.U. L 181</w:t>
      </w:r>
      <w:r w:rsidR="00342B21">
        <w:t xml:space="preserve"> z 2</w:t>
      </w:r>
      <w:r>
        <w:t>0.6.2014, s. 48.</w:t>
      </w:r>
    </w:p>
  </w:footnote>
  <w:footnote w:id="10">
    <w:p w14:paraId="5D633ABB" w14:textId="68771059" w:rsidR="00756D7D" w:rsidRPr="00756D7D" w:rsidRDefault="00756D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Dz.U. L 227</w:t>
      </w:r>
      <w:r w:rsidR="00342B21">
        <w:t xml:space="preserve"> z 3</w:t>
      </w:r>
      <w:r>
        <w:t>1.7.2014, s. 69.</w:t>
      </w:r>
    </w:p>
  </w:footnote>
  <w:footnote w:id="11">
    <w:p w14:paraId="36FBBD40" w14:textId="31CBF167" w:rsidR="00D060E5" w:rsidRDefault="00EC65D2" w:rsidP="00D060E5"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>Roczne sprawozdania</w:t>
      </w:r>
      <w:r w:rsidR="00342B21">
        <w:rPr>
          <w:rFonts w:ascii="Times New Roman" w:hAnsi="Times New Roman"/>
        </w:rPr>
        <w:t xml:space="preserve"> z dzi</w:t>
      </w:r>
      <w:r>
        <w:rPr>
          <w:rFonts w:ascii="Times New Roman" w:hAnsi="Times New Roman"/>
        </w:rPr>
        <w:t>ałalności DG ds. Rolnictwa</w:t>
      </w:r>
      <w:r w:rsidR="00342B21">
        <w:rPr>
          <w:rFonts w:ascii="Times New Roman" w:hAnsi="Times New Roman"/>
        </w:rPr>
        <w:t xml:space="preserve"> i Roz</w:t>
      </w:r>
      <w:r>
        <w:rPr>
          <w:rFonts w:ascii="Times New Roman" w:hAnsi="Times New Roman"/>
        </w:rPr>
        <w:t xml:space="preserve">woju Obszarów Wiejskich można znaleźć pod adresem: </w:t>
      </w:r>
      <w:hyperlink r:id="rId2" w:history="1">
        <w:r>
          <w:rPr>
            <w:rStyle w:val="Hyperlink"/>
          </w:rPr>
          <w:t>https://commission.europa.eu/publications/annual-activity-report-2023-agriculture-and-rural-development_en</w:t>
        </w:r>
      </w:hyperlink>
    </w:p>
    <w:p w14:paraId="25E71AB1" w14:textId="77777777" w:rsidR="003B1662" w:rsidRDefault="003B1662" w:rsidP="00D060E5"/>
    <w:p w14:paraId="42D111EB" w14:textId="106B0565" w:rsidR="00EC65D2" w:rsidRDefault="00EC65D2" w:rsidP="00EC65D2">
      <w:pPr>
        <w:pStyle w:val="FootnoteText"/>
      </w:pPr>
    </w:p>
  </w:footnote>
  <w:footnote w:id="12">
    <w:p w14:paraId="680141EC" w14:textId="33C4F816" w:rsidR="007F7E98" w:rsidRPr="0089061A" w:rsidRDefault="007F7E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Sprawy dotyczące nieprawidłowości,</w:t>
      </w:r>
      <w:r w:rsidR="00342B21">
        <w:t xml:space="preserve"> w odn</w:t>
      </w:r>
      <w:r>
        <w:t>iesieniu do których nie dokonano pierwszego ustalenia administracyjnego lub sądowego przed 16 października 20</w:t>
      </w:r>
      <w:r w:rsidRPr="00342B21">
        <w:t>14</w:t>
      </w:r>
      <w:r w:rsidR="00342B21" w:rsidRPr="00342B21">
        <w:t> </w:t>
      </w:r>
      <w:r w:rsidRPr="00342B21">
        <w:t>r</w:t>
      </w:r>
      <w:r w:rsidR="00342B21" w:rsidRPr="00342B21">
        <w:t>.</w:t>
      </w:r>
      <w:r w:rsidR="00342B21">
        <w:t xml:space="preserve"> W prz</w:t>
      </w:r>
      <w:r>
        <w:t>ypadku gdy pierwszego ustalenia administracyjnego lub sądowego dokonano przed tą datą, sprawy należy uznać za „dawne przypadki”.</w:t>
      </w:r>
    </w:p>
  </w:footnote>
  <w:footnote w:id="13">
    <w:p w14:paraId="6FCA8883" w14:textId="3660EAFC" w:rsidR="006B103F" w:rsidRPr="0089061A" w:rsidRDefault="006B10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Sprawy dotyczące przypadków kwot zadeklarowanych jako niemożliwe do odzyskania, jak określono</w:t>
      </w:r>
      <w:r w:rsidR="00342B21">
        <w:t xml:space="preserve"> w </w:t>
      </w:r>
      <w:r w:rsidR="00342B21" w:rsidRPr="00342B21">
        <w:t>art</w:t>
      </w:r>
      <w:r w:rsidRPr="00342B21">
        <w:t>.</w:t>
      </w:r>
      <w:r w:rsidR="00342B21" w:rsidRPr="00342B21">
        <w:t> </w:t>
      </w:r>
      <w:r w:rsidRPr="00342B21">
        <w:t>5</w:t>
      </w:r>
      <w:r>
        <w:t xml:space="preserve">4 </w:t>
      </w:r>
      <w:r w:rsidRPr="00342B21">
        <w:t>ust.</w:t>
      </w:r>
      <w:r w:rsidR="00342B21" w:rsidRPr="00342B21">
        <w:t> </w:t>
      </w:r>
      <w:r w:rsidRPr="00342B21">
        <w:t>3</w:t>
      </w:r>
      <w:r>
        <w:t xml:space="preserve"> rozporządzenia (UE) </w:t>
      </w:r>
      <w:r w:rsidRPr="00342B21">
        <w:t>nr</w:t>
      </w:r>
      <w:r w:rsidR="00342B21" w:rsidRPr="00342B21">
        <w:t> </w:t>
      </w:r>
      <w:r w:rsidRPr="00342B21">
        <w:t>1</w:t>
      </w:r>
      <w:r>
        <w:t>306/2013.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19CF" w14:textId="77777777" w:rsidR="00D70BAA" w:rsidRPr="00D70BAA" w:rsidRDefault="00D70BAA" w:rsidP="00D70BAA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4C62" w14:textId="77777777" w:rsidR="00D70BAA" w:rsidRPr="00D70BAA" w:rsidRDefault="00D70BAA" w:rsidP="00D70BAA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6E3EB" w14:textId="77777777" w:rsidR="00D70BAA" w:rsidRPr="00D70BAA" w:rsidRDefault="00D70BAA" w:rsidP="00D70BAA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3D8A" w14:textId="77777777" w:rsidR="00527CD2" w:rsidRDefault="00527C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3DBA" w14:textId="77777777" w:rsidR="00527CD2" w:rsidRDefault="00527C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0777" w14:textId="77777777" w:rsidR="00527CD2" w:rsidRDefault="00527CD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0816" w14:textId="77777777" w:rsidR="00484A3D" w:rsidRDefault="00484A3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49C4" w14:textId="77777777" w:rsidR="00484A3D" w:rsidRDefault="00484A3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BCB5" w14:textId="77777777" w:rsidR="00484A3D" w:rsidRDefault="0048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FAFE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3C40B1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350FB1"/>
    <w:multiLevelType w:val="multilevel"/>
    <w:tmpl w:val="30847FD6"/>
    <w:lvl w:ilvl="0">
      <w:start w:val="1"/>
      <w:numFmt w:val="decimal"/>
      <w:lvlRestart w:val="0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5E43525"/>
    <w:multiLevelType w:val="multilevel"/>
    <w:tmpl w:val="76202BFE"/>
    <w:lvl w:ilvl="0">
      <w:start w:val="1"/>
      <w:numFmt w:val="decimal"/>
      <w:lvlRestart w:val="0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F212747"/>
    <w:multiLevelType w:val="multilevel"/>
    <w:tmpl w:val="FBD0F488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1274355"/>
    <w:multiLevelType w:val="hybridMultilevel"/>
    <w:tmpl w:val="BE903E60"/>
    <w:lvl w:ilvl="0" w:tplc="DF14A648">
      <w:start w:val="1"/>
      <w:numFmt w:val="decimal"/>
      <w:lvlText w:val="(%1)"/>
      <w:lvlJc w:val="left"/>
      <w:pPr>
        <w:ind w:left="121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6" w15:restartNumberingAfterBreak="0">
    <w:nsid w:val="12DD5905"/>
    <w:multiLevelType w:val="singleLevel"/>
    <w:tmpl w:val="6CB4B73E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" w15:restartNumberingAfterBreak="0">
    <w:nsid w:val="149674C4"/>
    <w:multiLevelType w:val="singleLevel"/>
    <w:tmpl w:val="1C5C3756"/>
    <w:name w:val="0,634099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15592001"/>
    <w:multiLevelType w:val="singleLevel"/>
    <w:tmpl w:val="3C6C7C7E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9" w15:restartNumberingAfterBreak="0">
    <w:nsid w:val="158411A6"/>
    <w:multiLevelType w:val="singleLevel"/>
    <w:tmpl w:val="891A2EB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0" w15:restartNumberingAfterBreak="0">
    <w:nsid w:val="241162DB"/>
    <w:multiLevelType w:val="singleLevel"/>
    <w:tmpl w:val="B27E1B54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24E930D7"/>
    <w:multiLevelType w:val="multilevel"/>
    <w:tmpl w:val="EFD2E05E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F076C74"/>
    <w:multiLevelType w:val="multilevel"/>
    <w:tmpl w:val="CC8EDB1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13" w15:restartNumberingAfterBreak="0">
    <w:nsid w:val="30ED4279"/>
    <w:multiLevelType w:val="hybridMultilevel"/>
    <w:tmpl w:val="8228AC36"/>
    <w:lvl w:ilvl="0" w:tplc="7C6CAEFC">
      <w:start w:val="3"/>
      <w:numFmt w:val="bullet"/>
      <w:lvlText w:val="-"/>
      <w:lvlJc w:val="left"/>
      <w:pPr>
        <w:ind w:left="1211" w:hanging="360"/>
      </w:pPr>
      <w:rPr>
        <w:rFonts w:ascii="Times New Roman" w:eastAsia="MS PGothic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22F797B"/>
    <w:multiLevelType w:val="hybridMultilevel"/>
    <w:tmpl w:val="98EC018E"/>
    <w:lvl w:ilvl="0" w:tplc="E698F6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DE90F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A1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1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4B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C9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9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C2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04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91884"/>
    <w:multiLevelType w:val="singleLevel"/>
    <w:tmpl w:val="3020C764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6" w15:restartNumberingAfterBreak="0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40FF3500"/>
    <w:multiLevelType w:val="singleLevel"/>
    <w:tmpl w:val="84DA1EE8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4BF12751"/>
    <w:multiLevelType w:val="multilevel"/>
    <w:tmpl w:val="0809001F"/>
    <w:name w:val="NumPar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E679FC"/>
    <w:multiLevelType w:val="hybridMultilevel"/>
    <w:tmpl w:val="3578ABC2"/>
    <w:lvl w:ilvl="0" w:tplc="0B38CBB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57C85C6C"/>
    <w:multiLevelType w:val="hybridMultilevel"/>
    <w:tmpl w:val="721C3FF6"/>
    <w:lvl w:ilvl="0" w:tplc="0B38CBB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96D67A1"/>
    <w:multiLevelType w:val="singleLevel"/>
    <w:tmpl w:val="9AC8831A"/>
    <w:name w:val="Tiret 1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5F8C3B69"/>
    <w:multiLevelType w:val="multilevel"/>
    <w:tmpl w:val="9B14DAA8"/>
    <w:name w:val="Bullet 0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612064BE"/>
    <w:multiLevelType w:val="hybridMultilevel"/>
    <w:tmpl w:val="CE22AD48"/>
    <w:lvl w:ilvl="0" w:tplc="0B38CBB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62A8042C"/>
    <w:multiLevelType w:val="singleLevel"/>
    <w:tmpl w:val="CCF20C06"/>
    <w:name w:val="Bullet 2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63B26268"/>
    <w:multiLevelType w:val="singleLevel"/>
    <w:tmpl w:val="491E6360"/>
    <w:name w:val="Tiret 2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6" w15:restartNumberingAfterBreak="0">
    <w:nsid w:val="64304DA4"/>
    <w:multiLevelType w:val="hybridMultilevel"/>
    <w:tmpl w:val="AFAA88FE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65221EBE"/>
    <w:multiLevelType w:val="hybridMultilevel"/>
    <w:tmpl w:val="EC7AB760"/>
    <w:lvl w:ilvl="0" w:tplc="51409574">
      <w:start w:val="3"/>
      <w:numFmt w:val="bullet"/>
      <w:lvlText w:val="-"/>
      <w:lvlJc w:val="left"/>
      <w:pPr>
        <w:ind w:left="1211" w:hanging="360"/>
      </w:pPr>
      <w:rPr>
        <w:rFonts w:ascii="Times New Roman" w:eastAsia="MS PGothic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7917F1D"/>
    <w:multiLevelType w:val="hybridMultilevel"/>
    <w:tmpl w:val="4B6495F6"/>
    <w:lvl w:ilvl="0" w:tplc="0B38CBB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6901C1"/>
    <w:multiLevelType w:val="singleLevel"/>
    <w:tmpl w:val="208841AE"/>
    <w:name w:val="0,8228368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6D2B5511"/>
    <w:multiLevelType w:val="singleLevel"/>
    <w:tmpl w:val="74A09970"/>
    <w:name w:val="5,794489E-02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EC300CA"/>
    <w:multiLevelType w:val="singleLevel"/>
    <w:tmpl w:val="055ABBD0"/>
    <w:name w:val="Point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2" w15:restartNumberingAfterBreak="0">
    <w:nsid w:val="70542883"/>
    <w:multiLevelType w:val="hybridMultilevel"/>
    <w:tmpl w:val="EA78B5D2"/>
    <w:lvl w:ilvl="0" w:tplc="0B38CBB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712E4B18"/>
    <w:multiLevelType w:val="singleLevel"/>
    <w:tmpl w:val="66ECC298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34" w15:restartNumberingAfterBreak="0">
    <w:nsid w:val="729504D5"/>
    <w:multiLevelType w:val="singleLevel"/>
    <w:tmpl w:val="1BC6DBFC"/>
    <w:name w:val="0,1023829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5" w15:restartNumberingAfterBreak="0">
    <w:nsid w:val="78A241BD"/>
    <w:multiLevelType w:val="singleLevel"/>
    <w:tmpl w:val="53C4DF32"/>
    <w:name w:val="0,4901348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 w15:restartNumberingAfterBreak="0">
    <w:nsid w:val="79C96D36"/>
    <w:multiLevelType w:val="multilevel"/>
    <w:tmpl w:val="BE983CE4"/>
    <w:name w:val="0,389671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8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9" w15:restartNumberingAfterBreak="0">
    <w:nsid w:val="7E8224EA"/>
    <w:multiLevelType w:val="singleLevel"/>
    <w:tmpl w:val="34DEB8CE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7F7154E1"/>
    <w:multiLevelType w:val="singleLevel"/>
    <w:tmpl w:val="E3F6D2C6"/>
    <w:name w:val="0,109158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39"/>
  </w:num>
  <w:num w:numId="5">
    <w:abstractNumId w:val="7"/>
  </w:num>
  <w:num w:numId="6">
    <w:abstractNumId w:val="10"/>
  </w:num>
  <w:num w:numId="7">
    <w:abstractNumId w:val="33"/>
  </w:num>
  <w:num w:numId="8">
    <w:abstractNumId w:val="37"/>
  </w:num>
  <w:num w:numId="9">
    <w:abstractNumId w:val="4"/>
  </w:num>
  <w:num w:numId="10">
    <w:abstractNumId w:val="12"/>
  </w:num>
  <w:num w:numId="11">
    <w:abstractNumId w:val="8"/>
  </w:num>
  <w:num w:numId="12">
    <w:abstractNumId w:val="17"/>
  </w:num>
  <w:num w:numId="13">
    <w:abstractNumId w:val="9"/>
  </w:num>
  <w:num w:numId="14">
    <w:abstractNumId w:val="34"/>
  </w:num>
  <w:num w:numId="15">
    <w:abstractNumId w:val="31"/>
  </w:num>
  <w:num w:numId="16">
    <w:abstractNumId w:val="25"/>
  </w:num>
  <w:num w:numId="17">
    <w:abstractNumId w:val="18"/>
  </w:num>
  <w:num w:numId="18">
    <w:abstractNumId w:val="22"/>
  </w:num>
  <w:num w:numId="19">
    <w:abstractNumId w:val="36"/>
  </w:num>
  <w:num w:numId="20">
    <w:abstractNumId w:val="11"/>
  </w:num>
  <w:num w:numId="21">
    <w:abstractNumId w:val="3"/>
  </w:num>
  <w:num w:numId="22">
    <w:abstractNumId w:val="2"/>
  </w:num>
  <w:num w:numId="23">
    <w:abstractNumId w:val="30"/>
  </w:num>
  <w:num w:numId="24">
    <w:abstractNumId w:val="29"/>
  </w:num>
  <w:num w:numId="25">
    <w:abstractNumId w:val="6"/>
  </w:num>
  <w:num w:numId="26">
    <w:abstractNumId w:val="15"/>
  </w:num>
  <w:num w:numId="27">
    <w:abstractNumId w:val="40"/>
  </w:num>
  <w:num w:numId="28">
    <w:abstractNumId w:val="16"/>
  </w:num>
  <w:num w:numId="29">
    <w:abstractNumId w:val="24"/>
  </w:num>
  <w:num w:numId="30">
    <w:abstractNumId w:val="21"/>
  </w:num>
  <w:num w:numId="31">
    <w:abstractNumId w:val="35"/>
  </w:num>
  <w:num w:numId="32">
    <w:abstractNumId w:val="38"/>
  </w:num>
  <w:num w:numId="33">
    <w:abstractNumId w:val="26"/>
  </w:num>
  <w:num w:numId="34">
    <w:abstractNumId w:val="5"/>
  </w:num>
  <w:num w:numId="35">
    <w:abstractNumId w:val="19"/>
  </w:num>
  <w:num w:numId="36">
    <w:abstractNumId w:val="32"/>
  </w:num>
  <w:num w:numId="37">
    <w:abstractNumId w:val="23"/>
  </w:num>
  <w:num w:numId="38">
    <w:abstractNumId w:val="20"/>
  </w:num>
  <w:num w:numId="39">
    <w:abstractNumId w:val="28"/>
  </w:num>
  <w:num w:numId="40">
    <w:abstractNumId w:val="13"/>
  </w:num>
  <w:num w:numId="41">
    <w:abstractNumId w:val="2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EE3C11D7-327E-4E38-9FD8-71C1F745B742"/>
    <w:docVar w:name="LW_COVERPAGE_TYPE" w:val="1"/>
    <w:docVar w:name="LW_CROSSREFERENCE" w:val="&lt;UNUSED&gt;"/>
    <w:docVar w:name="LW_DocType" w:val="NORMAL"/>
    <w:docVar w:name="LW_EMISSION" w:val="26.9.2024"/>
    <w:docVar w:name="LW_EMISSION_ISODATE" w:val="2024-09-26"/>
    <w:docVar w:name="LW_EMISSION_LOCATION" w:val="BRX"/>
    <w:docVar w:name="LW_EMISSION_PREFIX" w:val="Bruksela, dnia "/>
    <w:docVar w:name="LW_EMISSION_SUFFIX" w:val=" r."/>
    <w:docVar w:name="LW_ID_DOCTYPE_NONLW" w:val="CP-006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4) 417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SPRAWOZDANIE FINANSOWE KOMISJI DLA PARLAMENTU EUROPEJSKIEGO I RADY W SPRAWIE EUROPEJSKIEGO FUNDUSZU ROLNICZEGO GWARANCJI I EUROPEJSKIEGO FUNDUSZU ROLNEGO NA RZECZ ROZWOJU OBSZARÓW WIEJSKICH_x000d__x000d__x000d__x000d__x000d__x000d__x000d__x000d__x000d__x000d__x000b__x000d__x000d__x000d__x000d__x000d__x000d__x000d__x000d__x000d__x000d__x000b_2023 ROK BUD\u379?ETOWY_x000d__x000d__x000d__x000d__x000d__x000d__x000d__x000d__x000d__x000d__x000d__x000b_"/>
    <w:docVar w:name="LW_TYPE.DOC.CP" w:val="SPRAWOZDANIE KOMISJI DLA PARLAMENTU EUROPEJSKIEGO I RADY"/>
    <w:docVar w:name="LwApiVersions" w:val="LW4CoDe 1.24.5.0; LW 9.0, Build 20240221"/>
  </w:docVars>
  <w:rsids>
    <w:rsidRoot w:val="00A44A15"/>
    <w:rsid w:val="00000C87"/>
    <w:rsid w:val="00002DE4"/>
    <w:rsid w:val="00003FB4"/>
    <w:rsid w:val="00005E87"/>
    <w:rsid w:val="0000BAFB"/>
    <w:rsid w:val="00010D4E"/>
    <w:rsid w:val="000113F6"/>
    <w:rsid w:val="00011868"/>
    <w:rsid w:val="00011D4A"/>
    <w:rsid w:val="00011DF5"/>
    <w:rsid w:val="0001239F"/>
    <w:rsid w:val="000153C1"/>
    <w:rsid w:val="00015C4D"/>
    <w:rsid w:val="00016647"/>
    <w:rsid w:val="000170BC"/>
    <w:rsid w:val="00017132"/>
    <w:rsid w:val="000174DB"/>
    <w:rsid w:val="00017A09"/>
    <w:rsid w:val="00021458"/>
    <w:rsid w:val="00021B55"/>
    <w:rsid w:val="00021CC9"/>
    <w:rsid w:val="000231CC"/>
    <w:rsid w:val="0003042A"/>
    <w:rsid w:val="0003227B"/>
    <w:rsid w:val="00032316"/>
    <w:rsid w:val="00032DF6"/>
    <w:rsid w:val="0003316B"/>
    <w:rsid w:val="000334E1"/>
    <w:rsid w:val="0003407F"/>
    <w:rsid w:val="00034566"/>
    <w:rsid w:val="0003538C"/>
    <w:rsid w:val="00035EA1"/>
    <w:rsid w:val="000367A4"/>
    <w:rsid w:val="00037B3E"/>
    <w:rsid w:val="00037D30"/>
    <w:rsid w:val="00040EAD"/>
    <w:rsid w:val="00041249"/>
    <w:rsid w:val="00041A6B"/>
    <w:rsid w:val="00042578"/>
    <w:rsid w:val="00042871"/>
    <w:rsid w:val="00042903"/>
    <w:rsid w:val="00044276"/>
    <w:rsid w:val="000448A6"/>
    <w:rsid w:val="00044FD9"/>
    <w:rsid w:val="00045C26"/>
    <w:rsid w:val="000475CA"/>
    <w:rsid w:val="00047831"/>
    <w:rsid w:val="000500C1"/>
    <w:rsid w:val="00050101"/>
    <w:rsid w:val="00050340"/>
    <w:rsid w:val="00050998"/>
    <w:rsid w:val="0005188B"/>
    <w:rsid w:val="0005257E"/>
    <w:rsid w:val="00055281"/>
    <w:rsid w:val="00055C92"/>
    <w:rsid w:val="000604C0"/>
    <w:rsid w:val="000620CF"/>
    <w:rsid w:val="000622D6"/>
    <w:rsid w:val="00063279"/>
    <w:rsid w:val="0006328F"/>
    <w:rsid w:val="0006417D"/>
    <w:rsid w:val="000642D8"/>
    <w:rsid w:val="000647DE"/>
    <w:rsid w:val="00064C31"/>
    <w:rsid w:val="000664D4"/>
    <w:rsid w:val="00073FE9"/>
    <w:rsid w:val="00074B84"/>
    <w:rsid w:val="00075CDF"/>
    <w:rsid w:val="000763C9"/>
    <w:rsid w:val="000765EE"/>
    <w:rsid w:val="0007663F"/>
    <w:rsid w:val="00076CC6"/>
    <w:rsid w:val="00076EE4"/>
    <w:rsid w:val="000778D2"/>
    <w:rsid w:val="00080B9D"/>
    <w:rsid w:val="00080FC5"/>
    <w:rsid w:val="00081945"/>
    <w:rsid w:val="0008198C"/>
    <w:rsid w:val="000825FE"/>
    <w:rsid w:val="00083118"/>
    <w:rsid w:val="000857C3"/>
    <w:rsid w:val="00087DDF"/>
    <w:rsid w:val="00090020"/>
    <w:rsid w:val="000913C7"/>
    <w:rsid w:val="00091F8E"/>
    <w:rsid w:val="0009522F"/>
    <w:rsid w:val="00095948"/>
    <w:rsid w:val="00095C3A"/>
    <w:rsid w:val="00095E20"/>
    <w:rsid w:val="000A072C"/>
    <w:rsid w:val="000A2350"/>
    <w:rsid w:val="000A2E72"/>
    <w:rsid w:val="000A3695"/>
    <w:rsid w:val="000A46C1"/>
    <w:rsid w:val="000A4CAD"/>
    <w:rsid w:val="000A5CE3"/>
    <w:rsid w:val="000A5DB8"/>
    <w:rsid w:val="000A67E6"/>
    <w:rsid w:val="000B22D7"/>
    <w:rsid w:val="000B543C"/>
    <w:rsid w:val="000B592B"/>
    <w:rsid w:val="000B6385"/>
    <w:rsid w:val="000B6BB6"/>
    <w:rsid w:val="000B71F2"/>
    <w:rsid w:val="000C01BD"/>
    <w:rsid w:val="000C2802"/>
    <w:rsid w:val="000C41F0"/>
    <w:rsid w:val="000C4A02"/>
    <w:rsid w:val="000C4D1E"/>
    <w:rsid w:val="000C5A99"/>
    <w:rsid w:val="000D038E"/>
    <w:rsid w:val="000D13E0"/>
    <w:rsid w:val="000D1700"/>
    <w:rsid w:val="000D1955"/>
    <w:rsid w:val="000D19B9"/>
    <w:rsid w:val="000D1FC7"/>
    <w:rsid w:val="000D23D7"/>
    <w:rsid w:val="000D588F"/>
    <w:rsid w:val="000D5FFC"/>
    <w:rsid w:val="000D6F18"/>
    <w:rsid w:val="000D7B5D"/>
    <w:rsid w:val="000E0D27"/>
    <w:rsid w:val="000E19F6"/>
    <w:rsid w:val="000E2F2A"/>
    <w:rsid w:val="000E37CA"/>
    <w:rsid w:val="000E3BA6"/>
    <w:rsid w:val="000E4208"/>
    <w:rsid w:val="000E48D5"/>
    <w:rsid w:val="000E4C4F"/>
    <w:rsid w:val="000E7A0D"/>
    <w:rsid w:val="000F017E"/>
    <w:rsid w:val="000F088E"/>
    <w:rsid w:val="000F3B95"/>
    <w:rsid w:val="000F3C71"/>
    <w:rsid w:val="000F3F19"/>
    <w:rsid w:val="000F3FD7"/>
    <w:rsid w:val="000F45D3"/>
    <w:rsid w:val="000F4A2A"/>
    <w:rsid w:val="000F72AD"/>
    <w:rsid w:val="00100D52"/>
    <w:rsid w:val="0010145A"/>
    <w:rsid w:val="00101AC9"/>
    <w:rsid w:val="00101F8B"/>
    <w:rsid w:val="00102BE2"/>
    <w:rsid w:val="00102F4F"/>
    <w:rsid w:val="001031BE"/>
    <w:rsid w:val="00103C49"/>
    <w:rsid w:val="001055B3"/>
    <w:rsid w:val="0010584F"/>
    <w:rsid w:val="00105B09"/>
    <w:rsid w:val="00106A63"/>
    <w:rsid w:val="00112E24"/>
    <w:rsid w:val="00115339"/>
    <w:rsid w:val="0011546A"/>
    <w:rsid w:val="0012273F"/>
    <w:rsid w:val="00123ADA"/>
    <w:rsid w:val="00125163"/>
    <w:rsid w:val="001259C1"/>
    <w:rsid w:val="001259FC"/>
    <w:rsid w:val="0012618E"/>
    <w:rsid w:val="00126F91"/>
    <w:rsid w:val="00127769"/>
    <w:rsid w:val="00127E0A"/>
    <w:rsid w:val="001310EB"/>
    <w:rsid w:val="001318FE"/>
    <w:rsid w:val="001331D2"/>
    <w:rsid w:val="00133F3A"/>
    <w:rsid w:val="00135A9A"/>
    <w:rsid w:val="00135FE3"/>
    <w:rsid w:val="0013627E"/>
    <w:rsid w:val="00137CBE"/>
    <w:rsid w:val="00142527"/>
    <w:rsid w:val="00142A92"/>
    <w:rsid w:val="00142BFD"/>
    <w:rsid w:val="001431A8"/>
    <w:rsid w:val="00146A38"/>
    <w:rsid w:val="00146AFC"/>
    <w:rsid w:val="001500DA"/>
    <w:rsid w:val="00150BFE"/>
    <w:rsid w:val="00151873"/>
    <w:rsid w:val="001521AE"/>
    <w:rsid w:val="00153B3B"/>
    <w:rsid w:val="00155986"/>
    <w:rsid w:val="00156994"/>
    <w:rsid w:val="00156F3F"/>
    <w:rsid w:val="00157C0B"/>
    <w:rsid w:val="001636F2"/>
    <w:rsid w:val="001645E9"/>
    <w:rsid w:val="00165BC3"/>
    <w:rsid w:val="001665B5"/>
    <w:rsid w:val="00166E78"/>
    <w:rsid w:val="00167931"/>
    <w:rsid w:val="001701C9"/>
    <w:rsid w:val="001720E8"/>
    <w:rsid w:val="0017309A"/>
    <w:rsid w:val="00174687"/>
    <w:rsid w:val="001750DE"/>
    <w:rsid w:val="00177195"/>
    <w:rsid w:val="00177C3A"/>
    <w:rsid w:val="00180D8C"/>
    <w:rsid w:val="001830CF"/>
    <w:rsid w:val="00183BD0"/>
    <w:rsid w:val="00183FEE"/>
    <w:rsid w:val="00184087"/>
    <w:rsid w:val="00184372"/>
    <w:rsid w:val="00184553"/>
    <w:rsid w:val="00184862"/>
    <w:rsid w:val="00184AD3"/>
    <w:rsid w:val="00186093"/>
    <w:rsid w:val="00192D63"/>
    <w:rsid w:val="001931AD"/>
    <w:rsid w:val="00194843"/>
    <w:rsid w:val="001972E2"/>
    <w:rsid w:val="00197970"/>
    <w:rsid w:val="001A08EC"/>
    <w:rsid w:val="001A345A"/>
    <w:rsid w:val="001A3C03"/>
    <w:rsid w:val="001B039C"/>
    <w:rsid w:val="001B0520"/>
    <w:rsid w:val="001B14F9"/>
    <w:rsid w:val="001B55BC"/>
    <w:rsid w:val="001B5861"/>
    <w:rsid w:val="001B5CDE"/>
    <w:rsid w:val="001B6043"/>
    <w:rsid w:val="001C1B70"/>
    <w:rsid w:val="001C3DB5"/>
    <w:rsid w:val="001C4ACF"/>
    <w:rsid w:val="001C5269"/>
    <w:rsid w:val="001C5AB4"/>
    <w:rsid w:val="001C679C"/>
    <w:rsid w:val="001C6BF7"/>
    <w:rsid w:val="001C6C3D"/>
    <w:rsid w:val="001C758A"/>
    <w:rsid w:val="001C7C41"/>
    <w:rsid w:val="001D05C3"/>
    <w:rsid w:val="001D07EE"/>
    <w:rsid w:val="001D1284"/>
    <w:rsid w:val="001D3D49"/>
    <w:rsid w:val="001D4474"/>
    <w:rsid w:val="001D5253"/>
    <w:rsid w:val="001D5442"/>
    <w:rsid w:val="001D6763"/>
    <w:rsid w:val="001E034B"/>
    <w:rsid w:val="001E084E"/>
    <w:rsid w:val="001E0D2E"/>
    <w:rsid w:val="001E156C"/>
    <w:rsid w:val="001E2DAE"/>
    <w:rsid w:val="001E35B8"/>
    <w:rsid w:val="001E46AD"/>
    <w:rsid w:val="001E5EB4"/>
    <w:rsid w:val="001E67AC"/>
    <w:rsid w:val="001E7CD7"/>
    <w:rsid w:val="001F0B86"/>
    <w:rsid w:val="001F2AB3"/>
    <w:rsid w:val="001F3641"/>
    <w:rsid w:val="001F3826"/>
    <w:rsid w:val="001F437C"/>
    <w:rsid w:val="001F465C"/>
    <w:rsid w:val="001F5018"/>
    <w:rsid w:val="001F552C"/>
    <w:rsid w:val="001F5539"/>
    <w:rsid w:val="001F5B2C"/>
    <w:rsid w:val="001F7117"/>
    <w:rsid w:val="002011A5"/>
    <w:rsid w:val="0020137B"/>
    <w:rsid w:val="0020169D"/>
    <w:rsid w:val="00201DB1"/>
    <w:rsid w:val="00201DED"/>
    <w:rsid w:val="002025A7"/>
    <w:rsid w:val="00202E39"/>
    <w:rsid w:val="00203451"/>
    <w:rsid w:val="00203E28"/>
    <w:rsid w:val="00204BB5"/>
    <w:rsid w:val="00204F06"/>
    <w:rsid w:val="00205386"/>
    <w:rsid w:val="002065CE"/>
    <w:rsid w:val="00210A9F"/>
    <w:rsid w:val="00210D14"/>
    <w:rsid w:val="002144F5"/>
    <w:rsid w:val="00215762"/>
    <w:rsid w:val="00215771"/>
    <w:rsid w:val="00217274"/>
    <w:rsid w:val="002178C7"/>
    <w:rsid w:val="002202BC"/>
    <w:rsid w:val="00222817"/>
    <w:rsid w:val="0022472C"/>
    <w:rsid w:val="00226591"/>
    <w:rsid w:val="00230683"/>
    <w:rsid w:val="002332A2"/>
    <w:rsid w:val="0023639C"/>
    <w:rsid w:val="002366B2"/>
    <w:rsid w:val="00236D02"/>
    <w:rsid w:val="002372E9"/>
    <w:rsid w:val="00237493"/>
    <w:rsid w:val="002401C3"/>
    <w:rsid w:val="00240473"/>
    <w:rsid w:val="00240829"/>
    <w:rsid w:val="00241814"/>
    <w:rsid w:val="00242C80"/>
    <w:rsid w:val="0024366A"/>
    <w:rsid w:val="00243673"/>
    <w:rsid w:val="00243A73"/>
    <w:rsid w:val="00244269"/>
    <w:rsid w:val="0024482C"/>
    <w:rsid w:val="00245EDF"/>
    <w:rsid w:val="00245FCD"/>
    <w:rsid w:val="002554BF"/>
    <w:rsid w:val="00257AF4"/>
    <w:rsid w:val="00260643"/>
    <w:rsid w:val="002637FF"/>
    <w:rsid w:val="00263FD9"/>
    <w:rsid w:val="0026508C"/>
    <w:rsid w:val="002700BF"/>
    <w:rsid w:val="002703BC"/>
    <w:rsid w:val="00271E97"/>
    <w:rsid w:val="00274813"/>
    <w:rsid w:val="002755C8"/>
    <w:rsid w:val="00275F0E"/>
    <w:rsid w:val="002768C7"/>
    <w:rsid w:val="002817F7"/>
    <w:rsid w:val="00282DD0"/>
    <w:rsid w:val="002839A2"/>
    <w:rsid w:val="002861B9"/>
    <w:rsid w:val="002905B0"/>
    <w:rsid w:val="00292B86"/>
    <w:rsid w:val="00293CF2"/>
    <w:rsid w:val="00295C74"/>
    <w:rsid w:val="00295E17"/>
    <w:rsid w:val="00295EA2"/>
    <w:rsid w:val="002975CB"/>
    <w:rsid w:val="002976D3"/>
    <w:rsid w:val="00297DA6"/>
    <w:rsid w:val="002A02A8"/>
    <w:rsid w:val="002A0328"/>
    <w:rsid w:val="002A0AA1"/>
    <w:rsid w:val="002A1051"/>
    <w:rsid w:val="002A1EF0"/>
    <w:rsid w:val="002A22A9"/>
    <w:rsid w:val="002A28E8"/>
    <w:rsid w:val="002A3941"/>
    <w:rsid w:val="002A3D02"/>
    <w:rsid w:val="002A4E76"/>
    <w:rsid w:val="002A50C1"/>
    <w:rsid w:val="002A618F"/>
    <w:rsid w:val="002A7A51"/>
    <w:rsid w:val="002B0A10"/>
    <w:rsid w:val="002B0D36"/>
    <w:rsid w:val="002B11E3"/>
    <w:rsid w:val="002B1CE3"/>
    <w:rsid w:val="002B236F"/>
    <w:rsid w:val="002B24DD"/>
    <w:rsid w:val="002B2D7A"/>
    <w:rsid w:val="002B3935"/>
    <w:rsid w:val="002B44EE"/>
    <w:rsid w:val="002B4523"/>
    <w:rsid w:val="002B5206"/>
    <w:rsid w:val="002B6B16"/>
    <w:rsid w:val="002C0802"/>
    <w:rsid w:val="002C2527"/>
    <w:rsid w:val="002C34CA"/>
    <w:rsid w:val="002C352B"/>
    <w:rsid w:val="002C383C"/>
    <w:rsid w:val="002C4AA8"/>
    <w:rsid w:val="002C5B17"/>
    <w:rsid w:val="002C73C3"/>
    <w:rsid w:val="002D0327"/>
    <w:rsid w:val="002D05BA"/>
    <w:rsid w:val="002D0BF6"/>
    <w:rsid w:val="002D1BC0"/>
    <w:rsid w:val="002D28F4"/>
    <w:rsid w:val="002D3A88"/>
    <w:rsid w:val="002D4F60"/>
    <w:rsid w:val="002D4F79"/>
    <w:rsid w:val="002D5426"/>
    <w:rsid w:val="002D6D83"/>
    <w:rsid w:val="002D6ED9"/>
    <w:rsid w:val="002D6FF8"/>
    <w:rsid w:val="002D7574"/>
    <w:rsid w:val="002E0121"/>
    <w:rsid w:val="002E1611"/>
    <w:rsid w:val="002E1E8F"/>
    <w:rsid w:val="002E1FE9"/>
    <w:rsid w:val="002E58A6"/>
    <w:rsid w:val="002E59D4"/>
    <w:rsid w:val="002F0CB2"/>
    <w:rsid w:val="002F1E36"/>
    <w:rsid w:val="002F30F2"/>
    <w:rsid w:val="002F3A7F"/>
    <w:rsid w:val="002F46C6"/>
    <w:rsid w:val="002F53B1"/>
    <w:rsid w:val="002F6C1B"/>
    <w:rsid w:val="002F7D89"/>
    <w:rsid w:val="003002BA"/>
    <w:rsid w:val="00300BD2"/>
    <w:rsid w:val="003013DF"/>
    <w:rsid w:val="0030209A"/>
    <w:rsid w:val="0030264A"/>
    <w:rsid w:val="00302E92"/>
    <w:rsid w:val="0030358A"/>
    <w:rsid w:val="0030429E"/>
    <w:rsid w:val="0030496E"/>
    <w:rsid w:val="003052DB"/>
    <w:rsid w:val="00305DC5"/>
    <w:rsid w:val="0030650C"/>
    <w:rsid w:val="00307026"/>
    <w:rsid w:val="0030733B"/>
    <w:rsid w:val="00312F9A"/>
    <w:rsid w:val="00313350"/>
    <w:rsid w:val="00313BF5"/>
    <w:rsid w:val="00313ED4"/>
    <w:rsid w:val="0031574A"/>
    <w:rsid w:val="003200D5"/>
    <w:rsid w:val="003206BF"/>
    <w:rsid w:val="00321565"/>
    <w:rsid w:val="0032185B"/>
    <w:rsid w:val="00321861"/>
    <w:rsid w:val="003230D9"/>
    <w:rsid w:val="0032427C"/>
    <w:rsid w:val="00326608"/>
    <w:rsid w:val="00327C6F"/>
    <w:rsid w:val="00327D51"/>
    <w:rsid w:val="00330126"/>
    <w:rsid w:val="00331A18"/>
    <w:rsid w:val="0033224E"/>
    <w:rsid w:val="00332E54"/>
    <w:rsid w:val="003333E3"/>
    <w:rsid w:val="00334190"/>
    <w:rsid w:val="00334D7F"/>
    <w:rsid w:val="00335519"/>
    <w:rsid w:val="00335D5E"/>
    <w:rsid w:val="003366F9"/>
    <w:rsid w:val="00337B32"/>
    <w:rsid w:val="00341327"/>
    <w:rsid w:val="003413CC"/>
    <w:rsid w:val="00342B21"/>
    <w:rsid w:val="00344527"/>
    <w:rsid w:val="0034536E"/>
    <w:rsid w:val="00345481"/>
    <w:rsid w:val="0034565E"/>
    <w:rsid w:val="00346A0F"/>
    <w:rsid w:val="00347A80"/>
    <w:rsid w:val="00350C28"/>
    <w:rsid w:val="003522EB"/>
    <w:rsid w:val="00352FAB"/>
    <w:rsid w:val="00355437"/>
    <w:rsid w:val="00356F32"/>
    <w:rsid w:val="003579C0"/>
    <w:rsid w:val="003602E5"/>
    <w:rsid w:val="003604C8"/>
    <w:rsid w:val="003616E9"/>
    <w:rsid w:val="00361867"/>
    <w:rsid w:val="00361883"/>
    <w:rsid w:val="00361D37"/>
    <w:rsid w:val="00362360"/>
    <w:rsid w:val="0036364D"/>
    <w:rsid w:val="00367251"/>
    <w:rsid w:val="003705B6"/>
    <w:rsid w:val="003705E8"/>
    <w:rsid w:val="00371BF6"/>
    <w:rsid w:val="003742A7"/>
    <w:rsid w:val="00376DFC"/>
    <w:rsid w:val="00380A18"/>
    <w:rsid w:val="00382331"/>
    <w:rsid w:val="00384438"/>
    <w:rsid w:val="00387780"/>
    <w:rsid w:val="00387960"/>
    <w:rsid w:val="00390D68"/>
    <w:rsid w:val="003910EA"/>
    <w:rsid w:val="00392050"/>
    <w:rsid w:val="00392B1A"/>
    <w:rsid w:val="00395F72"/>
    <w:rsid w:val="00397F13"/>
    <w:rsid w:val="003A0ED5"/>
    <w:rsid w:val="003A1681"/>
    <w:rsid w:val="003A27AF"/>
    <w:rsid w:val="003A3F9C"/>
    <w:rsid w:val="003A5009"/>
    <w:rsid w:val="003A6127"/>
    <w:rsid w:val="003A619C"/>
    <w:rsid w:val="003A7FF0"/>
    <w:rsid w:val="003B0090"/>
    <w:rsid w:val="003B05F8"/>
    <w:rsid w:val="003B1477"/>
    <w:rsid w:val="003B1662"/>
    <w:rsid w:val="003B29AB"/>
    <w:rsid w:val="003B30A6"/>
    <w:rsid w:val="003B46A9"/>
    <w:rsid w:val="003B62A7"/>
    <w:rsid w:val="003B653A"/>
    <w:rsid w:val="003C0824"/>
    <w:rsid w:val="003C0B12"/>
    <w:rsid w:val="003C1183"/>
    <w:rsid w:val="003C12ED"/>
    <w:rsid w:val="003C25FA"/>
    <w:rsid w:val="003C2CB8"/>
    <w:rsid w:val="003C2EC4"/>
    <w:rsid w:val="003C3575"/>
    <w:rsid w:val="003C39D9"/>
    <w:rsid w:val="003C3E96"/>
    <w:rsid w:val="003C4B23"/>
    <w:rsid w:val="003C6572"/>
    <w:rsid w:val="003C65A3"/>
    <w:rsid w:val="003C77E9"/>
    <w:rsid w:val="003C7D7E"/>
    <w:rsid w:val="003C7E77"/>
    <w:rsid w:val="003D188E"/>
    <w:rsid w:val="003D2572"/>
    <w:rsid w:val="003D342C"/>
    <w:rsid w:val="003D3766"/>
    <w:rsid w:val="003D4125"/>
    <w:rsid w:val="003D4249"/>
    <w:rsid w:val="003D4264"/>
    <w:rsid w:val="003D61DA"/>
    <w:rsid w:val="003D6B10"/>
    <w:rsid w:val="003D6D88"/>
    <w:rsid w:val="003E296A"/>
    <w:rsid w:val="003E313A"/>
    <w:rsid w:val="003E369C"/>
    <w:rsid w:val="003E3A95"/>
    <w:rsid w:val="003E67F3"/>
    <w:rsid w:val="003E7EED"/>
    <w:rsid w:val="003F07E1"/>
    <w:rsid w:val="003F25C0"/>
    <w:rsid w:val="003F30C6"/>
    <w:rsid w:val="003F3ABA"/>
    <w:rsid w:val="003F3CCC"/>
    <w:rsid w:val="003F4485"/>
    <w:rsid w:val="003F5350"/>
    <w:rsid w:val="003F6232"/>
    <w:rsid w:val="003F65AD"/>
    <w:rsid w:val="003F6C2F"/>
    <w:rsid w:val="0040015C"/>
    <w:rsid w:val="004002B3"/>
    <w:rsid w:val="00402E8C"/>
    <w:rsid w:val="00404F84"/>
    <w:rsid w:val="00405E30"/>
    <w:rsid w:val="0040625D"/>
    <w:rsid w:val="00407ACD"/>
    <w:rsid w:val="00410DE1"/>
    <w:rsid w:val="00411786"/>
    <w:rsid w:val="00412A3E"/>
    <w:rsid w:val="004141C2"/>
    <w:rsid w:val="004142C2"/>
    <w:rsid w:val="00414ECA"/>
    <w:rsid w:val="00415D7A"/>
    <w:rsid w:val="004172BB"/>
    <w:rsid w:val="00420206"/>
    <w:rsid w:val="0042082E"/>
    <w:rsid w:val="00421B55"/>
    <w:rsid w:val="00421CE3"/>
    <w:rsid w:val="00422D45"/>
    <w:rsid w:val="00423A61"/>
    <w:rsid w:val="00424875"/>
    <w:rsid w:val="00424941"/>
    <w:rsid w:val="0042522F"/>
    <w:rsid w:val="004264CE"/>
    <w:rsid w:val="00430704"/>
    <w:rsid w:val="00430BF2"/>
    <w:rsid w:val="00431006"/>
    <w:rsid w:val="00431130"/>
    <w:rsid w:val="00432150"/>
    <w:rsid w:val="00432275"/>
    <w:rsid w:val="004334B3"/>
    <w:rsid w:val="004335CF"/>
    <w:rsid w:val="00433869"/>
    <w:rsid w:val="00434176"/>
    <w:rsid w:val="00436C21"/>
    <w:rsid w:val="004376F1"/>
    <w:rsid w:val="00437D2D"/>
    <w:rsid w:val="00440920"/>
    <w:rsid w:val="0044102F"/>
    <w:rsid w:val="0044222A"/>
    <w:rsid w:val="00442310"/>
    <w:rsid w:val="00442DCA"/>
    <w:rsid w:val="00443049"/>
    <w:rsid w:val="00444D1A"/>
    <w:rsid w:val="00447052"/>
    <w:rsid w:val="00447B3C"/>
    <w:rsid w:val="00447D74"/>
    <w:rsid w:val="004506FE"/>
    <w:rsid w:val="004515E5"/>
    <w:rsid w:val="00453242"/>
    <w:rsid w:val="00453636"/>
    <w:rsid w:val="00455B69"/>
    <w:rsid w:val="004560E8"/>
    <w:rsid w:val="004564E0"/>
    <w:rsid w:val="004609EB"/>
    <w:rsid w:val="0046137F"/>
    <w:rsid w:val="00464448"/>
    <w:rsid w:val="00465233"/>
    <w:rsid w:val="00465C5D"/>
    <w:rsid w:val="004676DD"/>
    <w:rsid w:val="00467829"/>
    <w:rsid w:val="00470386"/>
    <w:rsid w:val="00471F12"/>
    <w:rsid w:val="004723B3"/>
    <w:rsid w:val="004729B0"/>
    <w:rsid w:val="00472A13"/>
    <w:rsid w:val="004732B8"/>
    <w:rsid w:val="0047346C"/>
    <w:rsid w:val="00474081"/>
    <w:rsid w:val="0047646B"/>
    <w:rsid w:val="00477026"/>
    <w:rsid w:val="00477138"/>
    <w:rsid w:val="004774DD"/>
    <w:rsid w:val="004778DA"/>
    <w:rsid w:val="00477C48"/>
    <w:rsid w:val="00481A50"/>
    <w:rsid w:val="00482759"/>
    <w:rsid w:val="00482A5E"/>
    <w:rsid w:val="004835D8"/>
    <w:rsid w:val="00483CCB"/>
    <w:rsid w:val="00484A3D"/>
    <w:rsid w:val="00491E2B"/>
    <w:rsid w:val="004928C0"/>
    <w:rsid w:val="004929CE"/>
    <w:rsid w:val="0049380C"/>
    <w:rsid w:val="00493EE4"/>
    <w:rsid w:val="00494ED0"/>
    <w:rsid w:val="00495ECB"/>
    <w:rsid w:val="004960B0"/>
    <w:rsid w:val="004975DD"/>
    <w:rsid w:val="004A131B"/>
    <w:rsid w:val="004A138B"/>
    <w:rsid w:val="004A14FB"/>
    <w:rsid w:val="004A1F50"/>
    <w:rsid w:val="004A3D63"/>
    <w:rsid w:val="004A5ADA"/>
    <w:rsid w:val="004A5EE7"/>
    <w:rsid w:val="004A6D99"/>
    <w:rsid w:val="004A7498"/>
    <w:rsid w:val="004A7943"/>
    <w:rsid w:val="004A7F3D"/>
    <w:rsid w:val="004B00E5"/>
    <w:rsid w:val="004B0390"/>
    <w:rsid w:val="004B0D2D"/>
    <w:rsid w:val="004B0ECB"/>
    <w:rsid w:val="004B3B5B"/>
    <w:rsid w:val="004B432E"/>
    <w:rsid w:val="004B4825"/>
    <w:rsid w:val="004B63F5"/>
    <w:rsid w:val="004B723C"/>
    <w:rsid w:val="004C0DA2"/>
    <w:rsid w:val="004C14C4"/>
    <w:rsid w:val="004C1AAF"/>
    <w:rsid w:val="004C23A2"/>
    <w:rsid w:val="004C28FD"/>
    <w:rsid w:val="004C4BA1"/>
    <w:rsid w:val="004C4EAE"/>
    <w:rsid w:val="004C6AC3"/>
    <w:rsid w:val="004C6E44"/>
    <w:rsid w:val="004C7443"/>
    <w:rsid w:val="004D0E1B"/>
    <w:rsid w:val="004D1392"/>
    <w:rsid w:val="004D160A"/>
    <w:rsid w:val="004D1BD7"/>
    <w:rsid w:val="004D1DD7"/>
    <w:rsid w:val="004D252A"/>
    <w:rsid w:val="004D48D0"/>
    <w:rsid w:val="004D4DE8"/>
    <w:rsid w:val="004D702B"/>
    <w:rsid w:val="004D72D9"/>
    <w:rsid w:val="004E05E8"/>
    <w:rsid w:val="004E0886"/>
    <w:rsid w:val="004E0BA2"/>
    <w:rsid w:val="004E2FD4"/>
    <w:rsid w:val="004E4A25"/>
    <w:rsid w:val="004F07EA"/>
    <w:rsid w:val="004F0E3A"/>
    <w:rsid w:val="004F12CF"/>
    <w:rsid w:val="004F23AC"/>
    <w:rsid w:val="004F27F6"/>
    <w:rsid w:val="004F2942"/>
    <w:rsid w:val="004F29C3"/>
    <w:rsid w:val="004F392F"/>
    <w:rsid w:val="004F433D"/>
    <w:rsid w:val="004F4BB0"/>
    <w:rsid w:val="004F54FE"/>
    <w:rsid w:val="004F6840"/>
    <w:rsid w:val="004F7211"/>
    <w:rsid w:val="004F7CF9"/>
    <w:rsid w:val="004F7D99"/>
    <w:rsid w:val="00501417"/>
    <w:rsid w:val="00503CFE"/>
    <w:rsid w:val="00505AB7"/>
    <w:rsid w:val="00506D1D"/>
    <w:rsid w:val="00510416"/>
    <w:rsid w:val="00510422"/>
    <w:rsid w:val="00510678"/>
    <w:rsid w:val="00510C8B"/>
    <w:rsid w:val="00511588"/>
    <w:rsid w:val="0051337D"/>
    <w:rsid w:val="00516766"/>
    <w:rsid w:val="005179F2"/>
    <w:rsid w:val="00521702"/>
    <w:rsid w:val="0052170A"/>
    <w:rsid w:val="00521C8E"/>
    <w:rsid w:val="00522348"/>
    <w:rsid w:val="0052244B"/>
    <w:rsid w:val="00522BFE"/>
    <w:rsid w:val="00522E54"/>
    <w:rsid w:val="0052399F"/>
    <w:rsid w:val="00523F2F"/>
    <w:rsid w:val="00524FEF"/>
    <w:rsid w:val="0052509C"/>
    <w:rsid w:val="00525DBE"/>
    <w:rsid w:val="00527B2A"/>
    <w:rsid w:val="00527CD2"/>
    <w:rsid w:val="00531CCE"/>
    <w:rsid w:val="00531F63"/>
    <w:rsid w:val="00532006"/>
    <w:rsid w:val="005341C4"/>
    <w:rsid w:val="005379B7"/>
    <w:rsid w:val="00541B7E"/>
    <w:rsid w:val="00542E7D"/>
    <w:rsid w:val="005446CD"/>
    <w:rsid w:val="005449A2"/>
    <w:rsid w:val="00544BBE"/>
    <w:rsid w:val="00547119"/>
    <w:rsid w:val="005522F8"/>
    <w:rsid w:val="00552DEE"/>
    <w:rsid w:val="00554662"/>
    <w:rsid w:val="0055597E"/>
    <w:rsid w:val="0055623D"/>
    <w:rsid w:val="00556669"/>
    <w:rsid w:val="005569C0"/>
    <w:rsid w:val="00556EDE"/>
    <w:rsid w:val="0056024E"/>
    <w:rsid w:val="005602A3"/>
    <w:rsid w:val="00562A3A"/>
    <w:rsid w:val="005640F2"/>
    <w:rsid w:val="00564FC5"/>
    <w:rsid w:val="00565908"/>
    <w:rsid w:val="0056717D"/>
    <w:rsid w:val="00567583"/>
    <w:rsid w:val="005677C6"/>
    <w:rsid w:val="00571107"/>
    <w:rsid w:val="005711B7"/>
    <w:rsid w:val="00573C8A"/>
    <w:rsid w:val="00573F60"/>
    <w:rsid w:val="005746B1"/>
    <w:rsid w:val="00574996"/>
    <w:rsid w:val="00574F5A"/>
    <w:rsid w:val="00574F81"/>
    <w:rsid w:val="005751B9"/>
    <w:rsid w:val="00575244"/>
    <w:rsid w:val="005753CD"/>
    <w:rsid w:val="00575D1A"/>
    <w:rsid w:val="00576327"/>
    <w:rsid w:val="00576AE1"/>
    <w:rsid w:val="00576BFE"/>
    <w:rsid w:val="005774BB"/>
    <w:rsid w:val="005804CE"/>
    <w:rsid w:val="00580528"/>
    <w:rsid w:val="00581EFB"/>
    <w:rsid w:val="00582F6A"/>
    <w:rsid w:val="0058479D"/>
    <w:rsid w:val="00586808"/>
    <w:rsid w:val="005871D6"/>
    <w:rsid w:val="0058729B"/>
    <w:rsid w:val="00590C3F"/>
    <w:rsid w:val="005911F1"/>
    <w:rsid w:val="00591754"/>
    <w:rsid w:val="00592F77"/>
    <w:rsid w:val="0059467F"/>
    <w:rsid w:val="00595037"/>
    <w:rsid w:val="00596304"/>
    <w:rsid w:val="0059663D"/>
    <w:rsid w:val="00596D7A"/>
    <w:rsid w:val="005A06ED"/>
    <w:rsid w:val="005A07CC"/>
    <w:rsid w:val="005A213B"/>
    <w:rsid w:val="005A2A77"/>
    <w:rsid w:val="005A2E46"/>
    <w:rsid w:val="005A3641"/>
    <w:rsid w:val="005A3CE0"/>
    <w:rsid w:val="005A6905"/>
    <w:rsid w:val="005A7427"/>
    <w:rsid w:val="005A7D0B"/>
    <w:rsid w:val="005B20A8"/>
    <w:rsid w:val="005B2135"/>
    <w:rsid w:val="005B38F6"/>
    <w:rsid w:val="005B4ECD"/>
    <w:rsid w:val="005B576C"/>
    <w:rsid w:val="005B6958"/>
    <w:rsid w:val="005B764D"/>
    <w:rsid w:val="005C0329"/>
    <w:rsid w:val="005C162D"/>
    <w:rsid w:val="005C41B9"/>
    <w:rsid w:val="005C498F"/>
    <w:rsid w:val="005D027B"/>
    <w:rsid w:val="005D05EB"/>
    <w:rsid w:val="005D0C55"/>
    <w:rsid w:val="005D38E8"/>
    <w:rsid w:val="005D55BE"/>
    <w:rsid w:val="005E1694"/>
    <w:rsid w:val="005E20F8"/>
    <w:rsid w:val="005E2E88"/>
    <w:rsid w:val="005E3307"/>
    <w:rsid w:val="005E3916"/>
    <w:rsid w:val="005E3A2E"/>
    <w:rsid w:val="005E3DA7"/>
    <w:rsid w:val="005E4699"/>
    <w:rsid w:val="005E52B0"/>
    <w:rsid w:val="005E6508"/>
    <w:rsid w:val="005F19D3"/>
    <w:rsid w:val="005F2799"/>
    <w:rsid w:val="005F4BE4"/>
    <w:rsid w:val="005F5462"/>
    <w:rsid w:val="005F63AB"/>
    <w:rsid w:val="005F6469"/>
    <w:rsid w:val="005F654A"/>
    <w:rsid w:val="005F6D71"/>
    <w:rsid w:val="005F7AFC"/>
    <w:rsid w:val="00600371"/>
    <w:rsid w:val="006015D0"/>
    <w:rsid w:val="006036E1"/>
    <w:rsid w:val="00604BBD"/>
    <w:rsid w:val="006073A0"/>
    <w:rsid w:val="00607CF4"/>
    <w:rsid w:val="0061016D"/>
    <w:rsid w:val="0061077A"/>
    <w:rsid w:val="00610A69"/>
    <w:rsid w:val="00614750"/>
    <w:rsid w:val="00617D55"/>
    <w:rsid w:val="00621A44"/>
    <w:rsid w:val="0062266F"/>
    <w:rsid w:val="00622EFA"/>
    <w:rsid w:val="00623E46"/>
    <w:rsid w:val="0062424F"/>
    <w:rsid w:val="006243A1"/>
    <w:rsid w:val="0062473A"/>
    <w:rsid w:val="00624BD6"/>
    <w:rsid w:val="0062662D"/>
    <w:rsid w:val="00627A94"/>
    <w:rsid w:val="00630148"/>
    <w:rsid w:val="00630755"/>
    <w:rsid w:val="00633706"/>
    <w:rsid w:val="006340ED"/>
    <w:rsid w:val="00634C49"/>
    <w:rsid w:val="0063511E"/>
    <w:rsid w:val="00636666"/>
    <w:rsid w:val="00641733"/>
    <w:rsid w:val="0064419D"/>
    <w:rsid w:val="00644EB3"/>
    <w:rsid w:val="0064569C"/>
    <w:rsid w:val="00645938"/>
    <w:rsid w:val="00645D5A"/>
    <w:rsid w:val="00645EC5"/>
    <w:rsid w:val="0064759E"/>
    <w:rsid w:val="0065044D"/>
    <w:rsid w:val="00650D30"/>
    <w:rsid w:val="00652B88"/>
    <w:rsid w:val="0065380E"/>
    <w:rsid w:val="006555D7"/>
    <w:rsid w:val="006569CC"/>
    <w:rsid w:val="00656EFF"/>
    <w:rsid w:val="00657349"/>
    <w:rsid w:val="00657E36"/>
    <w:rsid w:val="006613CD"/>
    <w:rsid w:val="00664027"/>
    <w:rsid w:val="00664DDA"/>
    <w:rsid w:val="0066524A"/>
    <w:rsid w:val="006655AE"/>
    <w:rsid w:val="00666251"/>
    <w:rsid w:val="0066752C"/>
    <w:rsid w:val="00667D7F"/>
    <w:rsid w:val="0067027E"/>
    <w:rsid w:val="0067165D"/>
    <w:rsid w:val="00674071"/>
    <w:rsid w:val="00676BA5"/>
    <w:rsid w:val="00677058"/>
    <w:rsid w:val="006770E6"/>
    <w:rsid w:val="006771C5"/>
    <w:rsid w:val="00677BF6"/>
    <w:rsid w:val="00680014"/>
    <w:rsid w:val="00681033"/>
    <w:rsid w:val="00681AEE"/>
    <w:rsid w:val="006827A2"/>
    <w:rsid w:val="00685BE4"/>
    <w:rsid w:val="00685D1A"/>
    <w:rsid w:val="00686BE5"/>
    <w:rsid w:val="00687990"/>
    <w:rsid w:val="00694181"/>
    <w:rsid w:val="006941BD"/>
    <w:rsid w:val="00694A58"/>
    <w:rsid w:val="00694DA5"/>
    <w:rsid w:val="0069521A"/>
    <w:rsid w:val="00695812"/>
    <w:rsid w:val="00696119"/>
    <w:rsid w:val="00696124"/>
    <w:rsid w:val="006962D9"/>
    <w:rsid w:val="00696749"/>
    <w:rsid w:val="00697046"/>
    <w:rsid w:val="00697350"/>
    <w:rsid w:val="00697B20"/>
    <w:rsid w:val="006A1EF1"/>
    <w:rsid w:val="006A2753"/>
    <w:rsid w:val="006A40FD"/>
    <w:rsid w:val="006B0D2C"/>
    <w:rsid w:val="006B103F"/>
    <w:rsid w:val="006B3B01"/>
    <w:rsid w:val="006B63A2"/>
    <w:rsid w:val="006B7288"/>
    <w:rsid w:val="006B7513"/>
    <w:rsid w:val="006B7642"/>
    <w:rsid w:val="006C110B"/>
    <w:rsid w:val="006C1543"/>
    <w:rsid w:val="006C15A4"/>
    <w:rsid w:val="006C1868"/>
    <w:rsid w:val="006C34BF"/>
    <w:rsid w:val="006C3922"/>
    <w:rsid w:val="006C5092"/>
    <w:rsid w:val="006C7DBE"/>
    <w:rsid w:val="006D2A67"/>
    <w:rsid w:val="006D2ACA"/>
    <w:rsid w:val="006D47DE"/>
    <w:rsid w:val="006D6462"/>
    <w:rsid w:val="006D7E27"/>
    <w:rsid w:val="006D7FE3"/>
    <w:rsid w:val="006E0E10"/>
    <w:rsid w:val="006E1C5A"/>
    <w:rsid w:val="006E1DE6"/>
    <w:rsid w:val="006E235F"/>
    <w:rsid w:val="006E2EBF"/>
    <w:rsid w:val="006E5237"/>
    <w:rsid w:val="006E63B3"/>
    <w:rsid w:val="006E7F52"/>
    <w:rsid w:val="006F0A9D"/>
    <w:rsid w:val="006F0F56"/>
    <w:rsid w:val="006F13F8"/>
    <w:rsid w:val="006F2865"/>
    <w:rsid w:val="006F2F50"/>
    <w:rsid w:val="006F3202"/>
    <w:rsid w:val="006F6463"/>
    <w:rsid w:val="00700CE7"/>
    <w:rsid w:val="00701ECD"/>
    <w:rsid w:val="00702C93"/>
    <w:rsid w:val="007042ED"/>
    <w:rsid w:val="00707498"/>
    <w:rsid w:val="0071011E"/>
    <w:rsid w:val="007101C9"/>
    <w:rsid w:val="00710F8B"/>
    <w:rsid w:val="00710FFB"/>
    <w:rsid w:val="00712336"/>
    <w:rsid w:val="0071368D"/>
    <w:rsid w:val="00713E18"/>
    <w:rsid w:val="00717399"/>
    <w:rsid w:val="00717795"/>
    <w:rsid w:val="0072049D"/>
    <w:rsid w:val="00720EA9"/>
    <w:rsid w:val="0072169B"/>
    <w:rsid w:val="007221F6"/>
    <w:rsid w:val="007223AA"/>
    <w:rsid w:val="00723500"/>
    <w:rsid w:val="00724349"/>
    <w:rsid w:val="007257F3"/>
    <w:rsid w:val="00726633"/>
    <w:rsid w:val="007272C4"/>
    <w:rsid w:val="0073018C"/>
    <w:rsid w:val="00732ACF"/>
    <w:rsid w:val="00732EA4"/>
    <w:rsid w:val="00732FD1"/>
    <w:rsid w:val="0073544C"/>
    <w:rsid w:val="00736441"/>
    <w:rsid w:val="00736C78"/>
    <w:rsid w:val="0073724D"/>
    <w:rsid w:val="0073732B"/>
    <w:rsid w:val="00737B85"/>
    <w:rsid w:val="00741EFC"/>
    <w:rsid w:val="00744187"/>
    <w:rsid w:val="00744678"/>
    <w:rsid w:val="00744C9B"/>
    <w:rsid w:val="00746D75"/>
    <w:rsid w:val="00747B2E"/>
    <w:rsid w:val="007529B3"/>
    <w:rsid w:val="007537FB"/>
    <w:rsid w:val="00753CC5"/>
    <w:rsid w:val="00753FC6"/>
    <w:rsid w:val="00755B4E"/>
    <w:rsid w:val="00755FA0"/>
    <w:rsid w:val="007563E1"/>
    <w:rsid w:val="00756989"/>
    <w:rsid w:val="00756AA0"/>
    <w:rsid w:val="00756B0E"/>
    <w:rsid w:val="00756D7D"/>
    <w:rsid w:val="00757920"/>
    <w:rsid w:val="00757EEE"/>
    <w:rsid w:val="007609F6"/>
    <w:rsid w:val="007634A3"/>
    <w:rsid w:val="0076361A"/>
    <w:rsid w:val="00765450"/>
    <w:rsid w:val="00767D16"/>
    <w:rsid w:val="00767E7C"/>
    <w:rsid w:val="007702B4"/>
    <w:rsid w:val="00770A43"/>
    <w:rsid w:val="00772191"/>
    <w:rsid w:val="00774AC2"/>
    <w:rsid w:val="00777576"/>
    <w:rsid w:val="00777659"/>
    <w:rsid w:val="00780291"/>
    <w:rsid w:val="00781337"/>
    <w:rsid w:val="0078352B"/>
    <w:rsid w:val="007838DD"/>
    <w:rsid w:val="00783DE4"/>
    <w:rsid w:val="00783EEE"/>
    <w:rsid w:val="00783F35"/>
    <w:rsid w:val="00784B69"/>
    <w:rsid w:val="00784CB7"/>
    <w:rsid w:val="00784DAE"/>
    <w:rsid w:val="00786D11"/>
    <w:rsid w:val="00790B0E"/>
    <w:rsid w:val="00790F49"/>
    <w:rsid w:val="00791FF3"/>
    <w:rsid w:val="00792EE3"/>
    <w:rsid w:val="007938DC"/>
    <w:rsid w:val="0079391A"/>
    <w:rsid w:val="00793F85"/>
    <w:rsid w:val="0079487B"/>
    <w:rsid w:val="00795544"/>
    <w:rsid w:val="007A146E"/>
    <w:rsid w:val="007A14A2"/>
    <w:rsid w:val="007A3362"/>
    <w:rsid w:val="007A617B"/>
    <w:rsid w:val="007A6433"/>
    <w:rsid w:val="007B04A6"/>
    <w:rsid w:val="007B1A56"/>
    <w:rsid w:val="007B1F8A"/>
    <w:rsid w:val="007B2D28"/>
    <w:rsid w:val="007B5A01"/>
    <w:rsid w:val="007B6669"/>
    <w:rsid w:val="007C1663"/>
    <w:rsid w:val="007C184B"/>
    <w:rsid w:val="007C26FC"/>
    <w:rsid w:val="007C2AF3"/>
    <w:rsid w:val="007C5507"/>
    <w:rsid w:val="007C6D86"/>
    <w:rsid w:val="007C6E26"/>
    <w:rsid w:val="007C7B97"/>
    <w:rsid w:val="007D38E1"/>
    <w:rsid w:val="007D40D3"/>
    <w:rsid w:val="007D7FB2"/>
    <w:rsid w:val="007E0E8A"/>
    <w:rsid w:val="007E52E5"/>
    <w:rsid w:val="007E52FD"/>
    <w:rsid w:val="007E74C7"/>
    <w:rsid w:val="007F0172"/>
    <w:rsid w:val="007F06F1"/>
    <w:rsid w:val="007F24C2"/>
    <w:rsid w:val="007F3A90"/>
    <w:rsid w:val="007F674D"/>
    <w:rsid w:val="007F7764"/>
    <w:rsid w:val="007F7E98"/>
    <w:rsid w:val="0080014C"/>
    <w:rsid w:val="00801173"/>
    <w:rsid w:val="00801DBF"/>
    <w:rsid w:val="008021B5"/>
    <w:rsid w:val="00802AA8"/>
    <w:rsid w:val="00802CE0"/>
    <w:rsid w:val="008049BF"/>
    <w:rsid w:val="00804C3B"/>
    <w:rsid w:val="0080537E"/>
    <w:rsid w:val="00806DFF"/>
    <w:rsid w:val="0080741F"/>
    <w:rsid w:val="00807811"/>
    <w:rsid w:val="00807B6C"/>
    <w:rsid w:val="008101E5"/>
    <w:rsid w:val="00810479"/>
    <w:rsid w:val="00810D99"/>
    <w:rsid w:val="00810DFA"/>
    <w:rsid w:val="008110E3"/>
    <w:rsid w:val="0081132B"/>
    <w:rsid w:val="00812A08"/>
    <w:rsid w:val="008138B4"/>
    <w:rsid w:val="008141A5"/>
    <w:rsid w:val="008147F1"/>
    <w:rsid w:val="008154A0"/>
    <w:rsid w:val="00816559"/>
    <w:rsid w:val="0081757F"/>
    <w:rsid w:val="00817C6A"/>
    <w:rsid w:val="008225DC"/>
    <w:rsid w:val="00822C66"/>
    <w:rsid w:val="00822EE4"/>
    <w:rsid w:val="00822F73"/>
    <w:rsid w:val="008230E4"/>
    <w:rsid w:val="00823475"/>
    <w:rsid w:val="00825A93"/>
    <w:rsid w:val="0082740F"/>
    <w:rsid w:val="00827480"/>
    <w:rsid w:val="00830F77"/>
    <w:rsid w:val="00831AC6"/>
    <w:rsid w:val="00832599"/>
    <w:rsid w:val="008327AA"/>
    <w:rsid w:val="0083335A"/>
    <w:rsid w:val="0083453B"/>
    <w:rsid w:val="008354B4"/>
    <w:rsid w:val="008362CE"/>
    <w:rsid w:val="0083700E"/>
    <w:rsid w:val="00840A68"/>
    <w:rsid w:val="00840A9D"/>
    <w:rsid w:val="00841604"/>
    <w:rsid w:val="0084737F"/>
    <w:rsid w:val="00847AAA"/>
    <w:rsid w:val="00850E65"/>
    <w:rsid w:val="00851FA8"/>
    <w:rsid w:val="0085267C"/>
    <w:rsid w:val="008530DC"/>
    <w:rsid w:val="00853755"/>
    <w:rsid w:val="00853EC1"/>
    <w:rsid w:val="00854159"/>
    <w:rsid w:val="00855008"/>
    <w:rsid w:val="00855BA6"/>
    <w:rsid w:val="00856440"/>
    <w:rsid w:val="00856F3B"/>
    <w:rsid w:val="00860A4E"/>
    <w:rsid w:val="008611C6"/>
    <w:rsid w:val="008612CC"/>
    <w:rsid w:val="008649C8"/>
    <w:rsid w:val="0086684B"/>
    <w:rsid w:val="0087012C"/>
    <w:rsid w:val="00870FE2"/>
    <w:rsid w:val="00871A1D"/>
    <w:rsid w:val="00872DFA"/>
    <w:rsid w:val="00874481"/>
    <w:rsid w:val="00874E40"/>
    <w:rsid w:val="008753B2"/>
    <w:rsid w:val="00875D67"/>
    <w:rsid w:val="008765F9"/>
    <w:rsid w:val="008809A2"/>
    <w:rsid w:val="00881A07"/>
    <w:rsid w:val="00884D59"/>
    <w:rsid w:val="00885309"/>
    <w:rsid w:val="008861D0"/>
    <w:rsid w:val="0089061A"/>
    <w:rsid w:val="00892C6A"/>
    <w:rsid w:val="00893533"/>
    <w:rsid w:val="008939C0"/>
    <w:rsid w:val="00894ED8"/>
    <w:rsid w:val="00894F73"/>
    <w:rsid w:val="00895135"/>
    <w:rsid w:val="00896343"/>
    <w:rsid w:val="00896A41"/>
    <w:rsid w:val="00897858"/>
    <w:rsid w:val="008979D4"/>
    <w:rsid w:val="008A18BC"/>
    <w:rsid w:val="008A23B3"/>
    <w:rsid w:val="008A290D"/>
    <w:rsid w:val="008A2C14"/>
    <w:rsid w:val="008A30A9"/>
    <w:rsid w:val="008A50BE"/>
    <w:rsid w:val="008A74A6"/>
    <w:rsid w:val="008A7C76"/>
    <w:rsid w:val="008B05C1"/>
    <w:rsid w:val="008B0F5D"/>
    <w:rsid w:val="008B1EEB"/>
    <w:rsid w:val="008B22FE"/>
    <w:rsid w:val="008B281E"/>
    <w:rsid w:val="008B41DA"/>
    <w:rsid w:val="008B71CF"/>
    <w:rsid w:val="008B73A9"/>
    <w:rsid w:val="008B7B4E"/>
    <w:rsid w:val="008B7CE6"/>
    <w:rsid w:val="008C3B85"/>
    <w:rsid w:val="008C4302"/>
    <w:rsid w:val="008C4636"/>
    <w:rsid w:val="008C5F90"/>
    <w:rsid w:val="008C6062"/>
    <w:rsid w:val="008C7CDF"/>
    <w:rsid w:val="008D10CD"/>
    <w:rsid w:val="008D1E9F"/>
    <w:rsid w:val="008D27E2"/>
    <w:rsid w:val="008D2886"/>
    <w:rsid w:val="008D4244"/>
    <w:rsid w:val="008D4447"/>
    <w:rsid w:val="008D4DC6"/>
    <w:rsid w:val="008D6AEA"/>
    <w:rsid w:val="008D78E6"/>
    <w:rsid w:val="008E1262"/>
    <w:rsid w:val="008E1E8A"/>
    <w:rsid w:val="008E4165"/>
    <w:rsid w:val="008E464F"/>
    <w:rsid w:val="008E6020"/>
    <w:rsid w:val="008E6995"/>
    <w:rsid w:val="008E7657"/>
    <w:rsid w:val="008F055C"/>
    <w:rsid w:val="008F22C3"/>
    <w:rsid w:val="008F38B4"/>
    <w:rsid w:val="008F43CE"/>
    <w:rsid w:val="008F536B"/>
    <w:rsid w:val="008F53AD"/>
    <w:rsid w:val="008F551E"/>
    <w:rsid w:val="008F6D1F"/>
    <w:rsid w:val="008F75FE"/>
    <w:rsid w:val="00900C5E"/>
    <w:rsid w:val="00901006"/>
    <w:rsid w:val="00903269"/>
    <w:rsid w:val="009033D2"/>
    <w:rsid w:val="00903E62"/>
    <w:rsid w:val="00904280"/>
    <w:rsid w:val="00904C97"/>
    <w:rsid w:val="00906FB1"/>
    <w:rsid w:val="00911CDF"/>
    <w:rsid w:val="00911DEC"/>
    <w:rsid w:val="00912715"/>
    <w:rsid w:val="00912944"/>
    <w:rsid w:val="00914464"/>
    <w:rsid w:val="009151D5"/>
    <w:rsid w:val="00915A03"/>
    <w:rsid w:val="00917DA7"/>
    <w:rsid w:val="00920525"/>
    <w:rsid w:val="00920952"/>
    <w:rsid w:val="00921081"/>
    <w:rsid w:val="0092311F"/>
    <w:rsid w:val="0092565F"/>
    <w:rsid w:val="009269CD"/>
    <w:rsid w:val="00927244"/>
    <w:rsid w:val="00927A58"/>
    <w:rsid w:val="00930A9E"/>
    <w:rsid w:val="009315A6"/>
    <w:rsid w:val="00931646"/>
    <w:rsid w:val="009322EF"/>
    <w:rsid w:val="00933DDD"/>
    <w:rsid w:val="009347B5"/>
    <w:rsid w:val="00934EDA"/>
    <w:rsid w:val="00934FAA"/>
    <w:rsid w:val="009352E7"/>
    <w:rsid w:val="00941E65"/>
    <w:rsid w:val="009426A6"/>
    <w:rsid w:val="0094274E"/>
    <w:rsid w:val="00942A00"/>
    <w:rsid w:val="00943512"/>
    <w:rsid w:val="00943CED"/>
    <w:rsid w:val="009440D2"/>
    <w:rsid w:val="009441D2"/>
    <w:rsid w:val="00944922"/>
    <w:rsid w:val="009460EB"/>
    <w:rsid w:val="00946612"/>
    <w:rsid w:val="0094669D"/>
    <w:rsid w:val="00947B0C"/>
    <w:rsid w:val="0094C503"/>
    <w:rsid w:val="0095145E"/>
    <w:rsid w:val="0095147F"/>
    <w:rsid w:val="00951A49"/>
    <w:rsid w:val="00951CC4"/>
    <w:rsid w:val="00952D03"/>
    <w:rsid w:val="00953397"/>
    <w:rsid w:val="009535C1"/>
    <w:rsid w:val="00954C03"/>
    <w:rsid w:val="00955460"/>
    <w:rsid w:val="009576C5"/>
    <w:rsid w:val="00962621"/>
    <w:rsid w:val="00963B53"/>
    <w:rsid w:val="009649E5"/>
    <w:rsid w:val="00966DB6"/>
    <w:rsid w:val="009670C1"/>
    <w:rsid w:val="00967284"/>
    <w:rsid w:val="0096764E"/>
    <w:rsid w:val="009676B0"/>
    <w:rsid w:val="009702CD"/>
    <w:rsid w:val="00972003"/>
    <w:rsid w:val="00972338"/>
    <w:rsid w:val="00973374"/>
    <w:rsid w:val="00973713"/>
    <w:rsid w:val="00975DF9"/>
    <w:rsid w:val="009801CF"/>
    <w:rsid w:val="0098024C"/>
    <w:rsid w:val="00980B51"/>
    <w:rsid w:val="00981595"/>
    <w:rsid w:val="00981856"/>
    <w:rsid w:val="00982716"/>
    <w:rsid w:val="00984B91"/>
    <w:rsid w:val="0098560D"/>
    <w:rsid w:val="009872FC"/>
    <w:rsid w:val="00990270"/>
    <w:rsid w:val="00992655"/>
    <w:rsid w:val="009929FE"/>
    <w:rsid w:val="009942A7"/>
    <w:rsid w:val="00994F5D"/>
    <w:rsid w:val="009964AB"/>
    <w:rsid w:val="00996F63"/>
    <w:rsid w:val="009A016A"/>
    <w:rsid w:val="009A0353"/>
    <w:rsid w:val="009A0D57"/>
    <w:rsid w:val="009A0F11"/>
    <w:rsid w:val="009A3052"/>
    <w:rsid w:val="009A3141"/>
    <w:rsid w:val="009A5021"/>
    <w:rsid w:val="009A64C8"/>
    <w:rsid w:val="009A6DE2"/>
    <w:rsid w:val="009A79F5"/>
    <w:rsid w:val="009B15A7"/>
    <w:rsid w:val="009B1AC0"/>
    <w:rsid w:val="009B2821"/>
    <w:rsid w:val="009B4384"/>
    <w:rsid w:val="009B44A1"/>
    <w:rsid w:val="009B5240"/>
    <w:rsid w:val="009B6318"/>
    <w:rsid w:val="009B6668"/>
    <w:rsid w:val="009B6DE7"/>
    <w:rsid w:val="009C2A6C"/>
    <w:rsid w:val="009C43B0"/>
    <w:rsid w:val="009C516C"/>
    <w:rsid w:val="009C79C9"/>
    <w:rsid w:val="009D0AE0"/>
    <w:rsid w:val="009D2B61"/>
    <w:rsid w:val="009D3C07"/>
    <w:rsid w:val="009D40E5"/>
    <w:rsid w:val="009D483F"/>
    <w:rsid w:val="009D5C40"/>
    <w:rsid w:val="009D5E75"/>
    <w:rsid w:val="009D5F51"/>
    <w:rsid w:val="009D65D7"/>
    <w:rsid w:val="009D6756"/>
    <w:rsid w:val="009E07C4"/>
    <w:rsid w:val="009E0909"/>
    <w:rsid w:val="009F0FD4"/>
    <w:rsid w:val="009F20B4"/>
    <w:rsid w:val="009F4538"/>
    <w:rsid w:val="009F4DFE"/>
    <w:rsid w:val="009F6406"/>
    <w:rsid w:val="009F6B83"/>
    <w:rsid w:val="009F7856"/>
    <w:rsid w:val="009F7F77"/>
    <w:rsid w:val="00A01287"/>
    <w:rsid w:val="00A015DF"/>
    <w:rsid w:val="00A0339E"/>
    <w:rsid w:val="00A03C49"/>
    <w:rsid w:val="00A03E9E"/>
    <w:rsid w:val="00A051B7"/>
    <w:rsid w:val="00A05252"/>
    <w:rsid w:val="00A052BE"/>
    <w:rsid w:val="00A054AE"/>
    <w:rsid w:val="00A05E48"/>
    <w:rsid w:val="00A060CB"/>
    <w:rsid w:val="00A067B9"/>
    <w:rsid w:val="00A068FF"/>
    <w:rsid w:val="00A06FE2"/>
    <w:rsid w:val="00A10E32"/>
    <w:rsid w:val="00A1187A"/>
    <w:rsid w:val="00A1202F"/>
    <w:rsid w:val="00A12E57"/>
    <w:rsid w:val="00A147A2"/>
    <w:rsid w:val="00A1480F"/>
    <w:rsid w:val="00A14C10"/>
    <w:rsid w:val="00A15668"/>
    <w:rsid w:val="00A15AE9"/>
    <w:rsid w:val="00A1604F"/>
    <w:rsid w:val="00A172F0"/>
    <w:rsid w:val="00A20696"/>
    <w:rsid w:val="00A20BC6"/>
    <w:rsid w:val="00A2319D"/>
    <w:rsid w:val="00A23CFB"/>
    <w:rsid w:val="00A254D0"/>
    <w:rsid w:val="00A25A29"/>
    <w:rsid w:val="00A26B2D"/>
    <w:rsid w:val="00A30ACC"/>
    <w:rsid w:val="00A30FDC"/>
    <w:rsid w:val="00A31794"/>
    <w:rsid w:val="00A322B6"/>
    <w:rsid w:val="00A32C01"/>
    <w:rsid w:val="00A35FCB"/>
    <w:rsid w:val="00A42282"/>
    <w:rsid w:val="00A434AB"/>
    <w:rsid w:val="00A44165"/>
    <w:rsid w:val="00A44A15"/>
    <w:rsid w:val="00A44B68"/>
    <w:rsid w:val="00A45B7F"/>
    <w:rsid w:val="00A46144"/>
    <w:rsid w:val="00A51AB6"/>
    <w:rsid w:val="00A535C8"/>
    <w:rsid w:val="00A5389B"/>
    <w:rsid w:val="00A53BA7"/>
    <w:rsid w:val="00A54B80"/>
    <w:rsid w:val="00A55446"/>
    <w:rsid w:val="00A60192"/>
    <w:rsid w:val="00A60C3F"/>
    <w:rsid w:val="00A64004"/>
    <w:rsid w:val="00A647A1"/>
    <w:rsid w:val="00A64F34"/>
    <w:rsid w:val="00A65870"/>
    <w:rsid w:val="00A65C2E"/>
    <w:rsid w:val="00A65FED"/>
    <w:rsid w:val="00A663CD"/>
    <w:rsid w:val="00A67855"/>
    <w:rsid w:val="00A710BC"/>
    <w:rsid w:val="00A71882"/>
    <w:rsid w:val="00A71B25"/>
    <w:rsid w:val="00A73719"/>
    <w:rsid w:val="00A738FA"/>
    <w:rsid w:val="00A74BD4"/>
    <w:rsid w:val="00A75B7C"/>
    <w:rsid w:val="00A76EEB"/>
    <w:rsid w:val="00A822EF"/>
    <w:rsid w:val="00A829F8"/>
    <w:rsid w:val="00A84247"/>
    <w:rsid w:val="00A8441A"/>
    <w:rsid w:val="00A84C15"/>
    <w:rsid w:val="00A862AB"/>
    <w:rsid w:val="00A867CF"/>
    <w:rsid w:val="00A8682E"/>
    <w:rsid w:val="00A8723E"/>
    <w:rsid w:val="00A87B50"/>
    <w:rsid w:val="00A87C5A"/>
    <w:rsid w:val="00A912D4"/>
    <w:rsid w:val="00A91828"/>
    <w:rsid w:val="00A91D2B"/>
    <w:rsid w:val="00A92311"/>
    <w:rsid w:val="00A93A3E"/>
    <w:rsid w:val="00A93FDC"/>
    <w:rsid w:val="00A94CC4"/>
    <w:rsid w:val="00A95CBC"/>
    <w:rsid w:val="00A96782"/>
    <w:rsid w:val="00A96CE9"/>
    <w:rsid w:val="00A9793A"/>
    <w:rsid w:val="00A97B15"/>
    <w:rsid w:val="00AA003B"/>
    <w:rsid w:val="00AA132B"/>
    <w:rsid w:val="00AA14B1"/>
    <w:rsid w:val="00AA178A"/>
    <w:rsid w:val="00AA3C83"/>
    <w:rsid w:val="00AA3DDE"/>
    <w:rsid w:val="00AA52E4"/>
    <w:rsid w:val="00AA5A03"/>
    <w:rsid w:val="00AA6351"/>
    <w:rsid w:val="00AA6B58"/>
    <w:rsid w:val="00AA755A"/>
    <w:rsid w:val="00AB0188"/>
    <w:rsid w:val="00AB1AE7"/>
    <w:rsid w:val="00AB229E"/>
    <w:rsid w:val="00AB3114"/>
    <w:rsid w:val="00AB4DB3"/>
    <w:rsid w:val="00AB5FC3"/>
    <w:rsid w:val="00AB7D51"/>
    <w:rsid w:val="00AC2A73"/>
    <w:rsid w:val="00AC62FD"/>
    <w:rsid w:val="00AC646A"/>
    <w:rsid w:val="00AC751E"/>
    <w:rsid w:val="00AD2146"/>
    <w:rsid w:val="00AD2989"/>
    <w:rsid w:val="00AD49A7"/>
    <w:rsid w:val="00AD523C"/>
    <w:rsid w:val="00AD68BB"/>
    <w:rsid w:val="00AD7912"/>
    <w:rsid w:val="00AD7F8E"/>
    <w:rsid w:val="00AE07BC"/>
    <w:rsid w:val="00AE2193"/>
    <w:rsid w:val="00AE3FA1"/>
    <w:rsid w:val="00AE5A8D"/>
    <w:rsid w:val="00AF01F6"/>
    <w:rsid w:val="00AF0AED"/>
    <w:rsid w:val="00AF2247"/>
    <w:rsid w:val="00AF4140"/>
    <w:rsid w:val="00AF4E33"/>
    <w:rsid w:val="00AF528A"/>
    <w:rsid w:val="00AF5A5D"/>
    <w:rsid w:val="00AF6B29"/>
    <w:rsid w:val="00AF6B8F"/>
    <w:rsid w:val="00AF71C8"/>
    <w:rsid w:val="00AF74A9"/>
    <w:rsid w:val="00AF7F7D"/>
    <w:rsid w:val="00B00F09"/>
    <w:rsid w:val="00B01466"/>
    <w:rsid w:val="00B01601"/>
    <w:rsid w:val="00B02FF3"/>
    <w:rsid w:val="00B03079"/>
    <w:rsid w:val="00B04271"/>
    <w:rsid w:val="00B04443"/>
    <w:rsid w:val="00B04FCB"/>
    <w:rsid w:val="00B05B94"/>
    <w:rsid w:val="00B060BD"/>
    <w:rsid w:val="00B07099"/>
    <w:rsid w:val="00B07D1D"/>
    <w:rsid w:val="00B07FB8"/>
    <w:rsid w:val="00B11016"/>
    <w:rsid w:val="00B111A4"/>
    <w:rsid w:val="00B11C12"/>
    <w:rsid w:val="00B11CAB"/>
    <w:rsid w:val="00B121D0"/>
    <w:rsid w:val="00B125E5"/>
    <w:rsid w:val="00B13D41"/>
    <w:rsid w:val="00B1680D"/>
    <w:rsid w:val="00B17485"/>
    <w:rsid w:val="00B17E58"/>
    <w:rsid w:val="00B22994"/>
    <w:rsid w:val="00B23282"/>
    <w:rsid w:val="00B24B14"/>
    <w:rsid w:val="00B253F6"/>
    <w:rsid w:val="00B26AF5"/>
    <w:rsid w:val="00B27052"/>
    <w:rsid w:val="00B2785E"/>
    <w:rsid w:val="00B30905"/>
    <w:rsid w:val="00B30ADB"/>
    <w:rsid w:val="00B31644"/>
    <w:rsid w:val="00B324C6"/>
    <w:rsid w:val="00B32C2F"/>
    <w:rsid w:val="00B33653"/>
    <w:rsid w:val="00B3377A"/>
    <w:rsid w:val="00B347C0"/>
    <w:rsid w:val="00B3515A"/>
    <w:rsid w:val="00B3523C"/>
    <w:rsid w:val="00B3550A"/>
    <w:rsid w:val="00B35BFF"/>
    <w:rsid w:val="00B35C4D"/>
    <w:rsid w:val="00B36033"/>
    <w:rsid w:val="00B367F2"/>
    <w:rsid w:val="00B36C1F"/>
    <w:rsid w:val="00B36E2E"/>
    <w:rsid w:val="00B3738C"/>
    <w:rsid w:val="00B37BC8"/>
    <w:rsid w:val="00B40587"/>
    <w:rsid w:val="00B40A1A"/>
    <w:rsid w:val="00B41C92"/>
    <w:rsid w:val="00B429E0"/>
    <w:rsid w:val="00B430F3"/>
    <w:rsid w:val="00B43F3F"/>
    <w:rsid w:val="00B449D0"/>
    <w:rsid w:val="00B461D3"/>
    <w:rsid w:val="00B46485"/>
    <w:rsid w:val="00B46516"/>
    <w:rsid w:val="00B46C1D"/>
    <w:rsid w:val="00B46DD7"/>
    <w:rsid w:val="00B51F5A"/>
    <w:rsid w:val="00B523B5"/>
    <w:rsid w:val="00B53A7B"/>
    <w:rsid w:val="00B53D95"/>
    <w:rsid w:val="00B53F54"/>
    <w:rsid w:val="00B54543"/>
    <w:rsid w:val="00B54802"/>
    <w:rsid w:val="00B553CD"/>
    <w:rsid w:val="00B555DD"/>
    <w:rsid w:val="00B5573E"/>
    <w:rsid w:val="00B56168"/>
    <w:rsid w:val="00B562A7"/>
    <w:rsid w:val="00B56D59"/>
    <w:rsid w:val="00B5713A"/>
    <w:rsid w:val="00B5FF65"/>
    <w:rsid w:val="00B615BF"/>
    <w:rsid w:val="00B61CB4"/>
    <w:rsid w:val="00B62CEC"/>
    <w:rsid w:val="00B62D2D"/>
    <w:rsid w:val="00B63B62"/>
    <w:rsid w:val="00B641AD"/>
    <w:rsid w:val="00B651A2"/>
    <w:rsid w:val="00B67443"/>
    <w:rsid w:val="00B676F8"/>
    <w:rsid w:val="00B679F5"/>
    <w:rsid w:val="00B67D9F"/>
    <w:rsid w:val="00B67E8B"/>
    <w:rsid w:val="00B71366"/>
    <w:rsid w:val="00B71BDC"/>
    <w:rsid w:val="00B727A7"/>
    <w:rsid w:val="00B72A04"/>
    <w:rsid w:val="00B7342E"/>
    <w:rsid w:val="00B740BF"/>
    <w:rsid w:val="00B74FDC"/>
    <w:rsid w:val="00B76BF9"/>
    <w:rsid w:val="00B8045B"/>
    <w:rsid w:val="00B80E0C"/>
    <w:rsid w:val="00B82DEA"/>
    <w:rsid w:val="00B830CC"/>
    <w:rsid w:val="00B83687"/>
    <w:rsid w:val="00B85127"/>
    <w:rsid w:val="00B8768B"/>
    <w:rsid w:val="00B901C4"/>
    <w:rsid w:val="00B913FD"/>
    <w:rsid w:val="00B91756"/>
    <w:rsid w:val="00B92928"/>
    <w:rsid w:val="00B93FA7"/>
    <w:rsid w:val="00B95301"/>
    <w:rsid w:val="00BA0AA3"/>
    <w:rsid w:val="00BA19FF"/>
    <w:rsid w:val="00BA3EC6"/>
    <w:rsid w:val="00BA40F0"/>
    <w:rsid w:val="00BA5C47"/>
    <w:rsid w:val="00BA5D49"/>
    <w:rsid w:val="00BA5EAE"/>
    <w:rsid w:val="00BA77E5"/>
    <w:rsid w:val="00BB0B1E"/>
    <w:rsid w:val="00BB107F"/>
    <w:rsid w:val="00BB19C6"/>
    <w:rsid w:val="00BB1A4B"/>
    <w:rsid w:val="00BB25C3"/>
    <w:rsid w:val="00BB2727"/>
    <w:rsid w:val="00BB35FE"/>
    <w:rsid w:val="00BB3A04"/>
    <w:rsid w:val="00BB3B62"/>
    <w:rsid w:val="00BB4639"/>
    <w:rsid w:val="00BB7DA0"/>
    <w:rsid w:val="00BB7DC5"/>
    <w:rsid w:val="00BC2758"/>
    <w:rsid w:val="00BC2DA2"/>
    <w:rsid w:val="00BC2EDB"/>
    <w:rsid w:val="00BC4ACA"/>
    <w:rsid w:val="00BC57A9"/>
    <w:rsid w:val="00BC76A1"/>
    <w:rsid w:val="00BD15BD"/>
    <w:rsid w:val="00BD4999"/>
    <w:rsid w:val="00BD4CC2"/>
    <w:rsid w:val="00BE0B5A"/>
    <w:rsid w:val="00BE1229"/>
    <w:rsid w:val="00BE21CB"/>
    <w:rsid w:val="00BE3CEB"/>
    <w:rsid w:val="00BE57F8"/>
    <w:rsid w:val="00BE5AD9"/>
    <w:rsid w:val="00BE5C5A"/>
    <w:rsid w:val="00BE6744"/>
    <w:rsid w:val="00BF064C"/>
    <w:rsid w:val="00BF0C5E"/>
    <w:rsid w:val="00BF27F3"/>
    <w:rsid w:val="00BF3305"/>
    <w:rsid w:val="00BF3380"/>
    <w:rsid w:val="00BF3807"/>
    <w:rsid w:val="00BF48F9"/>
    <w:rsid w:val="00BF4E7A"/>
    <w:rsid w:val="00BF5331"/>
    <w:rsid w:val="00BF7102"/>
    <w:rsid w:val="00C02055"/>
    <w:rsid w:val="00C02BD9"/>
    <w:rsid w:val="00C02EB5"/>
    <w:rsid w:val="00C03E98"/>
    <w:rsid w:val="00C04D6A"/>
    <w:rsid w:val="00C05356"/>
    <w:rsid w:val="00C0595D"/>
    <w:rsid w:val="00C0664D"/>
    <w:rsid w:val="00C06BB2"/>
    <w:rsid w:val="00C06E30"/>
    <w:rsid w:val="00C06EEE"/>
    <w:rsid w:val="00C07FE5"/>
    <w:rsid w:val="00C10553"/>
    <w:rsid w:val="00C1085B"/>
    <w:rsid w:val="00C131C0"/>
    <w:rsid w:val="00C144B4"/>
    <w:rsid w:val="00C16542"/>
    <w:rsid w:val="00C205C1"/>
    <w:rsid w:val="00C211C5"/>
    <w:rsid w:val="00C22C75"/>
    <w:rsid w:val="00C22E17"/>
    <w:rsid w:val="00C23262"/>
    <w:rsid w:val="00C244E1"/>
    <w:rsid w:val="00C24CC7"/>
    <w:rsid w:val="00C25174"/>
    <w:rsid w:val="00C26325"/>
    <w:rsid w:val="00C26598"/>
    <w:rsid w:val="00C26E42"/>
    <w:rsid w:val="00C27CB0"/>
    <w:rsid w:val="00C33B41"/>
    <w:rsid w:val="00C34573"/>
    <w:rsid w:val="00C34D2F"/>
    <w:rsid w:val="00C36525"/>
    <w:rsid w:val="00C37271"/>
    <w:rsid w:val="00C40B64"/>
    <w:rsid w:val="00C4132F"/>
    <w:rsid w:val="00C43DA2"/>
    <w:rsid w:val="00C441FB"/>
    <w:rsid w:val="00C44812"/>
    <w:rsid w:val="00C448E3"/>
    <w:rsid w:val="00C45B50"/>
    <w:rsid w:val="00C4626D"/>
    <w:rsid w:val="00C46607"/>
    <w:rsid w:val="00C46BD5"/>
    <w:rsid w:val="00C46ED0"/>
    <w:rsid w:val="00C502D4"/>
    <w:rsid w:val="00C50376"/>
    <w:rsid w:val="00C503DE"/>
    <w:rsid w:val="00C54406"/>
    <w:rsid w:val="00C54F93"/>
    <w:rsid w:val="00C55308"/>
    <w:rsid w:val="00C5613E"/>
    <w:rsid w:val="00C576C0"/>
    <w:rsid w:val="00C60270"/>
    <w:rsid w:val="00C616EC"/>
    <w:rsid w:val="00C61F2A"/>
    <w:rsid w:val="00C6298C"/>
    <w:rsid w:val="00C639A0"/>
    <w:rsid w:val="00C64B22"/>
    <w:rsid w:val="00C65F54"/>
    <w:rsid w:val="00C707AD"/>
    <w:rsid w:val="00C72795"/>
    <w:rsid w:val="00C72B96"/>
    <w:rsid w:val="00C75D4B"/>
    <w:rsid w:val="00C761FF"/>
    <w:rsid w:val="00C76491"/>
    <w:rsid w:val="00C76E6D"/>
    <w:rsid w:val="00C77C9A"/>
    <w:rsid w:val="00C81B14"/>
    <w:rsid w:val="00C821DE"/>
    <w:rsid w:val="00C835EF"/>
    <w:rsid w:val="00C84E21"/>
    <w:rsid w:val="00C87A41"/>
    <w:rsid w:val="00C902BC"/>
    <w:rsid w:val="00C91624"/>
    <w:rsid w:val="00C916DB"/>
    <w:rsid w:val="00C920F4"/>
    <w:rsid w:val="00C92452"/>
    <w:rsid w:val="00C955E2"/>
    <w:rsid w:val="00C95EE7"/>
    <w:rsid w:val="00CA086D"/>
    <w:rsid w:val="00CA228C"/>
    <w:rsid w:val="00CA29C7"/>
    <w:rsid w:val="00CA4126"/>
    <w:rsid w:val="00CA513B"/>
    <w:rsid w:val="00CA5FA9"/>
    <w:rsid w:val="00CB22D8"/>
    <w:rsid w:val="00CB2D77"/>
    <w:rsid w:val="00CB4026"/>
    <w:rsid w:val="00CB4DBB"/>
    <w:rsid w:val="00CB603C"/>
    <w:rsid w:val="00CB6A19"/>
    <w:rsid w:val="00CB6A31"/>
    <w:rsid w:val="00CB7ABB"/>
    <w:rsid w:val="00CC0640"/>
    <w:rsid w:val="00CC0912"/>
    <w:rsid w:val="00CC0ACC"/>
    <w:rsid w:val="00CC1CE1"/>
    <w:rsid w:val="00CC2973"/>
    <w:rsid w:val="00CC29D1"/>
    <w:rsid w:val="00CC3914"/>
    <w:rsid w:val="00CC4B2B"/>
    <w:rsid w:val="00CC5B11"/>
    <w:rsid w:val="00CC6700"/>
    <w:rsid w:val="00CC725C"/>
    <w:rsid w:val="00CC7D63"/>
    <w:rsid w:val="00CD07CA"/>
    <w:rsid w:val="00CD0C1E"/>
    <w:rsid w:val="00CD1676"/>
    <w:rsid w:val="00CD2743"/>
    <w:rsid w:val="00CD3A78"/>
    <w:rsid w:val="00CD57CB"/>
    <w:rsid w:val="00CD660A"/>
    <w:rsid w:val="00CD6687"/>
    <w:rsid w:val="00CE235B"/>
    <w:rsid w:val="00CE379D"/>
    <w:rsid w:val="00CE6EDE"/>
    <w:rsid w:val="00CE7C94"/>
    <w:rsid w:val="00CF4749"/>
    <w:rsid w:val="00CF5929"/>
    <w:rsid w:val="00CF68F4"/>
    <w:rsid w:val="00D006F7"/>
    <w:rsid w:val="00D028A5"/>
    <w:rsid w:val="00D02C9B"/>
    <w:rsid w:val="00D03AAF"/>
    <w:rsid w:val="00D05615"/>
    <w:rsid w:val="00D05B1F"/>
    <w:rsid w:val="00D06040"/>
    <w:rsid w:val="00D060E5"/>
    <w:rsid w:val="00D07D99"/>
    <w:rsid w:val="00D07FFC"/>
    <w:rsid w:val="00D10C48"/>
    <w:rsid w:val="00D10E6F"/>
    <w:rsid w:val="00D12B1A"/>
    <w:rsid w:val="00D13774"/>
    <w:rsid w:val="00D13E9E"/>
    <w:rsid w:val="00D14562"/>
    <w:rsid w:val="00D14AFF"/>
    <w:rsid w:val="00D14EA2"/>
    <w:rsid w:val="00D15984"/>
    <w:rsid w:val="00D1655B"/>
    <w:rsid w:val="00D201B1"/>
    <w:rsid w:val="00D201E6"/>
    <w:rsid w:val="00D20771"/>
    <w:rsid w:val="00D21407"/>
    <w:rsid w:val="00D22B2E"/>
    <w:rsid w:val="00D22CB3"/>
    <w:rsid w:val="00D22EB7"/>
    <w:rsid w:val="00D23917"/>
    <w:rsid w:val="00D266C0"/>
    <w:rsid w:val="00D30D9E"/>
    <w:rsid w:val="00D324F3"/>
    <w:rsid w:val="00D336BB"/>
    <w:rsid w:val="00D34BBF"/>
    <w:rsid w:val="00D355B1"/>
    <w:rsid w:val="00D35D06"/>
    <w:rsid w:val="00D36238"/>
    <w:rsid w:val="00D369E5"/>
    <w:rsid w:val="00D36D35"/>
    <w:rsid w:val="00D36F23"/>
    <w:rsid w:val="00D3753B"/>
    <w:rsid w:val="00D37849"/>
    <w:rsid w:val="00D408FE"/>
    <w:rsid w:val="00D40E11"/>
    <w:rsid w:val="00D410A2"/>
    <w:rsid w:val="00D41385"/>
    <w:rsid w:val="00D41915"/>
    <w:rsid w:val="00D41981"/>
    <w:rsid w:val="00D41D33"/>
    <w:rsid w:val="00D4450C"/>
    <w:rsid w:val="00D44AF6"/>
    <w:rsid w:val="00D455C3"/>
    <w:rsid w:val="00D503B2"/>
    <w:rsid w:val="00D50684"/>
    <w:rsid w:val="00D50C6E"/>
    <w:rsid w:val="00D51119"/>
    <w:rsid w:val="00D51F74"/>
    <w:rsid w:val="00D52DC0"/>
    <w:rsid w:val="00D541B9"/>
    <w:rsid w:val="00D60265"/>
    <w:rsid w:val="00D612AF"/>
    <w:rsid w:val="00D630C9"/>
    <w:rsid w:val="00D64F4E"/>
    <w:rsid w:val="00D6508C"/>
    <w:rsid w:val="00D65796"/>
    <w:rsid w:val="00D660C2"/>
    <w:rsid w:val="00D667D3"/>
    <w:rsid w:val="00D66C8D"/>
    <w:rsid w:val="00D67967"/>
    <w:rsid w:val="00D704E3"/>
    <w:rsid w:val="00D70BAA"/>
    <w:rsid w:val="00D71272"/>
    <w:rsid w:val="00D7169C"/>
    <w:rsid w:val="00D725DA"/>
    <w:rsid w:val="00D727D1"/>
    <w:rsid w:val="00D7410F"/>
    <w:rsid w:val="00D76312"/>
    <w:rsid w:val="00D815BD"/>
    <w:rsid w:val="00D83914"/>
    <w:rsid w:val="00D83A40"/>
    <w:rsid w:val="00D8403C"/>
    <w:rsid w:val="00D850DF"/>
    <w:rsid w:val="00D85144"/>
    <w:rsid w:val="00D85A04"/>
    <w:rsid w:val="00D85BF7"/>
    <w:rsid w:val="00D9282C"/>
    <w:rsid w:val="00D9445F"/>
    <w:rsid w:val="00D95F3A"/>
    <w:rsid w:val="00D96495"/>
    <w:rsid w:val="00D96AF4"/>
    <w:rsid w:val="00D97243"/>
    <w:rsid w:val="00DA048B"/>
    <w:rsid w:val="00DA089F"/>
    <w:rsid w:val="00DA38D7"/>
    <w:rsid w:val="00DB00D7"/>
    <w:rsid w:val="00DB00FD"/>
    <w:rsid w:val="00DB0987"/>
    <w:rsid w:val="00DB11EE"/>
    <w:rsid w:val="00DB2EE3"/>
    <w:rsid w:val="00DB34A2"/>
    <w:rsid w:val="00DB41AC"/>
    <w:rsid w:val="00DB4545"/>
    <w:rsid w:val="00DB4E73"/>
    <w:rsid w:val="00DB53B3"/>
    <w:rsid w:val="00DB5D31"/>
    <w:rsid w:val="00DB5D77"/>
    <w:rsid w:val="00DB6CEE"/>
    <w:rsid w:val="00DB7396"/>
    <w:rsid w:val="00DB7980"/>
    <w:rsid w:val="00DC0076"/>
    <w:rsid w:val="00DC2470"/>
    <w:rsid w:val="00DC25B3"/>
    <w:rsid w:val="00DC36C7"/>
    <w:rsid w:val="00DC4AF4"/>
    <w:rsid w:val="00DC4BC2"/>
    <w:rsid w:val="00DC5AB6"/>
    <w:rsid w:val="00DC5D6F"/>
    <w:rsid w:val="00DC6180"/>
    <w:rsid w:val="00DC6C5C"/>
    <w:rsid w:val="00DC7803"/>
    <w:rsid w:val="00DC7F48"/>
    <w:rsid w:val="00DD2B2A"/>
    <w:rsid w:val="00DD44A3"/>
    <w:rsid w:val="00DE0DF1"/>
    <w:rsid w:val="00DE1613"/>
    <w:rsid w:val="00DE522F"/>
    <w:rsid w:val="00DE5B44"/>
    <w:rsid w:val="00DF006C"/>
    <w:rsid w:val="00DF09F0"/>
    <w:rsid w:val="00DF2C07"/>
    <w:rsid w:val="00DF32A4"/>
    <w:rsid w:val="00DF46CD"/>
    <w:rsid w:val="00DF4E73"/>
    <w:rsid w:val="00DF771B"/>
    <w:rsid w:val="00E02268"/>
    <w:rsid w:val="00E0251E"/>
    <w:rsid w:val="00E02A5F"/>
    <w:rsid w:val="00E034AB"/>
    <w:rsid w:val="00E04E6E"/>
    <w:rsid w:val="00E07131"/>
    <w:rsid w:val="00E07A95"/>
    <w:rsid w:val="00E107B6"/>
    <w:rsid w:val="00E11352"/>
    <w:rsid w:val="00E115C1"/>
    <w:rsid w:val="00E116D8"/>
    <w:rsid w:val="00E13660"/>
    <w:rsid w:val="00E1529E"/>
    <w:rsid w:val="00E17E33"/>
    <w:rsid w:val="00E21456"/>
    <w:rsid w:val="00E21FB9"/>
    <w:rsid w:val="00E2224C"/>
    <w:rsid w:val="00E24524"/>
    <w:rsid w:val="00E247FF"/>
    <w:rsid w:val="00E2665F"/>
    <w:rsid w:val="00E2677F"/>
    <w:rsid w:val="00E27118"/>
    <w:rsid w:val="00E31F41"/>
    <w:rsid w:val="00E31F4C"/>
    <w:rsid w:val="00E327B2"/>
    <w:rsid w:val="00E33BA0"/>
    <w:rsid w:val="00E342F3"/>
    <w:rsid w:val="00E345AB"/>
    <w:rsid w:val="00E35F60"/>
    <w:rsid w:val="00E36C75"/>
    <w:rsid w:val="00E401B7"/>
    <w:rsid w:val="00E402F2"/>
    <w:rsid w:val="00E40447"/>
    <w:rsid w:val="00E43C0A"/>
    <w:rsid w:val="00E45493"/>
    <w:rsid w:val="00E461AF"/>
    <w:rsid w:val="00E463B3"/>
    <w:rsid w:val="00E46952"/>
    <w:rsid w:val="00E5007A"/>
    <w:rsid w:val="00E5079D"/>
    <w:rsid w:val="00E52C09"/>
    <w:rsid w:val="00E52CBC"/>
    <w:rsid w:val="00E5373A"/>
    <w:rsid w:val="00E5446F"/>
    <w:rsid w:val="00E546BA"/>
    <w:rsid w:val="00E54A90"/>
    <w:rsid w:val="00E578AF"/>
    <w:rsid w:val="00E60B49"/>
    <w:rsid w:val="00E63761"/>
    <w:rsid w:val="00E671B6"/>
    <w:rsid w:val="00E672CC"/>
    <w:rsid w:val="00E70506"/>
    <w:rsid w:val="00E70F6F"/>
    <w:rsid w:val="00E71831"/>
    <w:rsid w:val="00E732AC"/>
    <w:rsid w:val="00E73C14"/>
    <w:rsid w:val="00E74C4F"/>
    <w:rsid w:val="00E75D95"/>
    <w:rsid w:val="00E80808"/>
    <w:rsid w:val="00E83638"/>
    <w:rsid w:val="00E83B66"/>
    <w:rsid w:val="00E8469A"/>
    <w:rsid w:val="00E84996"/>
    <w:rsid w:val="00E84CD1"/>
    <w:rsid w:val="00E86806"/>
    <w:rsid w:val="00E87C66"/>
    <w:rsid w:val="00E87E28"/>
    <w:rsid w:val="00E901F5"/>
    <w:rsid w:val="00E9155D"/>
    <w:rsid w:val="00E91C24"/>
    <w:rsid w:val="00E93D8C"/>
    <w:rsid w:val="00E945A2"/>
    <w:rsid w:val="00E94DC5"/>
    <w:rsid w:val="00E96C44"/>
    <w:rsid w:val="00E970D9"/>
    <w:rsid w:val="00E9765B"/>
    <w:rsid w:val="00EA00CB"/>
    <w:rsid w:val="00EA0192"/>
    <w:rsid w:val="00EA0D7F"/>
    <w:rsid w:val="00EA1794"/>
    <w:rsid w:val="00EA2A2C"/>
    <w:rsid w:val="00EA43D5"/>
    <w:rsid w:val="00EA5F28"/>
    <w:rsid w:val="00EA7FC8"/>
    <w:rsid w:val="00EB0BD5"/>
    <w:rsid w:val="00EB3D16"/>
    <w:rsid w:val="00EB5638"/>
    <w:rsid w:val="00EB5B72"/>
    <w:rsid w:val="00EB5F43"/>
    <w:rsid w:val="00EB6DA3"/>
    <w:rsid w:val="00EB7BB1"/>
    <w:rsid w:val="00EC1115"/>
    <w:rsid w:val="00EC163D"/>
    <w:rsid w:val="00EC1B77"/>
    <w:rsid w:val="00EC3DFB"/>
    <w:rsid w:val="00EC425F"/>
    <w:rsid w:val="00EC4968"/>
    <w:rsid w:val="00EC59DB"/>
    <w:rsid w:val="00EC65D2"/>
    <w:rsid w:val="00EC7513"/>
    <w:rsid w:val="00EC79EE"/>
    <w:rsid w:val="00ED0BA2"/>
    <w:rsid w:val="00ED1419"/>
    <w:rsid w:val="00ED533B"/>
    <w:rsid w:val="00ED654B"/>
    <w:rsid w:val="00ED794D"/>
    <w:rsid w:val="00ED7C86"/>
    <w:rsid w:val="00EE00D3"/>
    <w:rsid w:val="00EE0F14"/>
    <w:rsid w:val="00EE224C"/>
    <w:rsid w:val="00EE367B"/>
    <w:rsid w:val="00EE37C4"/>
    <w:rsid w:val="00EE3E31"/>
    <w:rsid w:val="00EE40CD"/>
    <w:rsid w:val="00EE4279"/>
    <w:rsid w:val="00EE4576"/>
    <w:rsid w:val="00EE5918"/>
    <w:rsid w:val="00EE7A0D"/>
    <w:rsid w:val="00EF1096"/>
    <w:rsid w:val="00EF13FF"/>
    <w:rsid w:val="00EF21E3"/>
    <w:rsid w:val="00EF3A53"/>
    <w:rsid w:val="00EF4336"/>
    <w:rsid w:val="00EF5207"/>
    <w:rsid w:val="00EF590F"/>
    <w:rsid w:val="00EF6DC1"/>
    <w:rsid w:val="00EF7241"/>
    <w:rsid w:val="00EF73DD"/>
    <w:rsid w:val="00F00AE7"/>
    <w:rsid w:val="00F02388"/>
    <w:rsid w:val="00F02ADA"/>
    <w:rsid w:val="00F03221"/>
    <w:rsid w:val="00F04A58"/>
    <w:rsid w:val="00F10B4E"/>
    <w:rsid w:val="00F114CE"/>
    <w:rsid w:val="00F131D3"/>
    <w:rsid w:val="00F13842"/>
    <w:rsid w:val="00F144CA"/>
    <w:rsid w:val="00F1619B"/>
    <w:rsid w:val="00F17151"/>
    <w:rsid w:val="00F1728D"/>
    <w:rsid w:val="00F200FD"/>
    <w:rsid w:val="00F20BAC"/>
    <w:rsid w:val="00F22803"/>
    <w:rsid w:val="00F24B99"/>
    <w:rsid w:val="00F25B27"/>
    <w:rsid w:val="00F27ACB"/>
    <w:rsid w:val="00F30123"/>
    <w:rsid w:val="00F31CE0"/>
    <w:rsid w:val="00F33C29"/>
    <w:rsid w:val="00F33CBB"/>
    <w:rsid w:val="00F3420C"/>
    <w:rsid w:val="00F34DA5"/>
    <w:rsid w:val="00F36A2D"/>
    <w:rsid w:val="00F40C45"/>
    <w:rsid w:val="00F43387"/>
    <w:rsid w:val="00F43F19"/>
    <w:rsid w:val="00F44E5E"/>
    <w:rsid w:val="00F4724C"/>
    <w:rsid w:val="00F51CA7"/>
    <w:rsid w:val="00F51DF7"/>
    <w:rsid w:val="00F53146"/>
    <w:rsid w:val="00F5348B"/>
    <w:rsid w:val="00F541E0"/>
    <w:rsid w:val="00F5467D"/>
    <w:rsid w:val="00F5730E"/>
    <w:rsid w:val="00F57E5E"/>
    <w:rsid w:val="00F60B94"/>
    <w:rsid w:val="00F61261"/>
    <w:rsid w:val="00F6164C"/>
    <w:rsid w:val="00F61686"/>
    <w:rsid w:val="00F61A71"/>
    <w:rsid w:val="00F65F73"/>
    <w:rsid w:val="00F65FB3"/>
    <w:rsid w:val="00F66040"/>
    <w:rsid w:val="00F66A03"/>
    <w:rsid w:val="00F66B43"/>
    <w:rsid w:val="00F71EDC"/>
    <w:rsid w:val="00F72197"/>
    <w:rsid w:val="00F72B4E"/>
    <w:rsid w:val="00F739FA"/>
    <w:rsid w:val="00F73ED7"/>
    <w:rsid w:val="00F764F6"/>
    <w:rsid w:val="00F7745F"/>
    <w:rsid w:val="00F775BA"/>
    <w:rsid w:val="00F822AF"/>
    <w:rsid w:val="00F82515"/>
    <w:rsid w:val="00F82774"/>
    <w:rsid w:val="00F82A4A"/>
    <w:rsid w:val="00F834A4"/>
    <w:rsid w:val="00F84686"/>
    <w:rsid w:val="00F8572E"/>
    <w:rsid w:val="00F85AC4"/>
    <w:rsid w:val="00F85CF0"/>
    <w:rsid w:val="00F8772D"/>
    <w:rsid w:val="00F90A38"/>
    <w:rsid w:val="00F91D4C"/>
    <w:rsid w:val="00F922A5"/>
    <w:rsid w:val="00F923AF"/>
    <w:rsid w:val="00F932F8"/>
    <w:rsid w:val="00F9385A"/>
    <w:rsid w:val="00F93976"/>
    <w:rsid w:val="00F95DFD"/>
    <w:rsid w:val="00F96747"/>
    <w:rsid w:val="00F97E03"/>
    <w:rsid w:val="00FA020F"/>
    <w:rsid w:val="00FA0D1A"/>
    <w:rsid w:val="00FA1496"/>
    <w:rsid w:val="00FA1731"/>
    <w:rsid w:val="00FA2DF2"/>
    <w:rsid w:val="00FA5AE3"/>
    <w:rsid w:val="00FA6220"/>
    <w:rsid w:val="00FA65A2"/>
    <w:rsid w:val="00FA7D71"/>
    <w:rsid w:val="00FA7F95"/>
    <w:rsid w:val="00FB0845"/>
    <w:rsid w:val="00FB0F24"/>
    <w:rsid w:val="00FB406A"/>
    <w:rsid w:val="00FB41E3"/>
    <w:rsid w:val="00FB46BA"/>
    <w:rsid w:val="00FB4700"/>
    <w:rsid w:val="00FB4789"/>
    <w:rsid w:val="00FB67DE"/>
    <w:rsid w:val="00FC0A09"/>
    <w:rsid w:val="00FC158C"/>
    <w:rsid w:val="00FC374E"/>
    <w:rsid w:val="00FC3E46"/>
    <w:rsid w:val="00FC4292"/>
    <w:rsid w:val="00FC453B"/>
    <w:rsid w:val="00FC477B"/>
    <w:rsid w:val="00FC56BC"/>
    <w:rsid w:val="00FC5BE4"/>
    <w:rsid w:val="00FC65E8"/>
    <w:rsid w:val="00FC6624"/>
    <w:rsid w:val="00FC6CD6"/>
    <w:rsid w:val="00FD1D16"/>
    <w:rsid w:val="00FD43AB"/>
    <w:rsid w:val="00FD585F"/>
    <w:rsid w:val="00FD750D"/>
    <w:rsid w:val="00FD79CC"/>
    <w:rsid w:val="00FD7CDA"/>
    <w:rsid w:val="00FE06E8"/>
    <w:rsid w:val="00FE263D"/>
    <w:rsid w:val="00FE3248"/>
    <w:rsid w:val="00FE3618"/>
    <w:rsid w:val="00FE665D"/>
    <w:rsid w:val="00FE7516"/>
    <w:rsid w:val="00FE7699"/>
    <w:rsid w:val="00FE7749"/>
    <w:rsid w:val="00FE7A04"/>
    <w:rsid w:val="00FF0822"/>
    <w:rsid w:val="00FF085A"/>
    <w:rsid w:val="00FF0AC4"/>
    <w:rsid w:val="00FF19BF"/>
    <w:rsid w:val="00FF2165"/>
    <w:rsid w:val="00FF3016"/>
    <w:rsid w:val="00FF55F7"/>
    <w:rsid w:val="0135C10F"/>
    <w:rsid w:val="013B24A3"/>
    <w:rsid w:val="018C3584"/>
    <w:rsid w:val="01C69AE3"/>
    <w:rsid w:val="021523D1"/>
    <w:rsid w:val="027C41D3"/>
    <w:rsid w:val="02A285C0"/>
    <w:rsid w:val="02E3A8CE"/>
    <w:rsid w:val="02F19B37"/>
    <w:rsid w:val="03421F95"/>
    <w:rsid w:val="036A3873"/>
    <w:rsid w:val="036CC540"/>
    <w:rsid w:val="0379E662"/>
    <w:rsid w:val="03F67779"/>
    <w:rsid w:val="04386BC7"/>
    <w:rsid w:val="043AC21C"/>
    <w:rsid w:val="04748FAB"/>
    <w:rsid w:val="04B81075"/>
    <w:rsid w:val="0502DAA1"/>
    <w:rsid w:val="051A1AD2"/>
    <w:rsid w:val="053117F4"/>
    <w:rsid w:val="05481CA7"/>
    <w:rsid w:val="055BDFFD"/>
    <w:rsid w:val="0563448F"/>
    <w:rsid w:val="0566D46E"/>
    <w:rsid w:val="056C0109"/>
    <w:rsid w:val="05793F29"/>
    <w:rsid w:val="057DAB74"/>
    <w:rsid w:val="058119F3"/>
    <w:rsid w:val="05860249"/>
    <w:rsid w:val="05A33EA4"/>
    <w:rsid w:val="05DEEAB7"/>
    <w:rsid w:val="05EB467E"/>
    <w:rsid w:val="05EB4E10"/>
    <w:rsid w:val="0626AC4C"/>
    <w:rsid w:val="0637640D"/>
    <w:rsid w:val="063A5732"/>
    <w:rsid w:val="063AB10F"/>
    <w:rsid w:val="065033B8"/>
    <w:rsid w:val="065DE4C3"/>
    <w:rsid w:val="0678675E"/>
    <w:rsid w:val="07071885"/>
    <w:rsid w:val="071B336C"/>
    <w:rsid w:val="07322F4F"/>
    <w:rsid w:val="07550F1E"/>
    <w:rsid w:val="075BCE61"/>
    <w:rsid w:val="07BB874F"/>
    <w:rsid w:val="07C171C8"/>
    <w:rsid w:val="07D82116"/>
    <w:rsid w:val="0869DBEB"/>
    <w:rsid w:val="086E8A44"/>
    <w:rsid w:val="0872F0AF"/>
    <w:rsid w:val="08D5F1E8"/>
    <w:rsid w:val="08EC4DA0"/>
    <w:rsid w:val="092652D6"/>
    <w:rsid w:val="0948560D"/>
    <w:rsid w:val="09730EBE"/>
    <w:rsid w:val="09837C4D"/>
    <w:rsid w:val="0986D177"/>
    <w:rsid w:val="09A0995F"/>
    <w:rsid w:val="09A2C7BB"/>
    <w:rsid w:val="09B255E5"/>
    <w:rsid w:val="09C3F0F6"/>
    <w:rsid w:val="09C8A98A"/>
    <w:rsid w:val="09D20FB5"/>
    <w:rsid w:val="0A416C5D"/>
    <w:rsid w:val="0A462831"/>
    <w:rsid w:val="0A731F5B"/>
    <w:rsid w:val="0A780E28"/>
    <w:rsid w:val="0A9842F7"/>
    <w:rsid w:val="0AC993C5"/>
    <w:rsid w:val="0AFC43AA"/>
    <w:rsid w:val="0B3202FB"/>
    <w:rsid w:val="0B6D8D25"/>
    <w:rsid w:val="0B7D2DC4"/>
    <w:rsid w:val="0B86E1D8"/>
    <w:rsid w:val="0B999C97"/>
    <w:rsid w:val="0BAB4B7D"/>
    <w:rsid w:val="0BB0F3FD"/>
    <w:rsid w:val="0C15DCBB"/>
    <w:rsid w:val="0C3AFBBF"/>
    <w:rsid w:val="0C52E2CF"/>
    <w:rsid w:val="0C546180"/>
    <w:rsid w:val="0C87A221"/>
    <w:rsid w:val="0CF16A94"/>
    <w:rsid w:val="0CF1FCA6"/>
    <w:rsid w:val="0DB099FD"/>
    <w:rsid w:val="0DB9FE4E"/>
    <w:rsid w:val="0DDC0C2C"/>
    <w:rsid w:val="0E4D6706"/>
    <w:rsid w:val="0E67E7CA"/>
    <w:rsid w:val="0EB06D08"/>
    <w:rsid w:val="0EDD5FF7"/>
    <w:rsid w:val="0F04DEFE"/>
    <w:rsid w:val="0F0CCFB3"/>
    <w:rsid w:val="0F6D4BCD"/>
    <w:rsid w:val="0FCE5CA5"/>
    <w:rsid w:val="1059DC9B"/>
    <w:rsid w:val="10C2A65A"/>
    <w:rsid w:val="10D09D11"/>
    <w:rsid w:val="112DB7ED"/>
    <w:rsid w:val="114DA138"/>
    <w:rsid w:val="11520A15"/>
    <w:rsid w:val="11CB82F1"/>
    <w:rsid w:val="11D99DCA"/>
    <w:rsid w:val="11E1B6FF"/>
    <w:rsid w:val="1205ED1E"/>
    <w:rsid w:val="123243E3"/>
    <w:rsid w:val="1246626E"/>
    <w:rsid w:val="12468673"/>
    <w:rsid w:val="1248786E"/>
    <w:rsid w:val="125FA772"/>
    <w:rsid w:val="126928F2"/>
    <w:rsid w:val="1287E8D2"/>
    <w:rsid w:val="12E05CF1"/>
    <w:rsid w:val="12E9699D"/>
    <w:rsid w:val="12F8D0F8"/>
    <w:rsid w:val="13224524"/>
    <w:rsid w:val="1369FC4B"/>
    <w:rsid w:val="139DBEE5"/>
    <w:rsid w:val="13F7BEA0"/>
    <w:rsid w:val="14234940"/>
    <w:rsid w:val="14460EBB"/>
    <w:rsid w:val="144F9FB5"/>
    <w:rsid w:val="1499F60C"/>
    <w:rsid w:val="14B7457E"/>
    <w:rsid w:val="14F241FD"/>
    <w:rsid w:val="1588E168"/>
    <w:rsid w:val="159EA38E"/>
    <w:rsid w:val="15D0E1DE"/>
    <w:rsid w:val="15D5F1F3"/>
    <w:rsid w:val="161EE0B1"/>
    <w:rsid w:val="16507370"/>
    <w:rsid w:val="166B8160"/>
    <w:rsid w:val="16718E6F"/>
    <w:rsid w:val="16A11B67"/>
    <w:rsid w:val="16AAF02F"/>
    <w:rsid w:val="16AAFCE6"/>
    <w:rsid w:val="16D7B53F"/>
    <w:rsid w:val="16EA34EB"/>
    <w:rsid w:val="1720EFB0"/>
    <w:rsid w:val="17384A37"/>
    <w:rsid w:val="175A179B"/>
    <w:rsid w:val="1777F9B0"/>
    <w:rsid w:val="17832E1B"/>
    <w:rsid w:val="18945020"/>
    <w:rsid w:val="18EE983A"/>
    <w:rsid w:val="18F0398C"/>
    <w:rsid w:val="1913F144"/>
    <w:rsid w:val="19DDD6DF"/>
    <w:rsid w:val="19F7639F"/>
    <w:rsid w:val="19FD30A3"/>
    <w:rsid w:val="1A7ABF84"/>
    <w:rsid w:val="1A83AF36"/>
    <w:rsid w:val="1A919409"/>
    <w:rsid w:val="1ACE4115"/>
    <w:rsid w:val="1AD03673"/>
    <w:rsid w:val="1B1E3E95"/>
    <w:rsid w:val="1B285450"/>
    <w:rsid w:val="1B7F7ADF"/>
    <w:rsid w:val="1B91C498"/>
    <w:rsid w:val="1BEBFAC9"/>
    <w:rsid w:val="1BFC6801"/>
    <w:rsid w:val="1C36706F"/>
    <w:rsid w:val="1C6D9B73"/>
    <w:rsid w:val="1C7FDD01"/>
    <w:rsid w:val="1C9032F9"/>
    <w:rsid w:val="1CD68854"/>
    <w:rsid w:val="1D377802"/>
    <w:rsid w:val="1D68D566"/>
    <w:rsid w:val="1DC21745"/>
    <w:rsid w:val="1DF1048F"/>
    <w:rsid w:val="1E3A0658"/>
    <w:rsid w:val="1E5E385B"/>
    <w:rsid w:val="1E5E9C96"/>
    <w:rsid w:val="1E72A853"/>
    <w:rsid w:val="1EC4BA48"/>
    <w:rsid w:val="1EF5D6EC"/>
    <w:rsid w:val="1F2BB288"/>
    <w:rsid w:val="1F587ABE"/>
    <w:rsid w:val="1FA4A5BE"/>
    <w:rsid w:val="1FBF9D88"/>
    <w:rsid w:val="1FF4211B"/>
    <w:rsid w:val="1FF4E1F9"/>
    <w:rsid w:val="200B02D3"/>
    <w:rsid w:val="2032CA44"/>
    <w:rsid w:val="20F1E825"/>
    <w:rsid w:val="2125CA8C"/>
    <w:rsid w:val="214D444B"/>
    <w:rsid w:val="2185ECA3"/>
    <w:rsid w:val="2188A4F6"/>
    <w:rsid w:val="219D0B6C"/>
    <w:rsid w:val="21B303E2"/>
    <w:rsid w:val="21D7E13E"/>
    <w:rsid w:val="21DF3440"/>
    <w:rsid w:val="21F50BAB"/>
    <w:rsid w:val="21F59EC4"/>
    <w:rsid w:val="21FF0806"/>
    <w:rsid w:val="2286B689"/>
    <w:rsid w:val="231477DF"/>
    <w:rsid w:val="234C0311"/>
    <w:rsid w:val="23522700"/>
    <w:rsid w:val="2360A9D6"/>
    <w:rsid w:val="2365C6CD"/>
    <w:rsid w:val="239B3A0B"/>
    <w:rsid w:val="24B6D064"/>
    <w:rsid w:val="24C45D69"/>
    <w:rsid w:val="24DD09C8"/>
    <w:rsid w:val="25A4EBBE"/>
    <w:rsid w:val="25F3239C"/>
    <w:rsid w:val="25F755E4"/>
    <w:rsid w:val="26011EA0"/>
    <w:rsid w:val="2601A73E"/>
    <w:rsid w:val="265AC6D9"/>
    <w:rsid w:val="265B3710"/>
    <w:rsid w:val="268C507A"/>
    <w:rsid w:val="26AE1F3C"/>
    <w:rsid w:val="26DC3AD0"/>
    <w:rsid w:val="2728C5EB"/>
    <w:rsid w:val="276BD5AB"/>
    <w:rsid w:val="27814272"/>
    <w:rsid w:val="27953549"/>
    <w:rsid w:val="27ACC27E"/>
    <w:rsid w:val="27C18F46"/>
    <w:rsid w:val="27D1374B"/>
    <w:rsid w:val="27DF5CE9"/>
    <w:rsid w:val="282C3C0A"/>
    <w:rsid w:val="2847D600"/>
    <w:rsid w:val="28754D23"/>
    <w:rsid w:val="288A9EF2"/>
    <w:rsid w:val="288DEFAC"/>
    <w:rsid w:val="28E1E6C1"/>
    <w:rsid w:val="28E9CA27"/>
    <w:rsid w:val="28EB85ED"/>
    <w:rsid w:val="29504D58"/>
    <w:rsid w:val="2953EF27"/>
    <w:rsid w:val="295D8DF4"/>
    <w:rsid w:val="296D07AC"/>
    <w:rsid w:val="299966BB"/>
    <w:rsid w:val="29CBD5A6"/>
    <w:rsid w:val="29EE60E4"/>
    <w:rsid w:val="2A2D77A7"/>
    <w:rsid w:val="2A477E56"/>
    <w:rsid w:val="2A7C4EE6"/>
    <w:rsid w:val="2A84665B"/>
    <w:rsid w:val="2AE10D03"/>
    <w:rsid w:val="2AE4D85A"/>
    <w:rsid w:val="2B4C6B79"/>
    <w:rsid w:val="2B62D311"/>
    <w:rsid w:val="2BAA9302"/>
    <w:rsid w:val="2BBEB21A"/>
    <w:rsid w:val="2C5C06C6"/>
    <w:rsid w:val="2C5F8A6E"/>
    <w:rsid w:val="2C9185BB"/>
    <w:rsid w:val="2D0055B1"/>
    <w:rsid w:val="2D1203EB"/>
    <w:rsid w:val="2D1513B5"/>
    <w:rsid w:val="2D417F8B"/>
    <w:rsid w:val="2DD671E2"/>
    <w:rsid w:val="2E3DC063"/>
    <w:rsid w:val="2E8CDA06"/>
    <w:rsid w:val="2EAAC246"/>
    <w:rsid w:val="2F123C63"/>
    <w:rsid w:val="2F1481F2"/>
    <w:rsid w:val="2F6592E0"/>
    <w:rsid w:val="2FF94553"/>
    <w:rsid w:val="304CE61D"/>
    <w:rsid w:val="3054B7F7"/>
    <w:rsid w:val="30AEF640"/>
    <w:rsid w:val="30D767C0"/>
    <w:rsid w:val="3125D938"/>
    <w:rsid w:val="318F0EF9"/>
    <w:rsid w:val="31BCE8F2"/>
    <w:rsid w:val="31C24578"/>
    <w:rsid w:val="31DE49A6"/>
    <w:rsid w:val="31F2651F"/>
    <w:rsid w:val="32550CDE"/>
    <w:rsid w:val="32853A35"/>
    <w:rsid w:val="32BDB098"/>
    <w:rsid w:val="32C29D2A"/>
    <w:rsid w:val="32E483F8"/>
    <w:rsid w:val="33122A05"/>
    <w:rsid w:val="33435DFE"/>
    <w:rsid w:val="3355FDD6"/>
    <w:rsid w:val="33850896"/>
    <w:rsid w:val="33AE8B7B"/>
    <w:rsid w:val="33F5B854"/>
    <w:rsid w:val="34018AAA"/>
    <w:rsid w:val="3407F22F"/>
    <w:rsid w:val="3415AB59"/>
    <w:rsid w:val="343D99E8"/>
    <w:rsid w:val="3456E66D"/>
    <w:rsid w:val="349535DD"/>
    <w:rsid w:val="34C79B78"/>
    <w:rsid w:val="34EC69EE"/>
    <w:rsid w:val="34EFB370"/>
    <w:rsid w:val="3547F4A9"/>
    <w:rsid w:val="3556907D"/>
    <w:rsid w:val="358C71C5"/>
    <w:rsid w:val="359C1E85"/>
    <w:rsid w:val="35AA677D"/>
    <w:rsid w:val="35AD2125"/>
    <w:rsid w:val="35D7327F"/>
    <w:rsid w:val="36D9A993"/>
    <w:rsid w:val="36F16358"/>
    <w:rsid w:val="37324300"/>
    <w:rsid w:val="37564520"/>
    <w:rsid w:val="37B4BD88"/>
    <w:rsid w:val="37F9B1D5"/>
    <w:rsid w:val="380A0896"/>
    <w:rsid w:val="385A7927"/>
    <w:rsid w:val="3867B4FA"/>
    <w:rsid w:val="3882B16B"/>
    <w:rsid w:val="388E601E"/>
    <w:rsid w:val="389B13B4"/>
    <w:rsid w:val="38BE5F5B"/>
    <w:rsid w:val="38C45189"/>
    <w:rsid w:val="38D93F73"/>
    <w:rsid w:val="38E8CA5A"/>
    <w:rsid w:val="39DE448B"/>
    <w:rsid w:val="3A2253B8"/>
    <w:rsid w:val="3A26B2B3"/>
    <w:rsid w:val="3A481629"/>
    <w:rsid w:val="3A6E6FE6"/>
    <w:rsid w:val="3A95FE9C"/>
    <w:rsid w:val="3AC58803"/>
    <w:rsid w:val="3ADC6BAF"/>
    <w:rsid w:val="3AFDF767"/>
    <w:rsid w:val="3B0963C8"/>
    <w:rsid w:val="3B469FC1"/>
    <w:rsid w:val="3B6C840C"/>
    <w:rsid w:val="3B9DB2F2"/>
    <w:rsid w:val="3B9EE69F"/>
    <w:rsid w:val="3B9FD25A"/>
    <w:rsid w:val="3BC3A2C7"/>
    <w:rsid w:val="3BDF692B"/>
    <w:rsid w:val="3BF20B04"/>
    <w:rsid w:val="3C1ADA58"/>
    <w:rsid w:val="3C760BB5"/>
    <w:rsid w:val="3C84265B"/>
    <w:rsid w:val="3C98207A"/>
    <w:rsid w:val="3CF25B94"/>
    <w:rsid w:val="3D11F3E5"/>
    <w:rsid w:val="3D37A94A"/>
    <w:rsid w:val="3D5A173D"/>
    <w:rsid w:val="3D951EFE"/>
    <w:rsid w:val="3DDDA53B"/>
    <w:rsid w:val="3DE02E6D"/>
    <w:rsid w:val="3E56B379"/>
    <w:rsid w:val="3E5EBC7A"/>
    <w:rsid w:val="3E7B736B"/>
    <w:rsid w:val="3E9E41F5"/>
    <w:rsid w:val="3EA47AFA"/>
    <w:rsid w:val="3F2150EF"/>
    <w:rsid w:val="3FB2803E"/>
    <w:rsid w:val="3FCD0196"/>
    <w:rsid w:val="3FEE94D1"/>
    <w:rsid w:val="402FC95F"/>
    <w:rsid w:val="404BF43A"/>
    <w:rsid w:val="40515499"/>
    <w:rsid w:val="40562E9F"/>
    <w:rsid w:val="40BF4CD1"/>
    <w:rsid w:val="412228A6"/>
    <w:rsid w:val="41307DFA"/>
    <w:rsid w:val="413ABADF"/>
    <w:rsid w:val="413E8C26"/>
    <w:rsid w:val="414185EE"/>
    <w:rsid w:val="41656326"/>
    <w:rsid w:val="419D32DD"/>
    <w:rsid w:val="421B2542"/>
    <w:rsid w:val="42258E42"/>
    <w:rsid w:val="4232667F"/>
    <w:rsid w:val="42A28CB5"/>
    <w:rsid w:val="42B2B66D"/>
    <w:rsid w:val="42E2AC1E"/>
    <w:rsid w:val="434CC6AF"/>
    <w:rsid w:val="435B14FC"/>
    <w:rsid w:val="436EC533"/>
    <w:rsid w:val="43B65CAE"/>
    <w:rsid w:val="4404A852"/>
    <w:rsid w:val="4412CDF0"/>
    <w:rsid w:val="4456C75A"/>
    <w:rsid w:val="44A3232F"/>
    <w:rsid w:val="44CBA393"/>
    <w:rsid w:val="44D618B5"/>
    <w:rsid w:val="4519CCCF"/>
    <w:rsid w:val="4549A51A"/>
    <w:rsid w:val="455368E3"/>
    <w:rsid w:val="456C83AB"/>
    <w:rsid w:val="45FA73B7"/>
    <w:rsid w:val="45FA9A57"/>
    <w:rsid w:val="45FC9D88"/>
    <w:rsid w:val="47B734F8"/>
    <w:rsid w:val="47B7DC65"/>
    <w:rsid w:val="4812AEAB"/>
    <w:rsid w:val="482589F9"/>
    <w:rsid w:val="483814ED"/>
    <w:rsid w:val="48816E99"/>
    <w:rsid w:val="4881AEBF"/>
    <w:rsid w:val="48CD16B6"/>
    <w:rsid w:val="48D6E971"/>
    <w:rsid w:val="48F100C4"/>
    <w:rsid w:val="4900EC21"/>
    <w:rsid w:val="4926740E"/>
    <w:rsid w:val="49291BC6"/>
    <w:rsid w:val="495EFF5D"/>
    <w:rsid w:val="4974E116"/>
    <w:rsid w:val="4996F462"/>
    <w:rsid w:val="49E10B03"/>
    <w:rsid w:val="4A061B81"/>
    <w:rsid w:val="4A5BFA36"/>
    <w:rsid w:val="4A63364F"/>
    <w:rsid w:val="4A804922"/>
    <w:rsid w:val="4A9CA4A8"/>
    <w:rsid w:val="4AA4A128"/>
    <w:rsid w:val="4AD35879"/>
    <w:rsid w:val="4B42AA14"/>
    <w:rsid w:val="4BF33E42"/>
    <w:rsid w:val="4BF8F881"/>
    <w:rsid w:val="4C544FFD"/>
    <w:rsid w:val="4C69AD5E"/>
    <w:rsid w:val="4C9861A8"/>
    <w:rsid w:val="4CBD5854"/>
    <w:rsid w:val="4CC1EB23"/>
    <w:rsid w:val="4CEC134F"/>
    <w:rsid w:val="4CF0AA53"/>
    <w:rsid w:val="4D855188"/>
    <w:rsid w:val="4DFE9288"/>
    <w:rsid w:val="4E1F7B8A"/>
    <w:rsid w:val="4E430B94"/>
    <w:rsid w:val="4E4C53C1"/>
    <w:rsid w:val="4E500ADF"/>
    <w:rsid w:val="4E8CC118"/>
    <w:rsid w:val="4EFC4F59"/>
    <w:rsid w:val="4F56FB30"/>
    <w:rsid w:val="4FBFC9CA"/>
    <w:rsid w:val="4FECC580"/>
    <w:rsid w:val="4FFF0988"/>
    <w:rsid w:val="50061796"/>
    <w:rsid w:val="50096D1A"/>
    <w:rsid w:val="501584F8"/>
    <w:rsid w:val="50419056"/>
    <w:rsid w:val="506F80D0"/>
    <w:rsid w:val="50826216"/>
    <w:rsid w:val="50A29EC9"/>
    <w:rsid w:val="50CBE336"/>
    <w:rsid w:val="50FEF022"/>
    <w:rsid w:val="5118F90F"/>
    <w:rsid w:val="5140920C"/>
    <w:rsid w:val="51A8B9F5"/>
    <w:rsid w:val="51D10869"/>
    <w:rsid w:val="51DBA326"/>
    <w:rsid w:val="51EC093F"/>
    <w:rsid w:val="51F22978"/>
    <w:rsid w:val="52173FE1"/>
    <w:rsid w:val="5217BAD5"/>
    <w:rsid w:val="52207C1E"/>
    <w:rsid w:val="5238DF13"/>
    <w:rsid w:val="52E0ECC0"/>
    <w:rsid w:val="530DD3A2"/>
    <w:rsid w:val="5339C0E8"/>
    <w:rsid w:val="5347C2B5"/>
    <w:rsid w:val="538B4BCA"/>
    <w:rsid w:val="53CBD84C"/>
    <w:rsid w:val="5419D86C"/>
    <w:rsid w:val="541DF441"/>
    <w:rsid w:val="54220FC0"/>
    <w:rsid w:val="544A8FB5"/>
    <w:rsid w:val="545789B1"/>
    <w:rsid w:val="545C38C2"/>
    <w:rsid w:val="54870009"/>
    <w:rsid w:val="54CC68E9"/>
    <w:rsid w:val="54CF9E6C"/>
    <w:rsid w:val="54F612B6"/>
    <w:rsid w:val="55242382"/>
    <w:rsid w:val="5579D31B"/>
    <w:rsid w:val="55A3FC70"/>
    <w:rsid w:val="55B2397B"/>
    <w:rsid w:val="55DC6E6E"/>
    <w:rsid w:val="55DEA108"/>
    <w:rsid w:val="55E6DCE5"/>
    <w:rsid w:val="561C6DC0"/>
    <w:rsid w:val="565EE57A"/>
    <w:rsid w:val="565F43CE"/>
    <w:rsid w:val="5666EA63"/>
    <w:rsid w:val="56A1BD6F"/>
    <w:rsid w:val="56D761F7"/>
    <w:rsid w:val="57278427"/>
    <w:rsid w:val="57A0F33C"/>
    <w:rsid w:val="57DE3101"/>
    <w:rsid w:val="5802674F"/>
    <w:rsid w:val="58088CAD"/>
    <w:rsid w:val="583C6188"/>
    <w:rsid w:val="58403835"/>
    <w:rsid w:val="58596FC1"/>
    <w:rsid w:val="586EA959"/>
    <w:rsid w:val="58ADA540"/>
    <w:rsid w:val="58B16025"/>
    <w:rsid w:val="58B9F9AD"/>
    <w:rsid w:val="58CEC691"/>
    <w:rsid w:val="58E1963F"/>
    <w:rsid w:val="58EEF51E"/>
    <w:rsid w:val="5A03DFAF"/>
    <w:rsid w:val="5A70EAB9"/>
    <w:rsid w:val="5AEBF9A8"/>
    <w:rsid w:val="5B0CAC87"/>
    <w:rsid w:val="5B14A882"/>
    <w:rsid w:val="5BB1E4CB"/>
    <w:rsid w:val="5BE96B41"/>
    <w:rsid w:val="5BEA6D30"/>
    <w:rsid w:val="5C0F60E4"/>
    <w:rsid w:val="5C1AE4C8"/>
    <w:rsid w:val="5C398458"/>
    <w:rsid w:val="5C47A21F"/>
    <w:rsid w:val="5C497770"/>
    <w:rsid w:val="5C7A2ADE"/>
    <w:rsid w:val="5D08F29E"/>
    <w:rsid w:val="5D374981"/>
    <w:rsid w:val="5D41918E"/>
    <w:rsid w:val="5D56AED6"/>
    <w:rsid w:val="5D791FE5"/>
    <w:rsid w:val="5E017ECB"/>
    <w:rsid w:val="5E4D93ED"/>
    <w:rsid w:val="5EB5C447"/>
    <w:rsid w:val="5EF08F11"/>
    <w:rsid w:val="5F62DD20"/>
    <w:rsid w:val="5F65F82C"/>
    <w:rsid w:val="5F81721D"/>
    <w:rsid w:val="5F84DB30"/>
    <w:rsid w:val="5FE0429E"/>
    <w:rsid w:val="6023BB6A"/>
    <w:rsid w:val="6029626A"/>
    <w:rsid w:val="602E6980"/>
    <w:rsid w:val="6045EF99"/>
    <w:rsid w:val="6049A288"/>
    <w:rsid w:val="60625F61"/>
    <w:rsid w:val="6086C3FA"/>
    <w:rsid w:val="609EDA7C"/>
    <w:rsid w:val="60B222E7"/>
    <w:rsid w:val="60C746AA"/>
    <w:rsid w:val="6101F108"/>
    <w:rsid w:val="61262618"/>
    <w:rsid w:val="61695E69"/>
    <w:rsid w:val="61CD874A"/>
    <w:rsid w:val="6223A16D"/>
    <w:rsid w:val="6278F0EC"/>
    <w:rsid w:val="629845F8"/>
    <w:rsid w:val="62A62335"/>
    <w:rsid w:val="62AF756C"/>
    <w:rsid w:val="62E44E2C"/>
    <w:rsid w:val="62F63B63"/>
    <w:rsid w:val="62F7FD14"/>
    <w:rsid w:val="63209BD4"/>
    <w:rsid w:val="634E729D"/>
    <w:rsid w:val="63515D22"/>
    <w:rsid w:val="63BD3CA5"/>
    <w:rsid w:val="64644CD7"/>
    <w:rsid w:val="646DCAF7"/>
    <w:rsid w:val="6482FBDA"/>
    <w:rsid w:val="64A0FCC2"/>
    <w:rsid w:val="650879C5"/>
    <w:rsid w:val="654CEA03"/>
    <w:rsid w:val="657515E2"/>
    <w:rsid w:val="65AB814B"/>
    <w:rsid w:val="65BB88EE"/>
    <w:rsid w:val="664BDADC"/>
    <w:rsid w:val="668168F8"/>
    <w:rsid w:val="66925ECB"/>
    <w:rsid w:val="66A8C427"/>
    <w:rsid w:val="66FB4142"/>
    <w:rsid w:val="6706151F"/>
    <w:rsid w:val="674F9A47"/>
    <w:rsid w:val="676F6861"/>
    <w:rsid w:val="67B269AF"/>
    <w:rsid w:val="67D4BD52"/>
    <w:rsid w:val="67DB4187"/>
    <w:rsid w:val="68281994"/>
    <w:rsid w:val="6850647F"/>
    <w:rsid w:val="68593E62"/>
    <w:rsid w:val="68D84184"/>
    <w:rsid w:val="68EAF8D2"/>
    <w:rsid w:val="68ED9D04"/>
    <w:rsid w:val="69067B86"/>
    <w:rsid w:val="69435B5C"/>
    <w:rsid w:val="699C400F"/>
    <w:rsid w:val="69A5AFE1"/>
    <w:rsid w:val="69EACCD1"/>
    <w:rsid w:val="69F50EC3"/>
    <w:rsid w:val="6A061D6D"/>
    <w:rsid w:val="6A204EEE"/>
    <w:rsid w:val="6A3ADD9E"/>
    <w:rsid w:val="6A47D2FF"/>
    <w:rsid w:val="6AF0C460"/>
    <w:rsid w:val="6AFFA7B4"/>
    <w:rsid w:val="6B5B1C83"/>
    <w:rsid w:val="6B82482B"/>
    <w:rsid w:val="6BA2EBDC"/>
    <w:rsid w:val="6BA34524"/>
    <w:rsid w:val="6BA8A2DC"/>
    <w:rsid w:val="6BC1F6C9"/>
    <w:rsid w:val="6BE42AFF"/>
    <w:rsid w:val="6BF45673"/>
    <w:rsid w:val="6C34CD1F"/>
    <w:rsid w:val="6C92E9C3"/>
    <w:rsid w:val="6C9A7EE7"/>
    <w:rsid w:val="6CDD6349"/>
    <w:rsid w:val="6D17F708"/>
    <w:rsid w:val="6D4EDD99"/>
    <w:rsid w:val="6D59C45A"/>
    <w:rsid w:val="6DB4D6FB"/>
    <w:rsid w:val="6DD3873C"/>
    <w:rsid w:val="6DE4DFCD"/>
    <w:rsid w:val="6E2CEEE6"/>
    <w:rsid w:val="6E31A1D5"/>
    <w:rsid w:val="6E33B835"/>
    <w:rsid w:val="6E625B1E"/>
    <w:rsid w:val="6E67FC9B"/>
    <w:rsid w:val="6EBB193C"/>
    <w:rsid w:val="6ECB6D7D"/>
    <w:rsid w:val="6F470E2B"/>
    <w:rsid w:val="6FAAADA4"/>
    <w:rsid w:val="6FDA6BEB"/>
    <w:rsid w:val="7011CEB0"/>
    <w:rsid w:val="7013E9E1"/>
    <w:rsid w:val="70220659"/>
    <w:rsid w:val="7022621B"/>
    <w:rsid w:val="70645047"/>
    <w:rsid w:val="70B46487"/>
    <w:rsid w:val="70D242F7"/>
    <w:rsid w:val="710FEFF2"/>
    <w:rsid w:val="712C0AEA"/>
    <w:rsid w:val="71756726"/>
    <w:rsid w:val="71832CCC"/>
    <w:rsid w:val="71A11A63"/>
    <w:rsid w:val="71CB8C3A"/>
    <w:rsid w:val="71E6F84B"/>
    <w:rsid w:val="720CF967"/>
    <w:rsid w:val="720DB222"/>
    <w:rsid w:val="72449568"/>
    <w:rsid w:val="727F3C4A"/>
    <w:rsid w:val="72930A12"/>
    <w:rsid w:val="7329B9C6"/>
    <w:rsid w:val="735FFE03"/>
    <w:rsid w:val="738792DE"/>
    <w:rsid w:val="738E834A"/>
    <w:rsid w:val="73C64A23"/>
    <w:rsid w:val="741116AD"/>
    <w:rsid w:val="7423A35F"/>
    <w:rsid w:val="7454EBA6"/>
    <w:rsid w:val="7474E2C7"/>
    <w:rsid w:val="74FA54CD"/>
    <w:rsid w:val="75024703"/>
    <w:rsid w:val="7535F733"/>
    <w:rsid w:val="75BED435"/>
    <w:rsid w:val="7607C199"/>
    <w:rsid w:val="7635DCEA"/>
    <w:rsid w:val="76589E93"/>
    <w:rsid w:val="76DECDEB"/>
    <w:rsid w:val="77078409"/>
    <w:rsid w:val="77085089"/>
    <w:rsid w:val="773E5D18"/>
    <w:rsid w:val="7747BC50"/>
    <w:rsid w:val="7747E5BD"/>
    <w:rsid w:val="77581FB7"/>
    <w:rsid w:val="777031C1"/>
    <w:rsid w:val="77B725E2"/>
    <w:rsid w:val="77ECBE63"/>
    <w:rsid w:val="77EF9B29"/>
    <w:rsid w:val="78357DF5"/>
    <w:rsid w:val="78C17498"/>
    <w:rsid w:val="78E63AC4"/>
    <w:rsid w:val="791D5347"/>
    <w:rsid w:val="791D8D88"/>
    <w:rsid w:val="7933E99E"/>
    <w:rsid w:val="7939AA7A"/>
    <w:rsid w:val="793FAFAF"/>
    <w:rsid w:val="79826EC7"/>
    <w:rsid w:val="798CB1A0"/>
    <w:rsid w:val="79B0AE83"/>
    <w:rsid w:val="79B6B43F"/>
    <w:rsid w:val="79BAF66A"/>
    <w:rsid w:val="7A513FB3"/>
    <w:rsid w:val="7A792132"/>
    <w:rsid w:val="7A8205CB"/>
    <w:rsid w:val="7A90F876"/>
    <w:rsid w:val="7A91F99B"/>
    <w:rsid w:val="7AC522B2"/>
    <w:rsid w:val="7AF10AE9"/>
    <w:rsid w:val="7B1CBDFC"/>
    <w:rsid w:val="7B4B696B"/>
    <w:rsid w:val="7B7F9CE5"/>
    <w:rsid w:val="7BAECB76"/>
    <w:rsid w:val="7BB4C73D"/>
    <w:rsid w:val="7BD55618"/>
    <w:rsid w:val="7BDEB8FD"/>
    <w:rsid w:val="7C74DD14"/>
    <w:rsid w:val="7C9C930E"/>
    <w:rsid w:val="7D1C7A42"/>
    <w:rsid w:val="7D231E37"/>
    <w:rsid w:val="7D77B367"/>
    <w:rsid w:val="7DAA6706"/>
    <w:rsid w:val="7DB5B865"/>
    <w:rsid w:val="7E197CE2"/>
    <w:rsid w:val="7E5F9E7A"/>
    <w:rsid w:val="7E666461"/>
    <w:rsid w:val="7ED8FD4B"/>
    <w:rsid w:val="7F132224"/>
    <w:rsid w:val="7F58D9F0"/>
    <w:rsid w:val="7F5BB47F"/>
    <w:rsid w:val="7F5FB65B"/>
    <w:rsid w:val="7F732A6B"/>
    <w:rsid w:val="7FAC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31181B"/>
  <w15:chartTrackingRefBased/>
  <w15:docId w15:val="{0CA256B8-59F4-42E5-A633-3119C0B8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7F"/>
  </w:style>
  <w:style w:type="paragraph" w:styleId="Heading1">
    <w:name w:val="heading 1"/>
    <w:basedOn w:val="Normal"/>
    <w:next w:val="Normal"/>
    <w:link w:val="Heading1Char"/>
    <w:uiPriority w:val="9"/>
    <w:qFormat/>
    <w:rsid w:val="0003407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0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0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40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40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40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40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0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7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4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407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407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407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407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03407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03407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03407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Marker">
    <w:name w:val="Marker"/>
    <w:basedOn w:val="DefaultParagraphFont"/>
    <w:rsid w:val="00A44A1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A44A1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44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A15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A44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A15"/>
    <w:rPr>
      <w:lang w:val="pl-PL"/>
    </w:rPr>
  </w:style>
  <w:style w:type="paragraph" w:customStyle="1" w:styleId="FooterCoverPage">
    <w:name w:val="Footer Cover Page"/>
    <w:basedOn w:val="Normal"/>
    <w:link w:val="FooterCoverPageChar"/>
    <w:rsid w:val="00A44A1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A44A15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A44A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A44A15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A44A1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A44A15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A44A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A44A15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A44A15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A44A15"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rsid w:val="00A44A15"/>
    <w:rPr>
      <w:color w:val="0000FF"/>
      <w:u w:val="single"/>
    </w:rPr>
  </w:style>
  <w:style w:type="paragraph" w:customStyle="1" w:styleId="Text1">
    <w:name w:val="Text 1"/>
    <w:basedOn w:val="Normal"/>
    <w:link w:val="Text1Char"/>
    <w:rsid w:val="00A44A15"/>
    <w:pPr>
      <w:spacing w:before="120" w:after="120" w:line="240" w:lineRule="auto"/>
      <w:ind w:left="850"/>
      <w:jc w:val="both"/>
    </w:pPr>
    <w:rPr>
      <w:rFonts w:ascii="Times New Roman" w:eastAsia="MS PGothic" w:hAnsi="Times New Roman" w:cs="Times New Roman"/>
      <w:noProof/>
      <w:sz w:val="24"/>
      <w:szCs w:val="24"/>
    </w:rPr>
  </w:style>
  <w:style w:type="paragraph" w:customStyle="1" w:styleId="Annexetitre">
    <w:name w:val="Annexe titre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44A1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A15"/>
    <w:rPr>
      <w:rFonts w:ascii="Tahoma" w:eastAsia="Times New Roman" w:hAnsi="Tahoma" w:cs="Tahoma"/>
      <w:sz w:val="16"/>
      <w:szCs w:val="16"/>
      <w:lang w:val="pl-PL" w:eastAsia="en-GB"/>
    </w:rPr>
  </w:style>
  <w:style w:type="paragraph" w:styleId="FootnoteText">
    <w:name w:val="footnote text"/>
    <w:basedOn w:val="Normal"/>
    <w:link w:val="FootnoteTextChar"/>
    <w:rsid w:val="00A44A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44A1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OC1">
    <w:name w:val="toc 1"/>
    <w:basedOn w:val="Normal"/>
    <w:next w:val="Normal"/>
    <w:uiPriority w:val="39"/>
    <w:rsid w:val="00A44A15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39"/>
    <w:rsid w:val="00A44A15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uiPriority w:val="39"/>
    <w:rsid w:val="00A44A15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uiPriority w:val="39"/>
    <w:rsid w:val="00A44A15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uiPriority w:val="39"/>
    <w:rsid w:val="00A44A15"/>
    <w:pPr>
      <w:tabs>
        <w:tab w:val="right" w:leader="dot" w:pos="9071"/>
      </w:tabs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uiPriority w:val="39"/>
    <w:rsid w:val="00A44A15"/>
    <w:pPr>
      <w:tabs>
        <w:tab w:val="right" w:leader="dot" w:pos="9071"/>
      </w:tabs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uiPriority w:val="39"/>
    <w:rsid w:val="00A44A15"/>
    <w:pPr>
      <w:tabs>
        <w:tab w:val="right" w:leader="dot" w:pos="9071"/>
      </w:tabs>
      <w:spacing w:before="18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uiPriority w:val="39"/>
    <w:rsid w:val="00A44A15"/>
    <w:pPr>
      <w:tabs>
        <w:tab w:val="right" w:leader="dot" w:pos="9071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uiPriority w:val="39"/>
    <w:rsid w:val="00A44A15"/>
    <w:pPr>
      <w:tabs>
        <w:tab w:val="right" w:leader="dot" w:pos="907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andscape">
    <w:name w:val="HeaderLandscape"/>
    <w:basedOn w:val="Normal"/>
    <w:rsid w:val="00A44A15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FooterLandscape">
    <w:name w:val="FooterLandscape"/>
    <w:basedOn w:val="Normal"/>
    <w:rsid w:val="00A44A15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basedOn w:val="DefaultParagraphFont"/>
    <w:rsid w:val="00A44A15"/>
    <w:rPr>
      <w:shd w:val="clear" w:color="auto" w:fill="auto"/>
      <w:vertAlign w:val="superscript"/>
    </w:rPr>
  </w:style>
  <w:style w:type="paragraph" w:customStyle="1" w:styleId="Text2">
    <w:name w:val="Text 2"/>
    <w:basedOn w:val="Normal"/>
    <w:rsid w:val="00A44A15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">
    <w:name w:val="Text 3"/>
    <w:basedOn w:val="Normal"/>
    <w:rsid w:val="00A44A15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4">
    <w:name w:val="Text 4"/>
    <w:basedOn w:val="Normal"/>
    <w:rsid w:val="00A44A15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ered">
    <w:name w:val="Normal Centered"/>
    <w:basedOn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Left">
    <w:name w:val="Normal Left"/>
    <w:basedOn w:val="Normal"/>
    <w:rsid w:val="00A44A1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Right">
    <w:name w:val="Normal Right"/>
    <w:basedOn w:val="Normal"/>
    <w:rsid w:val="00A44A15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dText">
    <w:name w:val="Quoted Text"/>
    <w:basedOn w:val="Normal"/>
    <w:rsid w:val="00A44A15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">
    <w:name w:val="Point 0"/>
    <w:basedOn w:val="Normal"/>
    <w:rsid w:val="00A44A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rsid w:val="00A44A15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">
    <w:name w:val="Point 2"/>
    <w:basedOn w:val="Normal"/>
    <w:rsid w:val="00A44A15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">
    <w:name w:val="Point 3"/>
    <w:basedOn w:val="Normal"/>
    <w:rsid w:val="00A44A15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">
    <w:name w:val="Point 4"/>
    <w:basedOn w:val="Normal"/>
    <w:rsid w:val="00A44A15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ret0">
    <w:name w:val="Tiret 0"/>
    <w:basedOn w:val="Point0"/>
    <w:rsid w:val="00A44A15"/>
    <w:pPr>
      <w:numPr>
        <w:numId w:val="4"/>
      </w:numPr>
    </w:pPr>
  </w:style>
  <w:style w:type="paragraph" w:customStyle="1" w:styleId="Tiret1">
    <w:name w:val="Tiret 1"/>
    <w:basedOn w:val="Point1"/>
    <w:rsid w:val="00A44A15"/>
    <w:pPr>
      <w:numPr>
        <w:numId w:val="5"/>
      </w:numPr>
    </w:pPr>
  </w:style>
  <w:style w:type="paragraph" w:customStyle="1" w:styleId="Tiret2">
    <w:name w:val="Tiret 2"/>
    <w:basedOn w:val="Point2"/>
    <w:rsid w:val="00A44A15"/>
    <w:pPr>
      <w:numPr>
        <w:numId w:val="6"/>
      </w:numPr>
    </w:pPr>
  </w:style>
  <w:style w:type="paragraph" w:customStyle="1" w:styleId="Tiret3">
    <w:name w:val="Tiret 3"/>
    <w:basedOn w:val="Point3"/>
    <w:rsid w:val="00A44A15"/>
    <w:pPr>
      <w:numPr>
        <w:numId w:val="7"/>
      </w:numPr>
    </w:pPr>
  </w:style>
  <w:style w:type="paragraph" w:customStyle="1" w:styleId="Tiret4">
    <w:name w:val="Tiret 4"/>
    <w:basedOn w:val="Point4"/>
    <w:rsid w:val="00A44A15"/>
    <w:pPr>
      <w:numPr>
        <w:numId w:val="8"/>
      </w:numPr>
    </w:pPr>
  </w:style>
  <w:style w:type="paragraph" w:customStyle="1" w:styleId="PointDouble0">
    <w:name w:val="PointDouble 0"/>
    <w:basedOn w:val="Normal"/>
    <w:rsid w:val="00A44A15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Double1">
    <w:name w:val="PointDouble 1"/>
    <w:basedOn w:val="Normal"/>
    <w:rsid w:val="00A44A15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Double2">
    <w:name w:val="PointDouble 2"/>
    <w:basedOn w:val="Normal"/>
    <w:rsid w:val="00A44A15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Double3">
    <w:name w:val="PointDouble 3"/>
    <w:basedOn w:val="Normal"/>
    <w:rsid w:val="00A44A15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Double4">
    <w:name w:val="PointDouble 4"/>
    <w:basedOn w:val="Normal"/>
    <w:rsid w:val="00A44A15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Triple0">
    <w:name w:val="PointTriple 0"/>
    <w:basedOn w:val="Normal"/>
    <w:rsid w:val="00A44A15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Triple1">
    <w:name w:val="PointTriple 1"/>
    <w:basedOn w:val="Normal"/>
    <w:rsid w:val="00A44A15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Triple2">
    <w:name w:val="PointTriple 2"/>
    <w:basedOn w:val="Normal"/>
    <w:rsid w:val="00A44A15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Triple3">
    <w:name w:val="PointTriple 3"/>
    <w:basedOn w:val="Normal"/>
    <w:rsid w:val="00A44A15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Triple4">
    <w:name w:val="PointTriple 4"/>
    <w:basedOn w:val="Normal"/>
    <w:rsid w:val="00A44A15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1">
    <w:name w:val="NumPar 1"/>
    <w:basedOn w:val="Normal"/>
    <w:next w:val="Text1"/>
    <w:rsid w:val="00A44A15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ormal"/>
    <w:next w:val="Text1"/>
    <w:rsid w:val="00A44A15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ormal"/>
    <w:next w:val="Text1"/>
    <w:rsid w:val="00A44A15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ormal"/>
    <w:next w:val="Text1"/>
    <w:rsid w:val="00A44A15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ualNumPar1">
    <w:name w:val="Manual NumPar 1"/>
    <w:basedOn w:val="Normal"/>
    <w:next w:val="Text1"/>
    <w:rsid w:val="00A44A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ualNumPar2">
    <w:name w:val="Manual NumPar 2"/>
    <w:basedOn w:val="Normal"/>
    <w:next w:val="Text1"/>
    <w:rsid w:val="00A44A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ualNumPar3">
    <w:name w:val="Manual NumPar 3"/>
    <w:basedOn w:val="Normal"/>
    <w:next w:val="Text1"/>
    <w:rsid w:val="00A44A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ualNumPar4">
    <w:name w:val="Manual NumPar 4"/>
    <w:basedOn w:val="Normal"/>
    <w:next w:val="Text1"/>
    <w:rsid w:val="00A44A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dNumPar">
    <w:name w:val="Quoted NumPar"/>
    <w:basedOn w:val="Normal"/>
    <w:rsid w:val="00A44A15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ualHeading1">
    <w:name w:val="Manual Heading 1"/>
    <w:basedOn w:val="Normal"/>
    <w:next w:val="Text1"/>
    <w:rsid w:val="00A44A15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ManualHeading2">
    <w:name w:val="Manual Heading 2"/>
    <w:basedOn w:val="Normal"/>
    <w:next w:val="Text1"/>
    <w:rsid w:val="00A44A1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anualHeading3">
    <w:name w:val="Manual Heading 3"/>
    <w:basedOn w:val="Normal"/>
    <w:next w:val="Text1"/>
    <w:rsid w:val="00A44A1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A44A1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Title">
    <w:name w:val="ChapterTitle"/>
    <w:basedOn w:val="Normal"/>
    <w:next w:val="Normal"/>
    <w:rsid w:val="00A44A15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A44A15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A44A15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Marker1">
    <w:name w:val="Marker1"/>
    <w:rsid w:val="00A44A15"/>
    <w:rPr>
      <w:color w:val="008000"/>
      <w:shd w:val="clear" w:color="auto" w:fill="auto"/>
    </w:rPr>
  </w:style>
  <w:style w:type="character" w:customStyle="1" w:styleId="Marker2">
    <w:name w:val="Marker2"/>
    <w:rsid w:val="00A44A15"/>
    <w:rPr>
      <w:color w:val="FF0000"/>
      <w:shd w:val="clear" w:color="auto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03407F"/>
    <w:pPr>
      <w:outlineLvl w:val="9"/>
    </w:pPr>
  </w:style>
  <w:style w:type="paragraph" w:customStyle="1" w:styleId="Point0number">
    <w:name w:val="Point 0 (number)"/>
    <w:basedOn w:val="Normal"/>
    <w:rsid w:val="00A44A15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al"/>
    <w:rsid w:val="00A44A15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al"/>
    <w:rsid w:val="00A44A15"/>
    <w:pPr>
      <w:numPr>
        <w:ilvl w:val="4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al"/>
    <w:rsid w:val="00A44A15"/>
    <w:pPr>
      <w:numPr>
        <w:ilvl w:val="6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al"/>
    <w:rsid w:val="00A44A15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al"/>
    <w:rsid w:val="00A44A15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al"/>
    <w:rsid w:val="00A44A15"/>
    <w:pPr>
      <w:numPr>
        <w:ilvl w:val="5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al"/>
    <w:rsid w:val="00A44A15"/>
    <w:pPr>
      <w:numPr>
        <w:ilvl w:val="7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al"/>
    <w:rsid w:val="00A44A15"/>
    <w:pPr>
      <w:numPr>
        <w:ilvl w:val="8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0">
    <w:name w:val="Bullet 0"/>
    <w:basedOn w:val="Normal"/>
    <w:rsid w:val="00A44A15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A44A15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2">
    <w:name w:val="Bullet 2"/>
    <w:basedOn w:val="Normal"/>
    <w:rsid w:val="00A44A15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3">
    <w:name w:val="Bullet 3"/>
    <w:basedOn w:val="Normal"/>
    <w:rsid w:val="00A44A15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4">
    <w:name w:val="Bullet 4"/>
    <w:basedOn w:val="Normal"/>
    <w:rsid w:val="00A44A15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A44A15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A44A15"/>
    <w:pPr>
      <w:keepNext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A44A15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A44A15"/>
    <w:pPr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i/>
      <w:sz w:val="32"/>
      <w:szCs w:val="24"/>
    </w:rPr>
  </w:style>
  <w:style w:type="paragraph" w:customStyle="1" w:styleId="Considrant">
    <w:name w:val="Considérant"/>
    <w:basedOn w:val="Normal"/>
    <w:rsid w:val="00A44A1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rigendum">
    <w:name w:val="Corrigendum"/>
    <w:basedOn w:val="Normal"/>
    <w:next w:val="Normal"/>
    <w:rsid w:val="00A44A1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dadoption">
    <w:name w:val="Date d'adoption"/>
    <w:basedOn w:val="Normal"/>
    <w:next w:val="Titreobjet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A44A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Fait">
    <w:name w:val="Fait à"/>
    <w:basedOn w:val="Normal"/>
    <w:next w:val="Institutionquisigne"/>
    <w:rsid w:val="00A44A15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uledadoption">
    <w:name w:val="Formule d'adoption"/>
    <w:basedOn w:val="Normal"/>
    <w:next w:val="Titrearticle"/>
    <w:rsid w:val="00A44A15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A44A15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A44A15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Langue">
    <w:name w:val="Langue"/>
    <w:basedOn w:val="Normal"/>
    <w:next w:val="Rfrenceinterne"/>
    <w:rsid w:val="00A44A15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ManualConsidrant">
    <w:name w:val="Manual Considérant"/>
    <w:basedOn w:val="Normal"/>
    <w:rsid w:val="00A44A15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A44A1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A44A15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A44A15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A44A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A44A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s-titreobjet">
    <w:name w:val="Sous-titre objet"/>
    <w:basedOn w:val="Normal"/>
    <w:rsid w:val="00A44A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atut">
    <w:name w:val="Statut"/>
    <w:basedOn w:val="Normal"/>
    <w:next w:val="Typedudocument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ormal"/>
    <w:next w:val="Normal"/>
    <w:rsid w:val="00A44A15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itreobjet">
    <w:name w:val="Titre objet"/>
    <w:basedOn w:val="Normal"/>
    <w:next w:val="Sous-titreobjet"/>
    <w:rsid w:val="00A44A1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Normal"/>
    <w:next w:val="Titreobjet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ded">
    <w:name w:val="Added"/>
    <w:rsid w:val="00A44A15"/>
    <w:rPr>
      <w:b/>
      <w:u w:val="single"/>
      <w:shd w:val="clear" w:color="auto" w:fill="auto"/>
    </w:rPr>
  </w:style>
  <w:style w:type="character" w:customStyle="1" w:styleId="Deleted">
    <w:name w:val="Deleted"/>
    <w:rsid w:val="00A44A15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A44A15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etexterne">
    <w:name w:val="Objet externe"/>
    <w:basedOn w:val="Normal"/>
    <w:next w:val="Normal"/>
    <w:rsid w:val="00A44A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</w:rPr>
  </w:style>
  <w:style w:type="paragraph" w:customStyle="1" w:styleId="Supertitre">
    <w:name w:val="Supertitre"/>
    <w:basedOn w:val="Normal"/>
    <w:next w:val="Normal"/>
    <w:rsid w:val="00A44A15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rencecroise">
    <w:name w:val="Référence croisée"/>
    <w:basedOn w:val="Normal"/>
    <w:rsid w:val="00A44A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A44A15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A44A15"/>
  </w:style>
  <w:style w:type="paragraph" w:customStyle="1" w:styleId="Sous-titreobjetPagedecouverture">
    <w:name w:val="Sous-titre objet (Page de couverture)"/>
    <w:basedOn w:val="Sous-titreobjet"/>
    <w:rsid w:val="00A44A15"/>
  </w:style>
  <w:style w:type="paragraph" w:customStyle="1" w:styleId="StatutPagedecouverture">
    <w:name w:val="Statut (Page de couverture)"/>
    <w:basedOn w:val="Statut"/>
    <w:next w:val="TypedudocumentPagedecouverture"/>
    <w:rsid w:val="00A44A15"/>
  </w:style>
  <w:style w:type="paragraph" w:customStyle="1" w:styleId="TitreobjetPagedecouverture">
    <w:name w:val="Titre objet (Page de couverture)"/>
    <w:basedOn w:val="Titreobjet"/>
    <w:next w:val="Sous-titreobjetPagedecouverture"/>
    <w:rsid w:val="00A44A15"/>
  </w:style>
  <w:style w:type="paragraph" w:customStyle="1" w:styleId="TypedudocumentPagedecouverture">
    <w:name w:val="Type du document (Page de couverture)"/>
    <w:basedOn w:val="Typedudocument"/>
    <w:next w:val="TitreobjetPagedecouverture"/>
    <w:rsid w:val="00A44A15"/>
  </w:style>
  <w:style w:type="paragraph" w:customStyle="1" w:styleId="Volume">
    <w:name w:val="Volume"/>
    <w:basedOn w:val="Normal"/>
    <w:next w:val="Confidentialit"/>
    <w:rsid w:val="00A44A15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tEEE">
    <w:name w:val="Intérêt EEE"/>
    <w:basedOn w:val="Languesfaisantfoi"/>
    <w:next w:val="Normal"/>
    <w:rsid w:val="00A44A15"/>
    <w:pPr>
      <w:spacing w:after="240"/>
    </w:pPr>
  </w:style>
  <w:style w:type="paragraph" w:customStyle="1" w:styleId="Accompagnant">
    <w:name w:val="Accompagnant"/>
    <w:basedOn w:val="Normal"/>
    <w:next w:val="Typeacteprincipal"/>
    <w:rsid w:val="00A44A15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A44A15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A44A15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A44A15"/>
  </w:style>
  <w:style w:type="paragraph" w:customStyle="1" w:styleId="AccompagnantPagedecouverture">
    <w:name w:val="Accompagnant (Page de couverture)"/>
    <w:basedOn w:val="Accompagnant"/>
    <w:next w:val="TypeacteprincipalPagedecouverture"/>
    <w:rsid w:val="00A44A1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A44A15"/>
  </w:style>
  <w:style w:type="paragraph" w:customStyle="1" w:styleId="ObjetacteprincipalPagedecouverture">
    <w:name w:val="Objet acte principal (Page de couverture)"/>
    <w:basedOn w:val="Objetacteprincipal"/>
    <w:next w:val="Rfrencecroise"/>
    <w:rsid w:val="00A44A15"/>
  </w:style>
  <w:style w:type="paragraph" w:customStyle="1" w:styleId="LanguesfaisantfoiPagedecouverture">
    <w:name w:val="Langues faisant foi (Page de couverture)"/>
    <w:basedOn w:val="Normal"/>
    <w:next w:val="Normal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rsid w:val="00A44A15"/>
    <w:pPr>
      <w:numPr>
        <w:numId w:val="2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Bullet2">
    <w:name w:val="List Bullet 2"/>
    <w:basedOn w:val="Normal"/>
    <w:uiPriority w:val="99"/>
    <w:rsid w:val="00A44A15"/>
    <w:pPr>
      <w:numPr>
        <w:numId w:val="2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Bullet3">
    <w:name w:val="List Bullet 3"/>
    <w:basedOn w:val="Normal"/>
    <w:uiPriority w:val="99"/>
    <w:rsid w:val="00A44A15"/>
    <w:pPr>
      <w:numPr>
        <w:numId w:val="2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Bullet4">
    <w:name w:val="List Bullet 4"/>
    <w:basedOn w:val="Normal"/>
    <w:uiPriority w:val="99"/>
    <w:rsid w:val="00A44A15"/>
    <w:pPr>
      <w:numPr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Number">
    <w:name w:val="List Number"/>
    <w:basedOn w:val="Normal"/>
    <w:uiPriority w:val="99"/>
    <w:rsid w:val="00A44A15"/>
    <w:pPr>
      <w:numPr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Number2">
    <w:name w:val="List Number 2"/>
    <w:basedOn w:val="Normal"/>
    <w:uiPriority w:val="99"/>
    <w:rsid w:val="00A44A15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Number3">
    <w:name w:val="List Number 3"/>
    <w:basedOn w:val="Normal"/>
    <w:uiPriority w:val="99"/>
    <w:rsid w:val="00A44A15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Number4">
    <w:name w:val="List Number 4"/>
    <w:basedOn w:val="Normal"/>
    <w:uiPriority w:val="99"/>
    <w:rsid w:val="00A44A15"/>
    <w:pPr>
      <w:numPr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Bullet1">
    <w:name w:val="List Bullet 1"/>
    <w:basedOn w:val="Normal"/>
    <w:rsid w:val="00A44A15"/>
    <w:pPr>
      <w:numPr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">
    <w:name w:val="List Dash"/>
    <w:basedOn w:val="Normal"/>
    <w:rsid w:val="00A44A15"/>
    <w:pPr>
      <w:numPr>
        <w:numId w:val="2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1">
    <w:name w:val="List Dash 1"/>
    <w:basedOn w:val="Normal"/>
    <w:rsid w:val="00A44A15"/>
    <w:pPr>
      <w:numPr>
        <w:numId w:val="2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2">
    <w:name w:val="List Dash 2"/>
    <w:basedOn w:val="Normal"/>
    <w:rsid w:val="00A44A15"/>
    <w:pPr>
      <w:numPr>
        <w:numId w:val="3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3">
    <w:name w:val="List Dash 3"/>
    <w:basedOn w:val="Normal"/>
    <w:rsid w:val="00A44A15"/>
    <w:pPr>
      <w:numPr>
        <w:numId w:val="3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4">
    <w:name w:val="List Dash 4"/>
    <w:basedOn w:val="Normal"/>
    <w:rsid w:val="00A44A15"/>
    <w:pPr>
      <w:numPr>
        <w:numId w:val="3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">
    <w:name w:val="List Number 1"/>
    <w:basedOn w:val="Text1"/>
    <w:rsid w:val="00A44A15"/>
    <w:pPr>
      <w:numPr>
        <w:numId w:val="19"/>
      </w:numPr>
      <w:tabs>
        <w:tab w:val="clear" w:pos="1560"/>
        <w:tab w:val="num" w:pos="360"/>
      </w:tabs>
      <w:ind w:left="850" w:firstLine="0"/>
    </w:pPr>
    <w:rPr>
      <w:lang w:eastAsia="de-DE"/>
    </w:rPr>
  </w:style>
  <w:style w:type="paragraph" w:customStyle="1" w:styleId="ListNumberLevel2">
    <w:name w:val="List Number (Level 2)"/>
    <w:basedOn w:val="Normal"/>
    <w:rsid w:val="00A44A15"/>
    <w:pPr>
      <w:numPr>
        <w:ilvl w:val="1"/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Level2">
    <w:name w:val="List Number 1 (Level 2)"/>
    <w:basedOn w:val="Text1"/>
    <w:rsid w:val="00A44A15"/>
    <w:pPr>
      <w:numPr>
        <w:ilvl w:val="1"/>
        <w:numId w:val="19"/>
      </w:numPr>
      <w:tabs>
        <w:tab w:val="clear" w:pos="2268"/>
        <w:tab w:val="num" w:pos="360"/>
      </w:tabs>
      <w:ind w:left="850" w:firstLine="0"/>
    </w:pPr>
    <w:rPr>
      <w:lang w:eastAsia="de-DE"/>
    </w:rPr>
  </w:style>
  <w:style w:type="paragraph" w:customStyle="1" w:styleId="ListNumber2Level2">
    <w:name w:val="List Number 2 (Level 2)"/>
    <w:basedOn w:val="Text2"/>
    <w:rsid w:val="00A44A15"/>
    <w:pPr>
      <w:numPr>
        <w:ilvl w:val="1"/>
        <w:numId w:val="20"/>
      </w:numPr>
    </w:pPr>
    <w:rPr>
      <w:lang w:eastAsia="de-DE"/>
    </w:rPr>
  </w:style>
  <w:style w:type="paragraph" w:customStyle="1" w:styleId="ListNumber3Level2">
    <w:name w:val="List Number 3 (Level 2)"/>
    <w:basedOn w:val="Text3"/>
    <w:rsid w:val="00A44A15"/>
    <w:pPr>
      <w:numPr>
        <w:ilvl w:val="1"/>
        <w:numId w:val="21"/>
      </w:numPr>
    </w:pPr>
    <w:rPr>
      <w:lang w:eastAsia="de-DE"/>
    </w:rPr>
  </w:style>
  <w:style w:type="paragraph" w:customStyle="1" w:styleId="ListNumber4Level2">
    <w:name w:val="List Number 4 (Level 2)"/>
    <w:basedOn w:val="Text4"/>
    <w:rsid w:val="00A44A15"/>
    <w:pPr>
      <w:numPr>
        <w:ilvl w:val="1"/>
        <w:numId w:val="22"/>
      </w:numPr>
    </w:pPr>
    <w:rPr>
      <w:lang w:eastAsia="de-DE"/>
    </w:rPr>
  </w:style>
  <w:style w:type="paragraph" w:customStyle="1" w:styleId="ListNumberLevel3">
    <w:name w:val="List Number (Level 3)"/>
    <w:basedOn w:val="Normal"/>
    <w:rsid w:val="00A44A15"/>
    <w:pPr>
      <w:numPr>
        <w:ilvl w:val="2"/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Level3">
    <w:name w:val="List Number 1 (Level 3)"/>
    <w:basedOn w:val="Text1"/>
    <w:rsid w:val="00A44A15"/>
    <w:pPr>
      <w:numPr>
        <w:ilvl w:val="2"/>
        <w:numId w:val="19"/>
      </w:numPr>
      <w:tabs>
        <w:tab w:val="clear" w:pos="2977"/>
        <w:tab w:val="num" w:pos="360"/>
      </w:tabs>
      <w:ind w:left="850" w:firstLine="0"/>
    </w:pPr>
    <w:rPr>
      <w:lang w:eastAsia="de-DE"/>
    </w:rPr>
  </w:style>
  <w:style w:type="paragraph" w:customStyle="1" w:styleId="ListNumber2Level3">
    <w:name w:val="List Number 2 (Level 3)"/>
    <w:basedOn w:val="Text2"/>
    <w:rsid w:val="00A44A15"/>
    <w:pPr>
      <w:numPr>
        <w:ilvl w:val="2"/>
        <w:numId w:val="20"/>
      </w:numPr>
    </w:pPr>
    <w:rPr>
      <w:lang w:eastAsia="de-DE"/>
    </w:rPr>
  </w:style>
  <w:style w:type="paragraph" w:customStyle="1" w:styleId="ListNumber3Level3">
    <w:name w:val="List Number 3 (Level 3)"/>
    <w:basedOn w:val="Text3"/>
    <w:rsid w:val="00A44A15"/>
    <w:pPr>
      <w:numPr>
        <w:ilvl w:val="2"/>
        <w:numId w:val="21"/>
      </w:numPr>
    </w:pPr>
    <w:rPr>
      <w:lang w:eastAsia="de-DE"/>
    </w:rPr>
  </w:style>
  <w:style w:type="paragraph" w:customStyle="1" w:styleId="ListNumber4Level3">
    <w:name w:val="List Number 4 (Level 3)"/>
    <w:basedOn w:val="Text4"/>
    <w:rsid w:val="00A44A15"/>
    <w:pPr>
      <w:numPr>
        <w:ilvl w:val="2"/>
        <w:numId w:val="22"/>
      </w:numPr>
    </w:pPr>
    <w:rPr>
      <w:lang w:eastAsia="de-DE"/>
    </w:rPr>
  </w:style>
  <w:style w:type="paragraph" w:customStyle="1" w:styleId="ListNumberLevel4">
    <w:name w:val="List Number (Level 4)"/>
    <w:basedOn w:val="Normal"/>
    <w:rsid w:val="00A44A15"/>
    <w:pPr>
      <w:numPr>
        <w:ilvl w:val="3"/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Level4">
    <w:name w:val="List Number 1 (Level 4)"/>
    <w:basedOn w:val="Text1"/>
    <w:rsid w:val="00A44A15"/>
    <w:pPr>
      <w:numPr>
        <w:ilvl w:val="3"/>
        <w:numId w:val="19"/>
      </w:numPr>
      <w:tabs>
        <w:tab w:val="clear" w:pos="3686"/>
        <w:tab w:val="num" w:pos="360"/>
      </w:tabs>
      <w:ind w:left="850" w:firstLine="0"/>
    </w:pPr>
    <w:rPr>
      <w:lang w:eastAsia="de-DE"/>
    </w:rPr>
  </w:style>
  <w:style w:type="paragraph" w:customStyle="1" w:styleId="ListNumber2Level4">
    <w:name w:val="List Number 2 (Level 4)"/>
    <w:basedOn w:val="Text2"/>
    <w:rsid w:val="00A44A15"/>
    <w:pPr>
      <w:numPr>
        <w:ilvl w:val="3"/>
        <w:numId w:val="20"/>
      </w:numPr>
    </w:pPr>
    <w:rPr>
      <w:lang w:eastAsia="de-DE"/>
    </w:rPr>
  </w:style>
  <w:style w:type="paragraph" w:customStyle="1" w:styleId="ListNumber3Level4">
    <w:name w:val="List Number 3 (Level 4)"/>
    <w:basedOn w:val="Text3"/>
    <w:rsid w:val="00A44A15"/>
    <w:pPr>
      <w:numPr>
        <w:ilvl w:val="3"/>
        <w:numId w:val="21"/>
      </w:numPr>
    </w:pPr>
    <w:rPr>
      <w:lang w:eastAsia="de-DE"/>
    </w:rPr>
  </w:style>
  <w:style w:type="paragraph" w:customStyle="1" w:styleId="ListNumber4Level4">
    <w:name w:val="List Number 4 (Level 4)"/>
    <w:basedOn w:val="Text4"/>
    <w:rsid w:val="00A44A15"/>
    <w:pPr>
      <w:numPr>
        <w:ilvl w:val="3"/>
        <w:numId w:val="22"/>
      </w:numPr>
    </w:pPr>
    <w:rPr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A44A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ous-titreobjetprliminaire">
    <w:name w:val="Sous-titre objet (préliminaire)"/>
    <w:basedOn w:val="Normal"/>
    <w:rsid w:val="00A44A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Statutprliminaire">
    <w:name w:val="Statut (préliminaire)"/>
    <w:basedOn w:val="Normal"/>
    <w:next w:val="Normal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itreobjetprliminaire">
    <w:name w:val="Titre objet (préliminaire)"/>
    <w:basedOn w:val="Normal"/>
    <w:next w:val="Normal"/>
    <w:rsid w:val="00A44A1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rsid w:val="00A44A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FichedimpactPMEtitre">
    <w:name w:val="Fiche d'impact PME titre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Fichefinanciretextetable">
    <w:name w:val="Fiche financière texte (table)"/>
    <w:basedOn w:val="Normal"/>
    <w:rsid w:val="00A4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ichefinanciretitreactetable">
    <w:name w:val="Fiche financière titre (acte table)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Fichefinanciretitretable">
    <w:name w:val="Fiche financière titre (table)"/>
    <w:basedOn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styleId="PageNumber">
    <w:name w:val="page number"/>
    <w:basedOn w:val="DefaultParagraphFont"/>
    <w:uiPriority w:val="99"/>
    <w:rsid w:val="00A44A15"/>
    <w:rPr>
      <w:shd w:val="clear" w:color="auto" w:fill="auto"/>
    </w:rPr>
  </w:style>
  <w:style w:type="paragraph" w:styleId="ListBullet5">
    <w:name w:val="List Bullet 5"/>
    <w:basedOn w:val="Normal"/>
    <w:autoRedefine/>
    <w:uiPriority w:val="99"/>
    <w:rsid w:val="00A44A15"/>
    <w:pPr>
      <w:numPr>
        <w:numId w:val="2"/>
      </w:numPr>
      <w:tabs>
        <w:tab w:val="clear" w:pos="1492"/>
        <w:tab w:val="num" w:pos="360"/>
      </w:tabs>
      <w:spacing w:after="24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Number5">
    <w:name w:val="List Number 5"/>
    <w:basedOn w:val="Normal"/>
    <w:uiPriority w:val="99"/>
    <w:rsid w:val="00A44A15"/>
    <w:pPr>
      <w:numPr>
        <w:numId w:val="3"/>
      </w:numPr>
      <w:tabs>
        <w:tab w:val="clear" w:pos="1492"/>
        <w:tab w:val="num" w:pos="643"/>
      </w:tabs>
      <w:spacing w:after="240" w:line="240" w:lineRule="auto"/>
      <w:ind w:left="6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DocumentMap">
    <w:name w:val="Document Map"/>
    <w:basedOn w:val="Normal"/>
    <w:link w:val="DocumentMapChar"/>
    <w:uiPriority w:val="99"/>
    <w:rsid w:val="00A44A15"/>
    <w:pPr>
      <w:shd w:val="clear" w:color="auto" w:fill="000080"/>
      <w:spacing w:before="120" w:after="120" w:line="240" w:lineRule="auto"/>
      <w:jc w:val="both"/>
    </w:pPr>
    <w:rPr>
      <w:rFonts w:ascii="Tahoma" w:eastAsia="Times New Roman" w:hAnsi="Tahoma" w:cs="Times New Roman"/>
      <w:sz w:val="24"/>
      <w:szCs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44A15"/>
    <w:rPr>
      <w:rFonts w:ascii="Tahoma" w:eastAsia="Times New Roman" w:hAnsi="Tahoma" w:cs="Times New Roman"/>
      <w:sz w:val="24"/>
      <w:szCs w:val="20"/>
      <w:shd w:val="clear" w:color="auto" w:fill="000080"/>
      <w:lang w:val="pl-PL" w:eastAsia="zh-CN"/>
    </w:rPr>
  </w:style>
  <w:style w:type="paragraph" w:customStyle="1" w:styleId="AddressTL">
    <w:name w:val="AddressTL"/>
    <w:basedOn w:val="Normal"/>
    <w:next w:val="Normal"/>
    <w:rsid w:val="00A44A15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ddressTR">
    <w:name w:val="AddressTR"/>
    <w:basedOn w:val="Normal"/>
    <w:next w:val="Normal"/>
    <w:rsid w:val="00A44A15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lockText">
    <w:name w:val="Block Text"/>
    <w:basedOn w:val="Normal"/>
    <w:uiPriority w:val="99"/>
    <w:rsid w:val="00A44A15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A44A1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odyText2">
    <w:name w:val="Body Text 2"/>
    <w:basedOn w:val="Normal"/>
    <w:link w:val="BodyText2Char"/>
    <w:uiPriority w:val="99"/>
    <w:rsid w:val="00A44A15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odyText3">
    <w:name w:val="Body Text 3"/>
    <w:basedOn w:val="Normal"/>
    <w:link w:val="BodyText3Char"/>
    <w:uiPriority w:val="99"/>
    <w:rsid w:val="00A44A15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rsid w:val="00A44A15"/>
    <w:rPr>
      <w:rFonts w:ascii="Times New Roman" w:eastAsia="Times New Roman" w:hAnsi="Times New Roman" w:cs="Times New Roman"/>
      <w:sz w:val="16"/>
      <w:szCs w:val="20"/>
      <w:lang w:val="pl-PL" w:eastAsia="zh-CN"/>
    </w:rPr>
  </w:style>
  <w:style w:type="paragraph" w:styleId="BodyTextFirstIndent">
    <w:name w:val="Body Text First Indent"/>
    <w:basedOn w:val="BodyText"/>
    <w:link w:val="BodyTextFirstIndentChar"/>
    <w:uiPriority w:val="99"/>
    <w:rsid w:val="00A44A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odyTextIndent">
    <w:name w:val="Body Text Indent"/>
    <w:basedOn w:val="Normal"/>
    <w:link w:val="BodyTextIndentChar"/>
    <w:uiPriority w:val="99"/>
    <w:rsid w:val="00A44A1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44A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odyTextIndent2">
    <w:name w:val="Body Text Indent 2"/>
    <w:basedOn w:val="Normal"/>
    <w:link w:val="BodyTextIndent2Char"/>
    <w:uiPriority w:val="99"/>
    <w:rsid w:val="00A44A15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odyTextIndent3">
    <w:name w:val="Body Text Indent 3"/>
    <w:basedOn w:val="Normal"/>
    <w:link w:val="BodyTextIndent3Char"/>
    <w:uiPriority w:val="99"/>
    <w:rsid w:val="00A44A1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44A15"/>
    <w:rPr>
      <w:rFonts w:ascii="Times New Roman" w:eastAsia="Times New Roman" w:hAnsi="Times New Roman" w:cs="Times New Roman"/>
      <w:sz w:val="16"/>
      <w:szCs w:val="20"/>
      <w:lang w:val="pl-PL" w:eastAsia="zh-CN"/>
    </w:rPr>
  </w:style>
  <w:style w:type="paragraph" w:styleId="Closing">
    <w:name w:val="Closing"/>
    <w:basedOn w:val="Normal"/>
    <w:next w:val="Signature"/>
    <w:link w:val="ClosingChar"/>
    <w:uiPriority w:val="99"/>
    <w:rsid w:val="00A44A15"/>
    <w:pPr>
      <w:tabs>
        <w:tab w:val="left" w:pos="5103"/>
      </w:tabs>
      <w:spacing w:before="240" w:after="24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losingChar">
    <w:name w:val="Closing Char"/>
    <w:basedOn w:val="DefaultParagraphFont"/>
    <w:link w:val="Closing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Signature">
    <w:name w:val="Signature"/>
    <w:basedOn w:val="Normal"/>
    <w:next w:val="Contact"/>
    <w:link w:val="SignatureChar"/>
    <w:uiPriority w:val="99"/>
    <w:rsid w:val="00A44A15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ignatureChar">
    <w:name w:val="Signature Char"/>
    <w:basedOn w:val="DefaultParagraphFont"/>
    <w:link w:val="Signature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customStyle="1" w:styleId="Contact">
    <w:name w:val="Contact"/>
    <w:basedOn w:val="Normal"/>
    <w:next w:val="Enclosures"/>
    <w:rsid w:val="00A44A15"/>
    <w:pPr>
      <w:spacing w:before="48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Enclosures">
    <w:name w:val="Enclosures"/>
    <w:basedOn w:val="Normal"/>
    <w:next w:val="Participants"/>
    <w:rsid w:val="00A44A15"/>
    <w:pPr>
      <w:keepNext/>
      <w:keepLines/>
      <w:tabs>
        <w:tab w:val="left" w:pos="5642"/>
      </w:tabs>
      <w:spacing w:before="480" w:after="0" w:line="240" w:lineRule="auto"/>
      <w:ind w:left="1792" w:hanging="179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rticipants">
    <w:name w:val="Participants"/>
    <w:basedOn w:val="Normal"/>
    <w:next w:val="Copies"/>
    <w:rsid w:val="00A44A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pies">
    <w:name w:val="Copies"/>
    <w:basedOn w:val="Normal"/>
    <w:next w:val="Normal"/>
    <w:rsid w:val="00A44A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Date">
    <w:name w:val="Date"/>
    <w:basedOn w:val="Normal"/>
    <w:next w:val="References"/>
    <w:link w:val="DateChar"/>
    <w:uiPriority w:val="99"/>
    <w:rsid w:val="00A44A15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DateChar">
    <w:name w:val="Date Char"/>
    <w:basedOn w:val="DefaultParagraphFont"/>
    <w:link w:val="Date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customStyle="1" w:styleId="References">
    <w:name w:val="References"/>
    <w:basedOn w:val="Normal"/>
    <w:next w:val="AddressTR"/>
    <w:rsid w:val="00A44A15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oubSign">
    <w:name w:val="DoubSign"/>
    <w:basedOn w:val="Normal"/>
    <w:next w:val="Contact"/>
    <w:rsid w:val="00A44A15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velopeAddress">
    <w:name w:val="envelope address"/>
    <w:basedOn w:val="Normal"/>
    <w:uiPriority w:val="99"/>
    <w:rsid w:val="00A44A15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velopeReturn">
    <w:name w:val="envelope return"/>
    <w:basedOn w:val="Normal"/>
    <w:uiPriority w:val="99"/>
    <w:rsid w:val="00A44A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dex8">
    <w:name w:val="index 8"/>
    <w:basedOn w:val="Normal"/>
    <w:next w:val="Normal"/>
    <w:autoRedefine/>
    <w:uiPriority w:val="99"/>
    <w:rsid w:val="00A44A15"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Index1">
    <w:name w:val="index 1"/>
    <w:basedOn w:val="Normal"/>
    <w:next w:val="Normal"/>
    <w:autoRedefine/>
    <w:uiPriority w:val="99"/>
    <w:rsid w:val="00A44A15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IndexHeading">
    <w:name w:val="index heading"/>
    <w:basedOn w:val="Normal"/>
    <w:next w:val="Index1"/>
    <w:uiPriority w:val="99"/>
    <w:rsid w:val="00A44A15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List">
    <w:name w:val="List"/>
    <w:basedOn w:val="Normal"/>
    <w:uiPriority w:val="99"/>
    <w:rsid w:val="00A44A15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2">
    <w:name w:val="List 2"/>
    <w:basedOn w:val="Normal"/>
    <w:uiPriority w:val="99"/>
    <w:rsid w:val="00A44A15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3">
    <w:name w:val="List 3"/>
    <w:basedOn w:val="Normal"/>
    <w:uiPriority w:val="99"/>
    <w:rsid w:val="00A44A15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4">
    <w:name w:val="List 4"/>
    <w:basedOn w:val="Normal"/>
    <w:uiPriority w:val="99"/>
    <w:rsid w:val="00A44A15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5">
    <w:name w:val="List 5"/>
    <w:basedOn w:val="Normal"/>
    <w:uiPriority w:val="99"/>
    <w:rsid w:val="00A44A15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Continue">
    <w:name w:val="List Continue"/>
    <w:basedOn w:val="Normal"/>
    <w:uiPriority w:val="99"/>
    <w:rsid w:val="00A44A1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Continue2">
    <w:name w:val="List Continue 2"/>
    <w:basedOn w:val="Normal"/>
    <w:uiPriority w:val="99"/>
    <w:rsid w:val="00A44A15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Continue3">
    <w:name w:val="List Continue 3"/>
    <w:basedOn w:val="Normal"/>
    <w:uiPriority w:val="99"/>
    <w:rsid w:val="00A44A15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Continue4">
    <w:name w:val="List Continue 4"/>
    <w:basedOn w:val="Normal"/>
    <w:uiPriority w:val="99"/>
    <w:rsid w:val="00A44A15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Continue5">
    <w:name w:val="List Continue 5"/>
    <w:basedOn w:val="Normal"/>
    <w:uiPriority w:val="99"/>
    <w:rsid w:val="00A44A15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MacroText">
    <w:name w:val="macro"/>
    <w:link w:val="MacroTextChar"/>
    <w:uiPriority w:val="99"/>
    <w:rsid w:val="00A44A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A44A15"/>
    <w:rPr>
      <w:rFonts w:ascii="Courier New" w:eastAsia="Times New Roman" w:hAnsi="Courier New" w:cs="Times New Roman"/>
      <w:sz w:val="20"/>
      <w:szCs w:val="20"/>
      <w:lang w:val="pl-PL"/>
    </w:rPr>
  </w:style>
  <w:style w:type="paragraph" w:styleId="MessageHeader">
    <w:name w:val="Message Header"/>
    <w:basedOn w:val="Normal"/>
    <w:link w:val="MessageHeaderChar"/>
    <w:uiPriority w:val="99"/>
    <w:rsid w:val="00A44A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44A15"/>
    <w:rPr>
      <w:rFonts w:ascii="Arial" w:eastAsia="Times New Roman" w:hAnsi="Arial" w:cs="Times New Roman"/>
      <w:sz w:val="24"/>
      <w:szCs w:val="20"/>
      <w:shd w:val="pct20" w:color="auto" w:fill="auto"/>
      <w:lang w:val="pl-PL" w:eastAsia="zh-CN"/>
    </w:rPr>
  </w:style>
  <w:style w:type="paragraph" w:styleId="NormalIndent">
    <w:name w:val="Normal Indent"/>
    <w:basedOn w:val="Normal"/>
    <w:uiPriority w:val="99"/>
    <w:rsid w:val="00A44A15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teHeading">
    <w:name w:val="Note Heading"/>
    <w:basedOn w:val="Normal"/>
    <w:next w:val="Normal"/>
    <w:link w:val="NoteHeadingChar"/>
    <w:uiPriority w:val="99"/>
    <w:rsid w:val="00A44A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customStyle="1" w:styleId="NoteHead">
    <w:name w:val="NoteHead"/>
    <w:basedOn w:val="Normal"/>
    <w:next w:val="Subject"/>
    <w:rsid w:val="00A44A15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  <w:style w:type="paragraph" w:customStyle="1" w:styleId="Subject">
    <w:name w:val="Subject"/>
    <w:basedOn w:val="Normal"/>
    <w:next w:val="Normal"/>
    <w:rsid w:val="00A44A15"/>
    <w:pPr>
      <w:spacing w:after="480" w:line="240" w:lineRule="auto"/>
      <w:ind w:left="1191" w:hanging="119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NoteList">
    <w:name w:val="NoteList"/>
    <w:basedOn w:val="Normal"/>
    <w:next w:val="Subject"/>
    <w:rsid w:val="00A44A15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rsid w:val="00A44A15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44A15"/>
    <w:rPr>
      <w:rFonts w:ascii="Courier New" w:eastAsia="Times New Roman" w:hAnsi="Courier New" w:cs="Times New Roman"/>
      <w:sz w:val="20"/>
      <w:szCs w:val="20"/>
      <w:lang w:val="pl-PL" w:eastAsia="zh-CN"/>
    </w:rPr>
  </w:style>
  <w:style w:type="paragraph" w:styleId="Salutation">
    <w:name w:val="Salutation"/>
    <w:basedOn w:val="Normal"/>
    <w:next w:val="Normal"/>
    <w:link w:val="SalutationChar"/>
    <w:uiPriority w:val="99"/>
    <w:rsid w:val="00A44A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rsid w:val="00A44A15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7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7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407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407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YReferences">
    <w:name w:val="YReferences"/>
    <w:basedOn w:val="Normal"/>
    <w:next w:val="Normal"/>
    <w:rsid w:val="00A44A15"/>
    <w:pPr>
      <w:spacing w:after="480" w:line="240" w:lineRule="auto"/>
      <w:ind w:left="1191" w:hanging="119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isclaimerNotice">
    <w:name w:val="Disclaimer Notice"/>
    <w:basedOn w:val="Normal"/>
    <w:next w:val="AddressTR"/>
    <w:rsid w:val="00A44A15"/>
    <w:pPr>
      <w:spacing w:after="240" w:line="240" w:lineRule="auto"/>
      <w:ind w:left="5103"/>
    </w:pPr>
    <w:rPr>
      <w:rFonts w:ascii="Times New Roman" w:eastAsia="Times New Roman" w:hAnsi="Times New Roman" w:cs="Times New Roman"/>
      <w:b/>
      <w:smallCaps/>
      <w:sz w:val="20"/>
      <w:szCs w:val="20"/>
      <w:u w:val="single"/>
      <w:lang w:eastAsia="zh-CN"/>
    </w:rPr>
  </w:style>
  <w:style w:type="paragraph" w:customStyle="1" w:styleId="Disclaimer">
    <w:name w:val="Disclaimer"/>
    <w:basedOn w:val="Normal"/>
    <w:rsid w:val="00A44A15"/>
    <w:pPr>
      <w:keepLines/>
      <w:pBdr>
        <w:top w:val="single" w:sz="4" w:space="1" w:color="auto"/>
      </w:pBdr>
      <w:spacing w:before="48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FollowedHyperlink">
    <w:name w:val="FollowedHyperlink"/>
    <w:basedOn w:val="DefaultParagraphFont"/>
    <w:uiPriority w:val="99"/>
    <w:rsid w:val="00A44A15"/>
    <w:rPr>
      <w:color w:val="800080"/>
      <w:u w:val="single"/>
      <w:shd w:val="clear" w:color="auto" w:fill="auto"/>
    </w:rPr>
  </w:style>
  <w:style w:type="paragraph" w:customStyle="1" w:styleId="DisclaimerSJ">
    <w:name w:val="Disclaimer_SJ"/>
    <w:basedOn w:val="Normal"/>
    <w:next w:val="Normal"/>
    <w:rsid w:val="00A44A15"/>
    <w:pPr>
      <w:spacing w:after="0" w:line="240" w:lineRule="auto"/>
      <w:jc w:val="both"/>
    </w:pPr>
    <w:rPr>
      <w:rFonts w:ascii="Arial" w:eastAsia="Times New Roman" w:hAnsi="Arial" w:cs="Times New Roman"/>
      <w:b/>
      <w:sz w:val="16"/>
      <w:szCs w:val="20"/>
      <w:lang w:eastAsia="zh-CN"/>
    </w:rPr>
  </w:style>
  <w:style w:type="paragraph" w:customStyle="1" w:styleId="ZCom">
    <w:name w:val="Z_Com"/>
    <w:basedOn w:val="Normal"/>
    <w:next w:val="ZDGName"/>
    <w:rsid w:val="00A44A15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ZDGName">
    <w:name w:val="Z_DGName"/>
    <w:basedOn w:val="Normal"/>
    <w:rsid w:val="00A44A15"/>
    <w:pPr>
      <w:widowControl w:val="0"/>
      <w:spacing w:after="0" w:line="240" w:lineRule="auto"/>
      <w:ind w:right="85"/>
    </w:pPr>
    <w:rPr>
      <w:rFonts w:ascii="Arial" w:eastAsia="Times New Roman" w:hAnsi="Arial" w:cs="Times New Roman"/>
      <w:sz w:val="16"/>
      <w:szCs w:val="20"/>
    </w:rPr>
  </w:style>
  <w:style w:type="paragraph" w:customStyle="1" w:styleId="Style91">
    <w:name w:val="Style91"/>
    <w:rsid w:val="00A44A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texte">
    <w:name w:val="texte"/>
    <w:basedOn w:val="Normal"/>
    <w:rsid w:val="00A44A1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333399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A44A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44A15"/>
    <w:rPr>
      <w:sz w:val="16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rsid w:val="00A44A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A15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4A15"/>
    <w:rPr>
      <w:rFonts w:ascii="Times New Roman" w:eastAsia="Times New Roman" w:hAnsi="Times New Roman" w:cs="Times New Roman"/>
      <w:b/>
      <w:bCs/>
      <w:sz w:val="20"/>
      <w:szCs w:val="20"/>
      <w:lang w:val="pl-PL" w:eastAsia="zh-CN"/>
    </w:rPr>
  </w:style>
  <w:style w:type="paragraph" w:customStyle="1" w:styleId="Style1">
    <w:name w:val="Style1"/>
    <w:basedOn w:val="Heading1"/>
    <w:rsid w:val="00A44A15"/>
    <w:pPr>
      <w:tabs>
        <w:tab w:val="left" w:pos="709"/>
      </w:tabs>
      <w:spacing w:before="240" w:after="0"/>
      <w:ind w:left="851" w:hanging="851"/>
    </w:pPr>
    <w:rPr>
      <w:bCs/>
      <w:szCs w:val="20"/>
      <w:lang w:eastAsia="zh-CN"/>
    </w:rPr>
  </w:style>
  <w:style w:type="paragraph" w:customStyle="1" w:styleId="Normal10pt">
    <w:name w:val="Normal + 10 pt"/>
    <w:aliases w:val="Condensed by  0,15 pt"/>
    <w:basedOn w:val="Normal"/>
    <w:rsid w:val="00A44A15"/>
    <w:pPr>
      <w:keepNext/>
      <w:suppressAutoHyphens/>
      <w:spacing w:after="0" w:line="240" w:lineRule="auto"/>
      <w:ind w:left="255"/>
    </w:pPr>
    <w:rPr>
      <w:rFonts w:ascii="Times New Roman" w:eastAsia="Times New Roman" w:hAnsi="Times New Roman" w:cs="Times New Roman"/>
      <w:spacing w:val="-3"/>
      <w:sz w:val="18"/>
      <w:szCs w:val="18"/>
      <w:lang w:eastAsia="zh-CN"/>
    </w:rPr>
  </w:style>
  <w:style w:type="paragraph" w:customStyle="1" w:styleId="5Normal">
    <w:name w:val="5 Normal"/>
    <w:rsid w:val="00A44A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03407F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03407F"/>
    <w:pPr>
      <w:spacing w:line="240" w:lineRule="auto"/>
    </w:pPr>
    <w:rPr>
      <w:b/>
      <w:bCs/>
      <w:smallCaps/>
      <w:color w:val="44546A" w:themeColor="text2"/>
    </w:rPr>
  </w:style>
  <w:style w:type="paragraph" w:styleId="EndnoteText">
    <w:name w:val="endnote text"/>
    <w:basedOn w:val="Normal"/>
    <w:link w:val="EndnoteTextChar"/>
    <w:uiPriority w:val="99"/>
    <w:rsid w:val="00A44A1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44A1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Index2">
    <w:name w:val="index 2"/>
    <w:basedOn w:val="Normal"/>
    <w:next w:val="Normal"/>
    <w:autoRedefine/>
    <w:uiPriority w:val="99"/>
    <w:rsid w:val="00A44A15"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uiPriority w:val="99"/>
    <w:rsid w:val="00A44A15"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uiPriority w:val="99"/>
    <w:rsid w:val="00A44A15"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uiPriority w:val="99"/>
    <w:rsid w:val="00A44A15"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uiPriority w:val="99"/>
    <w:rsid w:val="00A44A15"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uiPriority w:val="99"/>
    <w:rsid w:val="00A44A15"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uiPriority w:val="99"/>
    <w:rsid w:val="00A44A15"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uiPriority w:val="99"/>
    <w:rsid w:val="00A44A15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uiPriority w:val="99"/>
    <w:rsid w:val="00A44A15"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AHeading">
    <w:name w:val="toa heading"/>
    <w:basedOn w:val="Normal"/>
    <w:next w:val="Normal"/>
    <w:uiPriority w:val="99"/>
    <w:rsid w:val="00A44A15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ing">
    <w:name w:val="Heading"/>
    <w:basedOn w:val="Heading1"/>
    <w:rsid w:val="00A44A15"/>
    <w:pPr>
      <w:tabs>
        <w:tab w:val="num" w:pos="480"/>
        <w:tab w:val="left" w:pos="709"/>
      </w:tabs>
      <w:spacing w:before="240"/>
      <w:ind w:left="480" w:hanging="480"/>
    </w:pPr>
    <w:rPr>
      <w:bCs/>
      <w:sz w:val="22"/>
      <w:szCs w:val="22"/>
    </w:rPr>
  </w:style>
  <w:style w:type="paragraph" w:customStyle="1" w:styleId="Normal1">
    <w:name w:val="Normal1"/>
    <w:basedOn w:val="Normal"/>
    <w:rsid w:val="00A4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44A15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EntInstit">
    <w:name w:val="EntInstit"/>
    <w:basedOn w:val="NormalConseil"/>
    <w:rsid w:val="00A44A15"/>
    <w:pPr>
      <w:jc w:val="right"/>
    </w:pPr>
    <w:rPr>
      <w:b/>
    </w:rPr>
  </w:style>
  <w:style w:type="paragraph" w:customStyle="1" w:styleId="NormalConseil">
    <w:name w:val="NormalConseil"/>
    <w:basedOn w:val="Normal"/>
    <w:rsid w:val="00A44A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Refer">
    <w:name w:val="EntRefer"/>
    <w:basedOn w:val="NormalConseil"/>
    <w:rsid w:val="00A44A15"/>
    <w:rPr>
      <w:b/>
    </w:rPr>
  </w:style>
  <w:style w:type="paragraph" w:customStyle="1" w:styleId="EntEmet">
    <w:name w:val="EntEmet"/>
    <w:basedOn w:val="NormalConseil"/>
    <w:rsid w:val="00A44A15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</w:style>
  <w:style w:type="paragraph" w:customStyle="1" w:styleId="EntLogo">
    <w:name w:val="EntLogo"/>
    <w:basedOn w:val="NormalConseil"/>
    <w:next w:val="EntInstit"/>
    <w:rsid w:val="00A44A15"/>
    <w:pPr>
      <w:spacing w:line="360" w:lineRule="auto"/>
    </w:pPr>
    <w:rPr>
      <w:b/>
    </w:rPr>
  </w:style>
  <w:style w:type="paragraph" w:customStyle="1" w:styleId="FooterConseil">
    <w:name w:val="FooterConseil"/>
    <w:basedOn w:val="NormalConseil"/>
    <w:rsid w:val="00A44A15"/>
    <w:pPr>
      <w:tabs>
        <w:tab w:val="center" w:pos="4820"/>
        <w:tab w:val="center" w:pos="7371"/>
        <w:tab w:val="right" w:pos="9639"/>
      </w:tabs>
    </w:pPr>
  </w:style>
  <w:style w:type="character" w:styleId="Strong">
    <w:name w:val="Strong"/>
    <w:basedOn w:val="DefaultParagraphFont"/>
    <w:uiPriority w:val="22"/>
    <w:qFormat/>
    <w:rsid w:val="0003407F"/>
    <w:rPr>
      <w:b/>
      <w:bCs/>
    </w:rPr>
  </w:style>
  <w:style w:type="paragraph" w:customStyle="1" w:styleId="Annexetitrefichefinacte">
    <w:name w:val="Annexe titre (fiche fin. acte)"/>
    <w:basedOn w:val="Normal"/>
    <w:next w:val="Normal"/>
    <w:rsid w:val="00A44A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character" w:customStyle="1" w:styleId="Text1Char">
    <w:name w:val="Text 1 Char"/>
    <w:link w:val="Text1"/>
    <w:locked/>
    <w:rsid w:val="00A44A15"/>
    <w:rPr>
      <w:rFonts w:ascii="Times New Roman" w:eastAsia="MS PGothic" w:hAnsi="Times New Roman" w:cs="Times New Roman"/>
      <w:noProof/>
      <w:sz w:val="24"/>
      <w:szCs w:val="24"/>
      <w:lang w:val="pl-PL"/>
    </w:rPr>
  </w:style>
  <w:style w:type="paragraph" w:customStyle="1" w:styleId="Declassification">
    <w:name w:val="Declassification"/>
    <w:basedOn w:val="Normal"/>
    <w:next w:val="Normal"/>
    <w:rsid w:val="00A44A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A4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4A15"/>
    <w:pPr>
      <w:ind w:left="720"/>
      <w:contextualSpacing/>
    </w:pPr>
  </w:style>
  <w:style w:type="paragraph" w:customStyle="1" w:styleId="SecurityMarking">
    <w:name w:val="SecurityMarking"/>
    <w:basedOn w:val="Normal"/>
    <w:rsid w:val="00A44A15"/>
    <w:pPr>
      <w:spacing w:after="0"/>
      <w:ind w:left="5103"/>
    </w:pPr>
    <w:rPr>
      <w:rFonts w:ascii="Times New Roman" w:eastAsia="Times New Roman" w:hAnsi="Times New Roman" w:cs="Times New Roman"/>
      <w:sz w:val="28"/>
    </w:rPr>
  </w:style>
  <w:style w:type="paragraph" w:customStyle="1" w:styleId="DateMarking">
    <w:name w:val="DateMarking"/>
    <w:basedOn w:val="Normal"/>
    <w:rsid w:val="00A44A15"/>
    <w:pPr>
      <w:spacing w:after="0"/>
      <w:ind w:left="5103"/>
    </w:pPr>
    <w:rPr>
      <w:rFonts w:ascii="Times New Roman" w:eastAsia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rsid w:val="00A44A15"/>
    <w:pPr>
      <w:spacing w:after="0"/>
      <w:ind w:left="5103"/>
    </w:pPr>
    <w:rPr>
      <w:rFonts w:ascii="Times New Roman" w:eastAsia="Times New Roman" w:hAnsi="Times New Roman" w:cs="Times New Roman"/>
      <w:i/>
      <w:sz w:val="28"/>
    </w:rPr>
  </w:style>
  <w:style w:type="numbering" w:styleId="111111">
    <w:name w:val="Outline List 2"/>
    <w:basedOn w:val="NoList"/>
    <w:uiPriority w:val="99"/>
    <w:semiHidden/>
    <w:unhideWhenUsed/>
    <w:rsid w:val="00A44A15"/>
    <w:pPr>
      <w:numPr>
        <w:numId w:val="17"/>
      </w:numPr>
    </w:pPr>
  </w:style>
  <w:style w:type="paragraph" w:customStyle="1" w:styleId="title-fam-member-star">
    <w:name w:val="title-fam-member-star"/>
    <w:basedOn w:val="Normal"/>
    <w:rsid w:val="00A4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1">
    <w:name w:val="toc-1"/>
    <w:basedOn w:val="Normal"/>
    <w:rsid w:val="00A4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2">
    <w:name w:val="toc-2"/>
    <w:basedOn w:val="Normal"/>
    <w:rsid w:val="00A4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A44A1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4366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B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40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407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407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7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7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40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40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40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3407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3407F"/>
    <w:rPr>
      <w:b/>
      <w:bCs/>
      <w:smallCaps/>
      <w:spacing w:val="1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052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17485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04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ED654B"/>
  </w:style>
  <w:style w:type="character" w:customStyle="1" w:styleId="eop">
    <w:name w:val="eop"/>
    <w:basedOn w:val="DefaultParagraphFont"/>
    <w:rsid w:val="00ED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hart" Target="charts/chart2.xml"/><Relationship Id="rId33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chart" Target="charts/chart1.xml"/><Relationship Id="rId32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chart" Target="charts/chart4.xml"/><Relationship Id="rId30" Type="http://schemas.openxmlformats.org/officeDocument/2006/relationships/footer" Target="footer7.xm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ission.europa.eu/publications/annual-activity-report-2023-agriculture-and-rural-development_en" TargetMode="External"/><Relationship Id="rId1" Type="http://schemas.openxmlformats.org/officeDocument/2006/relationships/hyperlink" Target="http://data.europa.eu/eli/reg/2024/765/oj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goljo\AppData\Local\CATE\DGT\Translation%20Projects\AGRI-2024-02145-00-00-00-EN-PL-00\pl-PL\AGRI-2024-02145-00-00-00-PL-SRC-0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goljo\AppData\Local\CATE\DGT\Translation%20Projects\AGRI-2024-02145-00-00-00-EN-PL-00\pl-PL\AGRI-2024-02145-00-00-00-PL-SRC-0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goljo\AppData\Local\CATE\DGT\Translation%20Projects\AGRI-2024-02145-00-00-00-EN-PL-00\pl-PL\AGRI-2024-02145-00-00-00-PL-SRC-0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goljo\AppData\Local\CATE\DGT\Translation%20Projects\AGRI-2024-02145-00-00-00-EN-PL-00\pl-PL\AGRI-2024-02145-00-00-00-PL-SRC-0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700">
                <a:latin typeface="+mj-lt"/>
              </a:rPr>
              <a:t>Wykres 1a – wskaźnik absorpcji </a:t>
            </a:r>
            <a:r>
              <a:rPr lang="pl-PL" sz="700" u="sng">
                <a:latin typeface="+mj-lt"/>
              </a:rPr>
              <a:t>EFRROW 2014–2022</a:t>
            </a:r>
            <a:r>
              <a:rPr lang="pl-PL" sz="700">
                <a:latin typeface="+mj-lt"/>
              </a:rPr>
              <a:t> poszczególnych państw członkowskich</a:t>
            </a:r>
          </a:p>
          <a:p>
            <a:pPr>
              <a:defRPr/>
            </a:pPr>
            <a:r>
              <a:rPr lang="pl-PL" sz="700">
                <a:latin typeface="+mj-lt"/>
              </a:rPr>
              <a:t>           (% płatności EFRROW, w tym wnioski o</a:t>
            </a:r>
            <a:r>
              <a:rPr lang="pl-PL" sz="700" baseline="0">
                <a:latin typeface="+mj-lt"/>
              </a:rPr>
              <a:t> </a:t>
            </a:r>
            <a:r>
              <a:rPr lang="pl-PL" sz="700">
                <a:latin typeface="+mj-lt"/>
              </a:rPr>
              <a:t>płatności Q4 2023 w porównaniu z przydzielonymi środkami 2014-20</a:t>
            </a:r>
            <a:r>
              <a:rPr lang="pl-PL" sz="700">
                <a:solidFill>
                  <a:sysClr val="windowText" lastClr="000000"/>
                </a:solidFill>
                <a:latin typeface="+mj-lt"/>
              </a:rPr>
              <a:t>22</a:t>
            </a:r>
            <a:r>
              <a:rPr lang="pl-PL" sz="700">
                <a:latin typeface="+mj-lt"/>
              </a:rPr>
              <a:t>)</a:t>
            </a:r>
          </a:p>
        </c:rich>
      </c:tx>
      <c:layout>
        <c:manualLayout>
          <c:xMode val="edge"/>
          <c:yMode val="edge"/>
          <c:x val="0.11984135997899985"/>
          <c:y val="1.18782276109291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20713315771543E-2"/>
          <c:y val="0.13394764104486528"/>
          <c:w val="0.90557657107992684"/>
          <c:h val="0.767305723402856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1a'!$D$8</c:f>
              <c:strCache>
                <c:ptCount val="1"/>
                <c:pt idx="0">
                  <c:v>Wskaźnik absorpcji = płatności / ogółem w planie finansowym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Pt>
            <c:idx val="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0-F593-4B2D-B7CA-CB0F2CA48590}"/>
              </c:ext>
            </c:extLst>
          </c:dPt>
          <c:dPt>
            <c:idx val="8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F593-4B2D-B7CA-CB0F2CA48590}"/>
              </c:ext>
            </c:extLst>
          </c:dPt>
          <c:dPt>
            <c:idx val="11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2-F593-4B2D-B7CA-CB0F2CA48590}"/>
              </c:ext>
            </c:extLst>
          </c:dPt>
          <c:dPt>
            <c:idx val="12"/>
            <c:invertIfNegative val="0"/>
            <c:bubble3D val="0"/>
            <c:spPr>
              <a:pattFill prst="wdDnDiag">
                <a:fgClr>
                  <a:schemeClr val="tx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</c:spPr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4-F593-4B2D-B7CA-CB0F2CA48590}"/>
              </c:ext>
            </c:extLst>
          </c:dPt>
          <c:dPt>
            <c:idx val="13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F593-4B2D-B7CA-CB0F2CA48590}"/>
              </c:ext>
            </c:extLst>
          </c:dPt>
          <c:dPt>
            <c:idx val="1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6-F593-4B2D-B7CA-CB0F2CA48590}"/>
              </c:ext>
            </c:extLst>
          </c:dPt>
          <c:dPt>
            <c:idx val="15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F593-4B2D-B7CA-CB0F2CA48590}"/>
              </c:ext>
            </c:extLst>
          </c:dPt>
          <c:cat>
            <c:strRef>
              <c:f>'Graph 1a'!$A$9:$A$36</c:f>
              <c:strCache>
                <c:ptCount val="28"/>
                <c:pt idx="0">
                  <c:v>SK</c:v>
                </c:pt>
                <c:pt idx="1">
                  <c:v>MT</c:v>
                </c:pt>
                <c:pt idx="2">
                  <c:v>DK</c:v>
                </c:pt>
                <c:pt idx="3">
                  <c:v>BG</c:v>
                </c:pt>
                <c:pt idx="4">
                  <c:v>IT</c:v>
                </c:pt>
                <c:pt idx="5">
                  <c:v>CY</c:v>
                </c:pt>
                <c:pt idx="6">
                  <c:v>ES</c:v>
                </c:pt>
                <c:pt idx="7">
                  <c:v>PL</c:v>
                </c:pt>
                <c:pt idx="8">
                  <c:v>NL</c:v>
                </c:pt>
                <c:pt idx="9">
                  <c:v>EL</c:v>
                </c:pt>
                <c:pt idx="10">
                  <c:v>LT</c:v>
                </c:pt>
                <c:pt idx="11">
                  <c:v>BE</c:v>
                </c:pt>
                <c:pt idx="12">
                  <c:v>UE-27</c:v>
                </c:pt>
                <c:pt idx="13">
                  <c:v>DE</c:v>
                </c:pt>
                <c:pt idx="14">
                  <c:v>RO</c:v>
                </c:pt>
                <c:pt idx="15">
                  <c:v>HR</c:v>
                </c:pt>
                <c:pt idx="16">
                  <c:v>FR</c:v>
                </c:pt>
                <c:pt idx="17">
                  <c:v>EE</c:v>
                </c:pt>
                <c:pt idx="18">
                  <c:v>PT</c:v>
                </c:pt>
                <c:pt idx="19">
                  <c:v>SI</c:v>
                </c:pt>
                <c:pt idx="20">
                  <c:v>SE</c:v>
                </c:pt>
                <c:pt idx="21">
                  <c:v>AT</c:v>
                </c:pt>
                <c:pt idx="22">
                  <c:v>LV</c:v>
                </c:pt>
                <c:pt idx="23">
                  <c:v>HU</c:v>
                </c:pt>
                <c:pt idx="24">
                  <c:v>LU</c:v>
                </c:pt>
                <c:pt idx="25">
                  <c:v>FI</c:v>
                </c:pt>
                <c:pt idx="26">
                  <c:v>CZ</c:v>
                </c:pt>
                <c:pt idx="27">
                  <c:v>IE</c:v>
                </c:pt>
              </c:strCache>
            </c:strRef>
          </c:cat>
          <c:val>
            <c:numRef>
              <c:f>'Graph 1a'!$D$9:$D$36</c:f>
              <c:numCache>
                <c:formatCode>0%</c:formatCode>
                <c:ptCount val="28"/>
                <c:pt idx="0">
                  <c:v>0.66425840855300711</c:v>
                </c:pt>
                <c:pt idx="1">
                  <c:v>0.70386588563465446</c:v>
                </c:pt>
                <c:pt idx="2">
                  <c:v>0.7159672771265958</c:v>
                </c:pt>
                <c:pt idx="3">
                  <c:v>0.74665134886106554</c:v>
                </c:pt>
                <c:pt idx="4">
                  <c:v>0.79245523411881202</c:v>
                </c:pt>
                <c:pt idx="5">
                  <c:v>0.80383316665005899</c:v>
                </c:pt>
                <c:pt idx="6">
                  <c:v>0.81237610873417865</c:v>
                </c:pt>
                <c:pt idx="7">
                  <c:v>0.81552726427025879</c:v>
                </c:pt>
                <c:pt idx="8">
                  <c:v>0.81873988992415536</c:v>
                </c:pt>
                <c:pt idx="9">
                  <c:v>0.8355588245029778</c:v>
                </c:pt>
                <c:pt idx="10">
                  <c:v>0.8469695094598384</c:v>
                </c:pt>
                <c:pt idx="11">
                  <c:v>0.85126342660947962</c:v>
                </c:pt>
                <c:pt idx="12">
                  <c:v>0.85657996601821951</c:v>
                </c:pt>
                <c:pt idx="13">
                  <c:v>0.85680708371251324</c:v>
                </c:pt>
                <c:pt idx="14">
                  <c:v>0.87611053166306774</c:v>
                </c:pt>
                <c:pt idx="15">
                  <c:v>0.87814875344506615</c:v>
                </c:pt>
                <c:pt idx="16">
                  <c:v>0.88240333433201779</c:v>
                </c:pt>
                <c:pt idx="17">
                  <c:v>0.88841794390760742</c:v>
                </c:pt>
                <c:pt idx="18">
                  <c:v>0.90490839486000696</c:v>
                </c:pt>
                <c:pt idx="19">
                  <c:v>0.90611392284779346</c:v>
                </c:pt>
                <c:pt idx="20">
                  <c:v>0.91607069525106544</c:v>
                </c:pt>
                <c:pt idx="21">
                  <c:v>0.92010341079117697</c:v>
                </c:pt>
                <c:pt idx="22">
                  <c:v>0.92057315433959586</c:v>
                </c:pt>
                <c:pt idx="23">
                  <c:v>0.9274648574798493</c:v>
                </c:pt>
                <c:pt idx="24">
                  <c:v>0.94777303655041223</c:v>
                </c:pt>
                <c:pt idx="25">
                  <c:v>0.96619172402355336</c:v>
                </c:pt>
                <c:pt idx="26">
                  <c:v>0.96928569750160576</c:v>
                </c:pt>
                <c:pt idx="27">
                  <c:v>0.9835502897318269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F593-4B2D-B7CA-CB0F2CA485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92827648"/>
        <c:axId val="92829184"/>
      </c:barChart>
      <c:catAx>
        <c:axId val="928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800" baseline="30000"/>
            </a:pPr>
            <a:endParaRPr lang="en-US"/>
          </a:p>
        </c:txPr>
        <c:crossAx val="92829184"/>
        <c:crosses val="autoZero"/>
        <c:auto val="1"/>
        <c:lblAlgn val="ctr"/>
        <c:lblOffset val="100"/>
        <c:noMultiLvlLbl val="0"/>
      </c:catAx>
      <c:valAx>
        <c:axId val="92829184"/>
        <c:scaling>
          <c:orientation val="minMax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92827648"/>
        <c:crosses val="autoZero"/>
        <c:crossBetween val="between"/>
        <c:majorUnit val="0.1"/>
        <c:minorUnit val="0.1"/>
      </c:valAx>
      <c:spPr>
        <a:solidFill>
          <a:schemeClr val="bg1">
            <a:lumMod val="95000"/>
          </a:schemeClr>
        </a:solidFill>
        <a:ln>
          <a:solidFill>
            <a:schemeClr val="tx1"/>
          </a:solidFill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>
                <a:latin typeface="+mj-lt"/>
              </a:defRPr>
            </a:pPr>
            <a:r>
              <a:rPr lang="pl-PL" sz="700">
                <a:latin typeface="+mj-lt"/>
              </a:rPr>
              <a:t>Wykres 1b – wskaźnik absorpcji </a:t>
            </a:r>
            <a:r>
              <a:rPr lang="pl-PL" sz="700" u="sng">
                <a:latin typeface="+mj-lt"/>
              </a:rPr>
              <a:t>EURI </a:t>
            </a:r>
            <a:r>
              <a:rPr lang="pl-PL" sz="700" u="sng">
                <a:solidFill>
                  <a:sysClr val="windowText" lastClr="000000"/>
                </a:solidFill>
                <a:latin typeface="+mj-lt"/>
              </a:rPr>
              <a:t>2021–2022 </a:t>
            </a:r>
            <a:r>
              <a:rPr lang="pl-PL" sz="700" b="1" i="0" u="none" strike="noStrike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rPr>
              <a:t>poszczególnych </a:t>
            </a:r>
            <a:r>
              <a:rPr lang="pl-PL" sz="700">
                <a:latin typeface="+mj-lt"/>
              </a:rPr>
              <a:t> państw członkowskich </a:t>
            </a:r>
          </a:p>
          <a:p>
            <a:pPr>
              <a:defRPr sz="700">
                <a:latin typeface="+mj-lt"/>
              </a:defRPr>
            </a:pPr>
            <a:r>
              <a:rPr lang="pl-PL" sz="700">
                <a:latin typeface="+mj-lt"/>
              </a:rPr>
              <a:t>(% płatności EURI, w tym wnioski o</a:t>
            </a:r>
            <a:r>
              <a:rPr lang="pl-PL" sz="700" baseline="0">
                <a:latin typeface="+mj-lt"/>
              </a:rPr>
              <a:t> </a:t>
            </a:r>
            <a:r>
              <a:rPr lang="pl-PL" sz="700">
                <a:latin typeface="+mj-lt"/>
              </a:rPr>
              <a:t>płatności Q4 2023 w porównaniu z przydzielonymi środkami 2021–20</a:t>
            </a:r>
            <a:r>
              <a:rPr lang="pl-PL" sz="700">
                <a:solidFill>
                  <a:sysClr val="windowText" lastClr="000000"/>
                </a:solidFill>
                <a:latin typeface="+mj-lt"/>
              </a:rPr>
              <a:t>22</a:t>
            </a:r>
            <a:r>
              <a:rPr lang="pl-PL" sz="700">
                <a:latin typeface="+mj-lt"/>
              </a:rPr>
              <a:t>)</a:t>
            </a:r>
          </a:p>
        </c:rich>
      </c:tx>
      <c:layout>
        <c:manualLayout>
          <c:xMode val="edge"/>
          <c:yMode val="edge"/>
          <c:x val="0.12041554180727411"/>
          <c:y val="1.63149289596718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7280667123622767E-2"/>
          <c:y val="0.13596680273623041"/>
          <c:w val="0.90557657107992684"/>
          <c:h val="0.767305723402856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1b'!$D$7</c:f>
              <c:strCache>
                <c:ptCount val="1"/>
                <c:pt idx="0">
                  <c:v>Wskaźnik absorpcji = płatności / ogółem w planie finansowym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Pt>
            <c:idx val="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0-F24B-4733-8DA8-17311F1A304F}"/>
              </c:ext>
            </c:extLst>
          </c:dPt>
          <c:dPt>
            <c:idx val="8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F24B-4733-8DA8-17311F1A304F}"/>
              </c:ext>
            </c:extLst>
          </c:dPt>
          <c:dPt>
            <c:idx val="11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2-F24B-4733-8DA8-17311F1A304F}"/>
              </c:ext>
            </c:extLst>
          </c:dPt>
          <c:dPt>
            <c:idx val="13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F24B-4733-8DA8-17311F1A304F}"/>
              </c:ext>
            </c:extLst>
          </c:dPt>
          <c:dPt>
            <c:idx val="14"/>
            <c:invertIfNegative val="0"/>
            <c:bubble3D val="0"/>
            <c:spPr>
              <a:pattFill prst="wdDnDiag">
                <a:fgClr>
                  <a:schemeClr val="tx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</c:spPr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F24B-4733-8DA8-17311F1A304F}"/>
              </c:ext>
            </c:extLst>
          </c:dPt>
          <c:dPt>
            <c:idx val="15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6-F24B-4733-8DA8-17311F1A304F}"/>
              </c:ext>
            </c:extLst>
          </c:dPt>
          <c:dPt>
            <c:idx val="19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F24B-4733-8DA8-17311F1A304F}"/>
              </c:ext>
            </c:extLst>
          </c:dPt>
          <c:cat>
            <c:strRef>
              <c:f>'Graph 1b'!$A$8:$A$35</c:f>
              <c:strCache>
                <c:ptCount val="28"/>
                <c:pt idx="0">
                  <c:v>DK</c:v>
                </c:pt>
                <c:pt idx="1">
                  <c:v>SI</c:v>
                </c:pt>
                <c:pt idx="2">
                  <c:v>BG</c:v>
                </c:pt>
                <c:pt idx="3">
                  <c:v>NL</c:v>
                </c:pt>
                <c:pt idx="4">
                  <c:v>SK</c:v>
                </c:pt>
                <c:pt idx="5">
                  <c:v>EL</c:v>
                </c:pt>
                <c:pt idx="6">
                  <c:v>CY</c:v>
                </c:pt>
                <c:pt idx="7">
                  <c:v>PL</c:v>
                </c:pt>
                <c:pt idx="8">
                  <c:v>ES</c:v>
                </c:pt>
                <c:pt idx="9">
                  <c:v>FR</c:v>
                </c:pt>
                <c:pt idx="10">
                  <c:v>HR</c:v>
                </c:pt>
                <c:pt idx="11">
                  <c:v>IT</c:v>
                </c:pt>
                <c:pt idx="12">
                  <c:v>LT</c:v>
                </c:pt>
                <c:pt idx="13">
                  <c:v>IE</c:v>
                </c:pt>
                <c:pt idx="14">
                  <c:v>UE-27</c:v>
                </c:pt>
                <c:pt idx="15">
                  <c:v>DE</c:v>
                </c:pt>
                <c:pt idx="16">
                  <c:v>MT</c:v>
                </c:pt>
                <c:pt idx="17">
                  <c:v>BE</c:v>
                </c:pt>
                <c:pt idx="18">
                  <c:v>HU</c:v>
                </c:pt>
                <c:pt idx="19">
                  <c:v>PT</c:v>
                </c:pt>
                <c:pt idx="20">
                  <c:v>EE</c:v>
                </c:pt>
                <c:pt idx="21">
                  <c:v>CZ</c:v>
                </c:pt>
                <c:pt idx="22">
                  <c:v>LV</c:v>
                </c:pt>
                <c:pt idx="23">
                  <c:v>RO</c:v>
                </c:pt>
                <c:pt idx="24">
                  <c:v>FI</c:v>
                </c:pt>
                <c:pt idx="25">
                  <c:v>SE</c:v>
                </c:pt>
                <c:pt idx="26">
                  <c:v>AT</c:v>
                </c:pt>
                <c:pt idx="27">
                  <c:v>LU</c:v>
                </c:pt>
              </c:strCache>
            </c:strRef>
          </c:cat>
          <c:val>
            <c:numRef>
              <c:f>'Graph 1b'!$D$8:$D$35</c:f>
              <c:numCache>
                <c:formatCode>0%</c:formatCode>
                <c:ptCount val="28"/>
                <c:pt idx="0">
                  <c:v>0.10075117191112683</c:v>
                </c:pt>
                <c:pt idx="1">
                  <c:v>0.12923624948711807</c:v>
                </c:pt>
                <c:pt idx="2">
                  <c:v>0.1810039942633356</c:v>
                </c:pt>
                <c:pt idx="3">
                  <c:v>0.21027620085593648</c:v>
                </c:pt>
                <c:pt idx="4">
                  <c:v>0.2952065260235423</c:v>
                </c:pt>
                <c:pt idx="5">
                  <c:v>0.29601033631269819</c:v>
                </c:pt>
                <c:pt idx="6">
                  <c:v>0.31798746478304207</c:v>
                </c:pt>
                <c:pt idx="7">
                  <c:v>0.35711197799672867</c:v>
                </c:pt>
                <c:pt idx="8">
                  <c:v>0.36633533443636568</c:v>
                </c:pt>
                <c:pt idx="9">
                  <c:v>0.39537789191704453</c:v>
                </c:pt>
                <c:pt idx="10">
                  <c:v>0.39752909726348634</c:v>
                </c:pt>
                <c:pt idx="11">
                  <c:v>0.41228259065304496</c:v>
                </c:pt>
                <c:pt idx="12">
                  <c:v>0.42001766943728125</c:v>
                </c:pt>
                <c:pt idx="13">
                  <c:v>0.44018568979317296</c:v>
                </c:pt>
                <c:pt idx="14">
                  <c:v>0.47386402199327909</c:v>
                </c:pt>
                <c:pt idx="15">
                  <c:v>0.5282072859562662</c:v>
                </c:pt>
                <c:pt idx="16">
                  <c:v>0.56756156094383448</c:v>
                </c:pt>
                <c:pt idx="17">
                  <c:v>0.59073721445794947</c:v>
                </c:pt>
                <c:pt idx="18">
                  <c:v>0.59693507487159292</c:v>
                </c:pt>
                <c:pt idx="19">
                  <c:v>0.60287900332817279</c:v>
                </c:pt>
                <c:pt idx="20">
                  <c:v>0.613219623856603</c:v>
                </c:pt>
                <c:pt idx="21">
                  <c:v>0.64950457842995846</c:v>
                </c:pt>
                <c:pt idx="22">
                  <c:v>0.66564132517011498</c:v>
                </c:pt>
                <c:pt idx="23">
                  <c:v>0.67093623995856855</c:v>
                </c:pt>
                <c:pt idx="24">
                  <c:v>0.69773709960596997</c:v>
                </c:pt>
                <c:pt idx="25">
                  <c:v>0.74443610755787581</c:v>
                </c:pt>
                <c:pt idx="26">
                  <c:v>0.88534189361308835</c:v>
                </c:pt>
                <c:pt idx="27">
                  <c:v>0.9816945516249217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F24B-4733-8DA8-17311F1A30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92827648"/>
        <c:axId val="92829184"/>
      </c:barChart>
      <c:catAx>
        <c:axId val="928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92829184"/>
        <c:crosses val="autoZero"/>
        <c:auto val="1"/>
        <c:lblAlgn val="ctr"/>
        <c:lblOffset val="100"/>
        <c:noMultiLvlLbl val="0"/>
      </c:catAx>
      <c:valAx>
        <c:axId val="92829184"/>
        <c:scaling>
          <c:orientation val="minMax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92827648"/>
        <c:crosses val="autoZero"/>
        <c:crossBetween val="between"/>
        <c:majorUnit val="0.1"/>
        <c:minorUnit val="0.1"/>
      </c:valAx>
      <c:spPr>
        <a:solidFill>
          <a:schemeClr val="bg1">
            <a:lumMod val="95000"/>
          </a:schemeClr>
        </a:solidFill>
        <a:ln>
          <a:solidFill>
            <a:schemeClr val="tx1"/>
          </a:solidFill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pl-PL" sz="700" b="1" i="0" baseline="0">
                <a:effectLst/>
                <a:latin typeface="+mj-lt"/>
              </a:rPr>
              <a:t>Wykres 1c – wskaźnik absorpcji </a:t>
            </a:r>
            <a:r>
              <a:rPr lang="pl-PL" sz="700" b="1" i="0" u="sng" baseline="0">
                <a:solidFill>
                  <a:sysClr val="windowText" lastClr="000000"/>
                </a:solidFill>
                <a:effectLst/>
                <a:latin typeface="+mj-lt"/>
              </a:rPr>
              <a:t>EFRROW 2014–2022 i EURI 2021–2022</a:t>
            </a:r>
            <a:r>
              <a:rPr lang="pl-PL" sz="700" b="1" i="0" baseline="0">
                <a:solidFill>
                  <a:sysClr val="windowText" lastClr="000000"/>
                </a:solidFill>
                <a:effectLst/>
                <a:latin typeface="+mj-lt"/>
              </a:rPr>
              <a:t> poszczególnych państw członkowskich </a:t>
            </a:r>
          </a:p>
          <a:p>
            <a:pPr>
              <a:defRPr sz="800"/>
            </a:pPr>
            <a:r>
              <a:rPr lang="pl-PL" sz="700" b="1" i="0" baseline="0">
                <a:solidFill>
                  <a:sysClr val="windowText" lastClr="000000"/>
                </a:solidFill>
                <a:effectLst/>
                <a:latin typeface="+mj-lt"/>
              </a:rPr>
              <a:t>(% płatności EFRROW i EURI, w tym wnioski o płatności Q4 2023 w porównaniu z przydzielonymi środkami 2014–2022</a:t>
            </a:r>
            <a:r>
              <a:rPr lang="pl-PL" sz="700" b="1" i="0" baseline="0">
                <a:effectLst/>
                <a:latin typeface="+mj-lt"/>
              </a:rPr>
              <a:t>)</a:t>
            </a:r>
          </a:p>
        </c:rich>
      </c:tx>
      <c:layout>
        <c:manualLayout>
          <c:xMode val="edge"/>
          <c:yMode val="edge"/>
          <c:x val="0.14059905497165098"/>
          <c:y val="1.62128616652868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0501260729983325E-2"/>
          <c:y val="0.12837741088815513"/>
          <c:w val="0.900654252860698"/>
          <c:h val="0.7831987130640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1c'!$H$7</c:f>
              <c:strCache>
                <c:ptCount val="1"/>
                <c:pt idx="0">
                  <c:v>Wskaźnik absorpcji = płatności / ogółem w planie finansowym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Pt>
            <c:idx val="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0-10BF-4122-953E-6E675380EB59}"/>
              </c:ext>
            </c:extLst>
          </c:dPt>
          <c:dPt>
            <c:idx val="8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10BF-4122-953E-6E675380EB59}"/>
              </c:ext>
            </c:extLst>
          </c:dPt>
          <c:dPt>
            <c:idx val="11"/>
            <c:invertIfNegative val="0"/>
            <c:bubble3D val="0"/>
            <c:spPr>
              <a:pattFill prst="wdDnDiag">
                <a:fgClr>
                  <a:schemeClr val="tx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</c:spPr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10BF-4122-953E-6E675380EB59}"/>
              </c:ext>
            </c:extLst>
          </c:dPt>
          <c:dPt>
            <c:idx val="13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4-10BF-4122-953E-6E675380EB59}"/>
              </c:ext>
            </c:extLst>
          </c:dPt>
          <c:dPt>
            <c:idx val="1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10BF-4122-953E-6E675380EB59}"/>
              </c:ext>
            </c:extLst>
          </c:dPt>
          <c:dPt>
            <c:idx val="15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6-10BF-4122-953E-6E675380EB59}"/>
              </c:ext>
            </c:extLst>
          </c:dPt>
          <c:dPt>
            <c:idx val="16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10BF-4122-953E-6E675380EB59}"/>
              </c:ext>
            </c:extLst>
          </c:dPt>
          <c:cat>
            <c:strRef>
              <c:f>'Graph 1c'!$A$8:$A$35</c:f>
              <c:strCache>
                <c:ptCount val="28"/>
                <c:pt idx="0">
                  <c:v>SK</c:v>
                </c:pt>
                <c:pt idx="1">
                  <c:v>DK</c:v>
                </c:pt>
                <c:pt idx="2">
                  <c:v>MT</c:v>
                </c:pt>
                <c:pt idx="3">
                  <c:v>BG</c:v>
                </c:pt>
                <c:pt idx="4">
                  <c:v>IT</c:v>
                </c:pt>
                <c:pt idx="5">
                  <c:v>PL</c:v>
                </c:pt>
                <c:pt idx="6">
                  <c:v>CY</c:v>
                </c:pt>
                <c:pt idx="7">
                  <c:v>ES</c:v>
                </c:pt>
                <c:pt idx="8">
                  <c:v>NL</c:v>
                </c:pt>
                <c:pt idx="9">
                  <c:v>EL</c:v>
                </c:pt>
                <c:pt idx="10">
                  <c:v>LT</c:v>
                </c:pt>
                <c:pt idx="11">
                  <c:v>UE-27</c:v>
                </c:pt>
                <c:pt idx="12">
                  <c:v>BE</c:v>
                </c:pt>
                <c:pt idx="13">
                  <c:v>DE</c:v>
                </c:pt>
                <c:pt idx="14">
                  <c:v>HR</c:v>
                </c:pt>
                <c:pt idx="15">
                  <c:v>SI</c:v>
                </c:pt>
                <c:pt idx="16">
                  <c:v>FR</c:v>
                </c:pt>
                <c:pt idx="17">
                  <c:v>RO</c:v>
                </c:pt>
                <c:pt idx="18">
                  <c:v>EE</c:v>
                </c:pt>
                <c:pt idx="19">
                  <c:v>PT</c:v>
                </c:pt>
                <c:pt idx="20">
                  <c:v>SE</c:v>
                </c:pt>
                <c:pt idx="21">
                  <c:v>LV</c:v>
                </c:pt>
                <c:pt idx="22">
                  <c:v>HU</c:v>
                </c:pt>
                <c:pt idx="23">
                  <c:v>AT</c:v>
                </c:pt>
                <c:pt idx="24">
                  <c:v>FI</c:v>
                </c:pt>
                <c:pt idx="25">
                  <c:v>CZ</c:v>
                </c:pt>
                <c:pt idx="26">
                  <c:v>IE</c:v>
                </c:pt>
                <c:pt idx="27">
                  <c:v>LU</c:v>
                </c:pt>
              </c:strCache>
            </c:strRef>
          </c:cat>
          <c:val>
            <c:numRef>
              <c:f>'Graph 1c'!$H$8:$H$35</c:f>
              <c:numCache>
                <c:formatCode>0%</c:formatCode>
                <c:ptCount val="28"/>
                <c:pt idx="0">
                  <c:v>0.63779522131632271</c:v>
                </c:pt>
                <c:pt idx="1">
                  <c:v>0.6895415672683225</c:v>
                </c:pt>
                <c:pt idx="2">
                  <c:v>0.6958751540953857</c:v>
                </c:pt>
                <c:pt idx="3">
                  <c:v>0.71014658161291411</c:v>
                </c:pt>
                <c:pt idx="4">
                  <c:v>0.7683571854729907</c:v>
                </c:pt>
                <c:pt idx="5">
                  <c:v>0.7792720196085523</c:v>
                </c:pt>
                <c:pt idx="6">
                  <c:v>0.77549892945505383</c:v>
                </c:pt>
                <c:pt idx="7">
                  <c:v>0.78433668573462467</c:v>
                </c:pt>
                <c:pt idx="8">
                  <c:v>0.79142784553079115</c:v>
                </c:pt>
                <c:pt idx="9">
                  <c:v>0.80529252241279015</c:v>
                </c:pt>
                <c:pt idx="10">
                  <c:v>0.82027432436604109</c:v>
                </c:pt>
                <c:pt idx="11">
                  <c:v>0.83305021148838065</c:v>
                </c:pt>
                <c:pt idx="12">
                  <c:v>0.83700506447011747</c:v>
                </c:pt>
                <c:pt idx="13">
                  <c:v>0.83911282548680166</c:v>
                </c:pt>
                <c:pt idx="14">
                  <c:v>0.84384373959829184</c:v>
                </c:pt>
                <c:pt idx="15">
                  <c:v>0.85685135237715904</c:v>
                </c:pt>
                <c:pt idx="16">
                  <c:v>0.85789850009401236</c:v>
                </c:pt>
                <c:pt idx="17">
                  <c:v>0.86316396394935391</c:v>
                </c:pt>
                <c:pt idx="18">
                  <c:v>0.87239457743654547</c:v>
                </c:pt>
                <c:pt idx="19">
                  <c:v>0.88528963938715222</c:v>
                </c:pt>
                <c:pt idx="20">
                  <c:v>0.90516171758580966</c:v>
                </c:pt>
                <c:pt idx="21">
                  <c:v>0.90575007535638796</c:v>
                </c:pt>
                <c:pt idx="22">
                  <c:v>0.90598287731934535</c:v>
                </c:pt>
                <c:pt idx="23">
                  <c:v>0.91790145294140491</c:v>
                </c:pt>
                <c:pt idx="24">
                  <c:v>0.94955265213916318</c:v>
                </c:pt>
                <c:pt idx="25">
                  <c:v>0.95</c:v>
                </c:pt>
                <c:pt idx="26">
                  <c:v>0.94999891783587864</c:v>
                </c:pt>
                <c:pt idx="27">
                  <c:v>0.95000000000000007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10BF-4122-953E-6E675380E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92827648"/>
        <c:axId val="92829184"/>
      </c:barChart>
      <c:catAx>
        <c:axId val="928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92829184"/>
        <c:crosses val="autoZero"/>
        <c:auto val="1"/>
        <c:lblAlgn val="ctr"/>
        <c:lblOffset val="100"/>
        <c:noMultiLvlLbl val="0"/>
      </c:catAx>
      <c:valAx>
        <c:axId val="92829184"/>
        <c:scaling>
          <c:orientation val="minMax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92827648"/>
        <c:crosses val="autoZero"/>
        <c:crossBetween val="between"/>
        <c:majorUnit val="0.1"/>
        <c:minorUnit val="0.1"/>
      </c:valAx>
      <c:spPr>
        <a:solidFill>
          <a:schemeClr val="bg1">
            <a:lumMod val="95000"/>
          </a:schemeClr>
        </a:solidFill>
        <a:ln>
          <a:solidFill>
            <a:schemeClr val="tx1"/>
          </a:solidFill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pl-PL" sz="700"/>
              <a:t>Wykres 1d – wskaźnik absorpcji </a:t>
            </a:r>
            <a:r>
              <a:rPr lang="pl-PL" sz="700" u="sng"/>
              <a:t>EFRROW 2023–2027</a:t>
            </a:r>
            <a:r>
              <a:rPr lang="pl-PL" sz="700"/>
              <a:t> poszczególnych państw członkowskich</a:t>
            </a:r>
          </a:p>
          <a:p>
            <a:pPr>
              <a:defRPr sz="700"/>
            </a:pPr>
            <a:r>
              <a:rPr lang="pl-PL" sz="700"/>
              <a:t>           (% płatności EFRROW, w tym wnioski o</a:t>
            </a:r>
            <a:r>
              <a:rPr lang="pl-PL" sz="700" baseline="0"/>
              <a:t> </a:t>
            </a:r>
            <a:r>
              <a:rPr lang="pl-PL" sz="700"/>
              <a:t>płatności Q4</a:t>
            </a:r>
            <a:r>
              <a:rPr lang="pl-PL" sz="700" baseline="0"/>
              <a:t> </a:t>
            </a:r>
            <a:r>
              <a:rPr lang="pl-PL" sz="700"/>
              <a:t>2023 w porównaniu z przydzielonymi środkami 2023-20</a:t>
            </a:r>
            <a:r>
              <a:rPr lang="pl-PL" sz="700">
                <a:solidFill>
                  <a:sysClr val="windowText" lastClr="000000"/>
                </a:solidFill>
              </a:rPr>
              <a:t>27</a:t>
            </a:r>
            <a:r>
              <a:rPr lang="pl-PL" sz="700"/>
              <a:t>)</a:t>
            </a:r>
          </a:p>
        </c:rich>
      </c:tx>
      <c:layout>
        <c:manualLayout>
          <c:xMode val="edge"/>
          <c:yMode val="edge"/>
          <c:x val="0.11633080193514431"/>
          <c:y val="2.935679189591674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20713315771543E-2"/>
          <c:y val="0.13394764104486528"/>
          <c:w val="0.90557657107992684"/>
          <c:h val="0.767305723402856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1d'!$D$7</c:f>
              <c:strCache>
                <c:ptCount val="1"/>
                <c:pt idx="0">
                  <c:v>Wskaźnik absorpcji = płatności / ogółem w planie finansowym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Pt>
            <c:idx val="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0-1D98-4692-B50E-83A0189E29E9}"/>
              </c:ext>
            </c:extLst>
          </c:dPt>
          <c:dPt>
            <c:idx val="8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1D98-4692-B50E-83A0189E29E9}"/>
              </c:ext>
            </c:extLst>
          </c:dPt>
          <c:dPt>
            <c:idx val="11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2-1D98-4692-B50E-83A0189E29E9}"/>
              </c:ext>
            </c:extLst>
          </c:dPt>
          <c:dPt>
            <c:idx val="13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1D98-4692-B50E-83A0189E29E9}"/>
              </c:ext>
            </c:extLst>
          </c:dPt>
          <c:dPt>
            <c:idx val="14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4-1D98-4692-B50E-83A0189E29E9}"/>
              </c:ext>
            </c:extLst>
          </c:dPt>
          <c:dPt>
            <c:idx val="15"/>
            <c:invertIfNegative val="0"/>
            <c:bubble3D val="0"/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1D98-4692-B50E-83A0189E29E9}"/>
              </c:ext>
            </c:extLst>
          </c:dPt>
          <c:dPt>
            <c:idx val="17"/>
            <c:invertIfNegative val="0"/>
            <c:bubble3D val="0"/>
            <c:spPr>
              <a:pattFill prst="wdDnDiag">
                <a:fgClr>
                  <a:schemeClr val="tx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</c:spPr>
            <c:extLst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1D98-4692-B50E-83A0189E29E9}"/>
              </c:ext>
            </c:extLst>
          </c:dPt>
          <c:cat>
            <c:strRef>
              <c:f>'Graph 1d'!$A$8:$A$35</c:f>
              <c:strCache>
                <c:ptCount val="28"/>
                <c:pt idx="0">
                  <c:v>BG</c:v>
                </c:pt>
                <c:pt idx="1">
                  <c:v>MT</c:v>
                </c:pt>
                <c:pt idx="2">
                  <c:v>RO</c:v>
                </c:pt>
                <c:pt idx="3">
                  <c:v>PL</c:v>
                </c:pt>
                <c:pt idx="4">
                  <c:v>EE</c:v>
                </c:pt>
                <c:pt idx="5">
                  <c:v>SI</c:v>
                </c:pt>
                <c:pt idx="6">
                  <c:v>PT</c:v>
                </c:pt>
                <c:pt idx="7">
                  <c:v>BE</c:v>
                </c:pt>
                <c:pt idx="8">
                  <c:v>ES</c:v>
                </c:pt>
                <c:pt idx="9">
                  <c:v>NL</c:v>
                </c:pt>
                <c:pt idx="10">
                  <c:v>SK</c:v>
                </c:pt>
                <c:pt idx="11">
                  <c:v>IT</c:v>
                </c:pt>
                <c:pt idx="12">
                  <c:v>HR</c:v>
                </c:pt>
                <c:pt idx="13">
                  <c:v>CZ</c:v>
                </c:pt>
                <c:pt idx="14">
                  <c:v>CY</c:v>
                </c:pt>
                <c:pt idx="15">
                  <c:v>DE</c:v>
                </c:pt>
                <c:pt idx="16">
                  <c:v>LT</c:v>
                </c:pt>
                <c:pt idx="17">
                  <c:v>Ogółem UE-27</c:v>
                </c:pt>
                <c:pt idx="18">
                  <c:v>LV</c:v>
                </c:pt>
                <c:pt idx="19">
                  <c:v>DK</c:v>
                </c:pt>
                <c:pt idx="20">
                  <c:v>HU</c:v>
                </c:pt>
                <c:pt idx="21">
                  <c:v>EL</c:v>
                </c:pt>
                <c:pt idx="22">
                  <c:v>LU</c:v>
                </c:pt>
                <c:pt idx="23">
                  <c:v>AT</c:v>
                </c:pt>
                <c:pt idx="24">
                  <c:v>FR</c:v>
                </c:pt>
                <c:pt idx="25">
                  <c:v>FI</c:v>
                </c:pt>
                <c:pt idx="26">
                  <c:v>SE</c:v>
                </c:pt>
                <c:pt idx="27">
                  <c:v>IE</c:v>
                </c:pt>
              </c:strCache>
            </c:strRef>
          </c:cat>
          <c:val>
            <c:numRef>
              <c:f>'Graph 1d'!$D$8:$D$35</c:f>
              <c:numCache>
                <c:formatCode>0%</c:formatCode>
                <c:ptCount val="28"/>
                <c:pt idx="0">
                  <c:v>0.02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  <c:pt idx="4">
                  <c:v>2.0397749625174599E-2</c:v>
                </c:pt>
                <c:pt idx="5">
                  <c:v>2.120585408437883E-2</c:v>
                </c:pt>
                <c:pt idx="6">
                  <c:v>2.3928136591745898E-2</c:v>
                </c:pt>
                <c:pt idx="7">
                  <c:v>2.5736569204496226E-2</c:v>
                </c:pt>
                <c:pt idx="8">
                  <c:v>2.839016631080124E-2</c:v>
                </c:pt>
                <c:pt idx="9">
                  <c:v>2.8703725247617148E-2</c:v>
                </c:pt>
                <c:pt idx="10">
                  <c:v>3.1219497669450529E-2</c:v>
                </c:pt>
                <c:pt idx="11">
                  <c:v>3.2123667469131797E-2</c:v>
                </c:pt>
                <c:pt idx="12">
                  <c:v>3.3647504265381011E-2</c:v>
                </c:pt>
                <c:pt idx="13">
                  <c:v>3.6718733146557131E-2</c:v>
                </c:pt>
                <c:pt idx="14">
                  <c:v>3.8190029378413946E-2</c:v>
                </c:pt>
                <c:pt idx="15">
                  <c:v>4.1614212637149456E-2</c:v>
                </c:pt>
                <c:pt idx="16">
                  <c:v>4.894972729811084E-2</c:v>
                </c:pt>
                <c:pt idx="17">
                  <c:v>4.8965956438019737E-2</c:v>
                </c:pt>
                <c:pt idx="18">
                  <c:v>5.056154725703027E-2</c:v>
                </c:pt>
                <c:pt idx="19">
                  <c:v>5.133862124640752E-2</c:v>
                </c:pt>
                <c:pt idx="20">
                  <c:v>5.7730070778314484E-2</c:v>
                </c:pt>
                <c:pt idx="21">
                  <c:v>6.2185935242871929E-2</c:v>
                </c:pt>
                <c:pt idx="22">
                  <c:v>7.9337782379994351E-2</c:v>
                </c:pt>
                <c:pt idx="23">
                  <c:v>8.1934180782994734E-2</c:v>
                </c:pt>
                <c:pt idx="24">
                  <c:v>8.5370428689130903E-2</c:v>
                </c:pt>
                <c:pt idx="25">
                  <c:v>0.10333472645561241</c:v>
                </c:pt>
                <c:pt idx="26">
                  <c:v>0.11268030847232005</c:v>
                </c:pt>
                <c:pt idx="27">
                  <c:v>0.12651979208577896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1D98-4692-B50E-83A0189E2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92827648"/>
        <c:axId val="92829184"/>
      </c:barChart>
      <c:catAx>
        <c:axId val="928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92829184"/>
        <c:crosses val="autoZero"/>
        <c:auto val="1"/>
        <c:lblAlgn val="ctr"/>
        <c:lblOffset val="100"/>
        <c:noMultiLvlLbl val="0"/>
      </c:catAx>
      <c:valAx>
        <c:axId val="92829184"/>
        <c:scaling>
          <c:orientation val="minMax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92827648"/>
        <c:crosses val="autoZero"/>
        <c:crossBetween val="between"/>
        <c:majorUnit val="0.1"/>
        <c:minorUnit val="0.1"/>
      </c:valAx>
      <c:spPr>
        <a:solidFill>
          <a:schemeClr val="bg1">
            <a:lumMod val="95000"/>
          </a:schemeClr>
        </a:solidFill>
        <a:ln>
          <a:solidFill>
            <a:schemeClr val="tx1"/>
          </a:solidFill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39346a-d735-416d-8aec-e77f5ea8e3c8">
      <UserInfo>
        <DisplayName>SCHWAB Nelly (AGRI)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38CE3A42BF247A1A135F652405EE9" ma:contentTypeVersion="6" ma:contentTypeDescription="Create a new document." ma:contentTypeScope="" ma:versionID="8d59218b30c3590909e8baf2c01867e3">
  <xsd:schema xmlns:xsd="http://www.w3.org/2001/XMLSchema" xmlns:xs="http://www.w3.org/2001/XMLSchema" xmlns:p="http://schemas.microsoft.com/office/2006/metadata/properties" xmlns:ns2="7841b247-2e61-4c7c-8517-5eb40b01f773" xmlns:ns3="a439346a-d735-416d-8aec-e77f5ea8e3c8" targetNamespace="http://schemas.microsoft.com/office/2006/metadata/properties" ma:root="true" ma:fieldsID="9c9df74022e32a03ccb6b7b65fba9ce5" ns2:_="" ns3:_="">
    <xsd:import namespace="7841b247-2e61-4c7c-8517-5eb40b01f773"/>
    <xsd:import namespace="a439346a-d735-416d-8aec-e77f5ea8e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b247-2e61-4c7c-8517-5eb40b01f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346a-d735-416d-8aec-e77f5ea8e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6DD9-CBC6-46CF-9123-48C059CA7622}">
  <ds:schemaRefs>
    <ds:schemaRef ds:uri="http://schemas.microsoft.com/office/2006/metadata/properties"/>
    <ds:schemaRef ds:uri="http://schemas.microsoft.com/office/infopath/2007/PartnerControls"/>
    <ds:schemaRef ds:uri="a439346a-d735-416d-8aec-e77f5ea8e3c8"/>
  </ds:schemaRefs>
</ds:datastoreItem>
</file>

<file path=customXml/itemProps2.xml><?xml version="1.0" encoding="utf-8"?>
<ds:datastoreItem xmlns:ds="http://schemas.openxmlformats.org/officeDocument/2006/customXml" ds:itemID="{50678386-CC43-4649-A0B5-2A59E470F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77498-EDBD-41E0-9FDD-9056D6D49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b247-2e61-4c7c-8517-5eb40b01f773"/>
    <ds:schemaRef ds:uri="a439346a-d735-416d-8aec-e77f5ea8e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92F58-3E4D-411D-A89D-ADC82511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11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27062</CharactersWithSpaces>
  <SharedDoc>false</SharedDoc>
  <HLinks>
    <vt:vector size="156" baseType="variant">
      <vt:variant>
        <vt:i4>1835057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_Toc170318173</vt:lpwstr>
      </vt:variant>
      <vt:variant>
        <vt:i4>1835057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_Toc170318172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_Toc170318171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_Toc170318170</vt:lpwstr>
      </vt:variant>
      <vt:variant>
        <vt:i4>1900593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_Toc170318169</vt:lpwstr>
      </vt:variant>
      <vt:variant>
        <vt:i4>1900593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_Toc170318168</vt:lpwstr>
      </vt:variant>
      <vt:variant>
        <vt:i4>1900593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_Toc170318167</vt:lpwstr>
      </vt:variant>
      <vt:variant>
        <vt:i4>1900593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_Toc170318166</vt:lpwstr>
      </vt:variant>
      <vt:variant>
        <vt:i4>1900593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_Toc170318165</vt:lpwstr>
      </vt:variant>
      <vt:variant>
        <vt:i4>1900593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_Toc170318164</vt:lpwstr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_Toc170318163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_Toc170318162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_Toc170318161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_Toc170318160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_Toc170318159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_Toc170318158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_Toc170318157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_Toc170318156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_Toc170318155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_Toc170318154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_Toc170318153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_Toc170318152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_Toc170318151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_Toc170318150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_Toc170318149</vt:lpwstr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https://commission.europa.eu/publications/annual-activity-report-2023-agriculture-and-rural-development_en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20</cp:revision>
  <cp:lastPrinted>2024-06-15T00:33:00Z</cp:lastPrinted>
  <dcterms:created xsi:type="dcterms:W3CDTF">2024-09-12T07:05:00Z</dcterms:created>
  <dcterms:modified xsi:type="dcterms:W3CDTF">2024-09-23T07:30:00Z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8.0, Build 20220128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2022-07-18T10:22:51Z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af3b694e-4a7b-4ea9-a6ed-065a5a095043</vt:lpwstr>
  </property>
  <property fmtid="{D5CDD505-2E9C-101B-9397-08002B2CF9AE}" pid="15" name="MSIP_Label_6bd9ddd1-4d20-43f6-abfa-fc3c07406f94_ContentBits">
    <vt:lpwstr>0</vt:lpwstr>
  </property>
  <property fmtid="{D5CDD505-2E9C-101B-9397-08002B2CF9AE}" pid="16" name="ContentTypeId">
    <vt:lpwstr>0x010100EBA38CE3A42BF247A1A135F652405EE9</vt:lpwstr>
  </property>
</Properties>
</file>