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7F02" w14:textId="245A097A" w:rsidR="008A18BC" w:rsidRDefault="00BB35FD" w:rsidP="00BB35FD">
      <w:pPr>
        <w:pStyle w:val="Pagedecouverture"/>
        <w:rPr>
          <w:noProof/>
        </w:rPr>
      </w:pPr>
      <w:bookmarkStart w:id="0" w:name="LW_BM_COVERPAGE"/>
      <w:r>
        <w:rPr>
          <w:noProof/>
        </w:rPr>
        <w:pict w14:anchorId="01755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9A46E55-FBBA-4E0F-9E94-4E09E09E7AE2" style="width:455.25pt;height:393pt">
            <v:imagedata r:id="rId11" o:title=""/>
          </v:shape>
        </w:pict>
      </w:r>
    </w:p>
    <w:bookmarkEnd w:id="0"/>
    <w:p w14:paraId="03669432" w14:textId="6E866273" w:rsidR="00CC0912" w:rsidRPr="00853755" w:rsidRDefault="00CC0912" w:rsidP="00CC0912">
      <w:pPr>
        <w:pStyle w:val="Pagedecouverture"/>
        <w:rPr>
          <w:noProof/>
          <w:lang w:val="en-IE"/>
        </w:rPr>
        <w:sectPr w:rsidR="00CC0912" w:rsidRPr="00853755" w:rsidSect="00BB35F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B277229" w14:textId="277B4A2A" w:rsidR="00A44A15" w:rsidRPr="003A7FF0" w:rsidRDefault="1BFC6801" w:rsidP="00E672CC">
      <w:pPr>
        <w:pStyle w:val="TOCHeading"/>
        <w:spacing w:after="240"/>
        <w:jc w:val="center"/>
        <w:rPr>
          <w:rFonts w:ascii="Times New Roman" w:hAnsi="Times New Roman" w:cs="Times New Roman"/>
          <w:b/>
          <w:bCs/>
          <w:noProof/>
          <w:color w:val="auto"/>
          <w:sz w:val="24"/>
          <w:szCs w:val="24"/>
        </w:rPr>
      </w:pPr>
      <w:bookmarkStart w:id="1" w:name="_GoBack"/>
      <w:bookmarkEnd w:id="1"/>
      <w:r>
        <w:rPr>
          <w:rFonts w:ascii="Times New Roman" w:hAnsi="Times New Roman"/>
          <w:b/>
          <w:noProof/>
          <w:color w:val="auto"/>
          <w:sz w:val="24"/>
        </w:rPr>
        <w:lastRenderedPageBreak/>
        <w:t>INHALTSVERZEICHNIS</w:t>
      </w:r>
    </w:p>
    <w:p w14:paraId="7ACB08CD" w14:textId="17F29056" w:rsidR="00354CFA" w:rsidRDefault="6AF0C460">
      <w:pPr>
        <w:pStyle w:val="TOC1"/>
        <w:rPr>
          <w:rFonts w:asciiTheme="minorHAnsi" w:eastAsiaTheme="minorEastAsia" w:hAnsiTheme="minorHAnsi" w:cstheme="minorBidi"/>
          <w:noProof/>
          <w:kern w:val="2"/>
          <w:sz w:val="22"/>
          <w:szCs w:val="22"/>
          <w:lang w:val="en-IE" w:eastAsia="en-IE"/>
          <w14:ligatures w14:val="standardContextual"/>
        </w:rPr>
      </w:pPr>
      <w:r>
        <w:rPr>
          <w:noProof/>
        </w:rPr>
        <w:fldChar w:fldCharType="begin"/>
      </w:r>
      <w:r>
        <w:rPr>
          <w:noProof/>
        </w:rPr>
        <w:instrText>TOC \o "1-4" \z \u \h</w:instrText>
      </w:r>
      <w:r>
        <w:rPr>
          <w:noProof/>
        </w:rPr>
        <w:fldChar w:fldCharType="separate"/>
      </w:r>
      <w:hyperlink w:anchor="_Toc175120242" w:history="1">
        <w:r w:rsidR="00354CFA" w:rsidRPr="002D5A20">
          <w:rPr>
            <w:rStyle w:val="Hyperlink"/>
            <w:noProof/>
          </w:rPr>
          <w:t>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HAUSHALTSVERFAHREN</w:t>
        </w:r>
        <w:r w:rsidR="00354CFA">
          <w:rPr>
            <w:noProof/>
            <w:webHidden/>
          </w:rPr>
          <w:tab/>
        </w:r>
        <w:r w:rsidR="00354CFA">
          <w:rPr>
            <w:noProof/>
            <w:webHidden/>
          </w:rPr>
          <w:fldChar w:fldCharType="begin"/>
        </w:r>
        <w:r w:rsidR="00354CFA">
          <w:rPr>
            <w:noProof/>
            <w:webHidden/>
          </w:rPr>
          <w:instrText xml:space="preserve"> PAGEREF _Toc175120242 \h </w:instrText>
        </w:r>
        <w:r w:rsidR="00354CFA">
          <w:rPr>
            <w:noProof/>
            <w:webHidden/>
          </w:rPr>
        </w:r>
        <w:r w:rsidR="00354CFA">
          <w:rPr>
            <w:noProof/>
            <w:webHidden/>
          </w:rPr>
          <w:fldChar w:fldCharType="separate"/>
        </w:r>
        <w:r w:rsidR="00A32D79">
          <w:rPr>
            <w:noProof/>
            <w:webHidden/>
          </w:rPr>
          <w:t>2</w:t>
        </w:r>
        <w:r w:rsidR="00354CFA">
          <w:rPr>
            <w:noProof/>
            <w:webHidden/>
          </w:rPr>
          <w:fldChar w:fldCharType="end"/>
        </w:r>
      </w:hyperlink>
    </w:p>
    <w:p w14:paraId="5A1DA83E" w14:textId="11BD0F8B"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43" w:history="1">
        <w:r w:rsidR="00354CFA" w:rsidRPr="002D5A20">
          <w:rPr>
            <w:rStyle w:val="Hyperlink"/>
            <w:noProof/>
          </w:rPr>
          <w:t>1.1.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Finanzrahmen 2021–2027</w:t>
        </w:r>
        <w:r w:rsidR="00354CFA">
          <w:rPr>
            <w:noProof/>
            <w:webHidden/>
          </w:rPr>
          <w:tab/>
        </w:r>
        <w:r w:rsidR="00354CFA">
          <w:rPr>
            <w:noProof/>
            <w:webHidden/>
          </w:rPr>
          <w:fldChar w:fldCharType="begin"/>
        </w:r>
        <w:r w:rsidR="00354CFA">
          <w:rPr>
            <w:noProof/>
            <w:webHidden/>
          </w:rPr>
          <w:instrText xml:space="preserve"> PAGEREF _Toc175120243 \h </w:instrText>
        </w:r>
        <w:r w:rsidR="00354CFA">
          <w:rPr>
            <w:noProof/>
            <w:webHidden/>
          </w:rPr>
        </w:r>
        <w:r w:rsidR="00354CFA">
          <w:rPr>
            <w:noProof/>
            <w:webHidden/>
          </w:rPr>
          <w:fldChar w:fldCharType="separate"/>
        </w:r>
        <w:r w:rsidR="00A32D79">
          <w:rPr>
            <w:noProof/>
            <w:webHidden/>
          </w:rPr>
          <w:t>2</w:t>
        </w:r>
        <w:r w:rsidR="00354CFA">
          <w:rPr>
            <w:noProof/>
            <w:webHidden/>
          </w:rPr>
          <w:fldChar w:fldCharType="end"/>
        </w:r>
      </w:hyperlink>
    </w:p>
    <w:p w14:paraId="3ECC3175" w14:textId="25E7B1DC"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44" w:history="1">
        <w:r w:rsidR="00354CFA" w:rsidRPr="002D5A20">
          <w:rPr>
            <w:rStyle w:val="Hyperlink"/>
            <w:noProof/>
          </w:rPr>
          <w:t>1.2.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Haushaltsplanentwurf 2023, Berichtigungsschreiben 1/2023 und Annahme des Haushaltsplans 2023</w:t>
        </w:r>
        <w:r w:rsidR="00354CFA">
          <w:rPr>
            <w:noProof/>
            <w:webHidden/>
          </w:rPr>
          <w:tab/>
        </w:r>
        <w:r w:rsidR="00354CFA">
          <w:rPr>
            <w:noProof/>
            <w:webHidden/>
          </w:rPr>
          <w:fldChar w:fldCharType="begin"/>
        </w:r>
        <w:r w:rsidR="00354CFA">
          <w:rPr>
            <w:noProof/>
            <w:webHidden/>
          </w:rPr>
          <w:instrText xml:space="preserve"> PAGEREF _Toc175120244 \h </w:instrText>
        </w:r>
        <w:r w:rsidR="00354CFA">
          <w:rPr>
            <w:noProof/>
            <w:webHidden/>
          </w:rPr>
        </w:r>
        <w:r w:rsidR="00354CFA">
          <w:rPr>
            <w:noProof/>
            <w:webHidden/>
          </w:rPr>
          <w:fldChar w:fldCharType="separate"/>
        </w:r>
        <w:r w:rsidR="00A32D79">
          <w:rPr>
            <w:noProof/>
            <w:webHidden/>
          </w:rPr>
          <w:t>3</w:t>
        </w:r>
        <w:r w:rsidR="00354CFA">
          <w:rPr>
            <w:noProof/>
            <w:webHidden/>
          </w:rPr>
          <w:fldChar w:fldCharType="end"/>
        </w:r>
      </w:hyperlink>
    </w:p>
    <w:p w14:paraId="3A9234AA" w14:textId="24ABB033" w:rsidR="00354CFA" w:rsidRDefault="00BB35FD">
      <w:pPr>
        <w:pStyle w:val="TOC1"/>
        <w:rPr>
          <w:rFonts w:asciiTheme="minorHAnsi" w:eastAsiaTheme="minorEastAsia" w:hAnsiTheme="minorHAnsi" w:cstheme="minorBidi"/>
          <w:noProof/>
          <w:kern w:val="2"/>
          <w:sz w:val="22"/>
          <w:szCs w:val="22"/>
          <w:lang w:val="en-IE" w:eastAsia="en-IE"/>
          <w14:ligatures w14:val="standardContextual"/>
        </w:rPr>
      </w:pPr>
      <w:hyperlink w:anchor="_Toc175120245" w:history="1">
        <w:r w:rsidR="00354CFA" w:rsidRPr="002D5A20">
          <w:rPr>
            <w:rStyle w:val="Hyperlink"/>
            <w:noProof/>
          </w:rPr>
          <w:t>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AUSFÜHRUNG DES HAUSHALTSPLANS 2023 FÜR EGFL UND ELER</w:t>
        </w:r>
        <w:r w:rsidR="00354CFA">
          <w:rPr>
            <w:noProof/>
            <w:webHidden/>
          </w:rPr>
          <w:tab/>
        </w:r>
        <w:r w:rsidR="00354CFA">
          <w:rPr>
            <w:noProof/>
            <w:webHidden/>
          </w:rPr>
          <w:fldChar w:fldCharType="begin"/>
        </w:r>
        <w:r w:rsidR="00354CFA">
          <w:rPr>
            <w:noProof/>
            <w:webHidden/>
          </w:rPr>
          <w:instrText xml:space="preserve"> PAGEREF _Toc175120245 \h </w:instrText>
        </w:r>
        <w:r w:rsidR="00354CFA">
          <w:rPr>
            <w:noProof/>
            <w:webHidden/>
          </w:rPr>
        </w:r>
        <w:r w:rsidR="00354CFA">
          <w:rPr>
            <w:noProof/>
            <w:webHidden/>
          </w:rPr>
          <w:fldChar w:fldCharType="separate"/>
        </w:r>
        <w:r w:rsidR="00A32D79">
          <w:rPr>
            <w:noProof/>
            <w:webHidden/>
          </w:rPr>
          <w:t>4</w:t>
        </w:r>
        <w:r w:rsidR="00354CFA">
          <w:rPr>
            <w:noProof/>
            <w:webHidden/>
          </w:rPr>
          <w:fldChar w:fldCharType="end"/>
        </w:r>
      </w:hyperlink>
    </w:p>
    <w:p w14:paraId="15FB2B76" w14:textId="54016BBB"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46" w:history="1">
        <w:r w:rsidR="00354CFA" w:rsidRPr="002D5A20">
          <w:rPr>
            <w:rStyle w:val="Hyperlink"/>
            <w:noProof/>
          </w:rPr>
          <w:t>2.1.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Europäischer Garantiefonds für die Landwirtschaft (EGFL)</w:t>
        </w:r>
        <w:r w:rsidR="00354CFA">
          <w:rPr>
            <w:noProof/>
            <w:webHidden/>
          </w:rPr>
          <w:tab/>
        </w:r>
        <w:r w:rsidR="00354CFA">
          <w:rPr>
            <w:noProof/>
            <w:webHidden/>
          </w:rPr>
          <w:fldChar w:fldCharType="begin"/>
        </w:r>
        <w:r w:rsidR="00354CFA">
          <w:rPr>
            <w:noProof/>
            <w:webHidden/>
          </w:rPr>
          <w:instrText xml:space="preserve"> PAGEREF _Toc175120246 \h </w:instrText>
        </w:r>
        <w:r w:rsidR="00354CFA">
          <w:rPr>
            <w:noProof/>
            <w:webHidden/>
          </w:rPr>
        </w:r>
        <w:r w:rsidR="00354CFA">
          <w:rPr>
            <w:noProof/>
            <w:webHidden/>
          </w:rPr>
          <w:fldChar w:fldCharType="separate"/>
        </w:r>
        <w:r w:rsidR="00A32D79">
          <w:rPr>
            <w:noProof/>
            <w:webHidden/>
          </w:rPr>
          <w:t>4</w:t>
        </w:r>
        <w:r w:rsidR="00354CFA">
          <w:rPr>
            <w:noProof/>
            <w:webHidden/>
          </w:rPr>
          <w:fldChar w:fldCharType="end"/>
        </w:r>
      </w:hyperlink>
    </w:p>
    <w:p w14:paraId="5FBF0F34" w14:textId="60EE9B74"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47" w:history="1">
        <w:r w:rsidR="00354CFA" w:rsidRPr="002D5A20">
          <w:rPr>
            <w:rStyle w:val="Hyperlink"/>
            <w:noProof/>
          </w:rPr>
          <w:t>2.1.1.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Monatliche Zahlungen</w:t>
        </w:r>
        <w:r w:rsidR="00354CFA">
          <w:rPr>
            <w:noProof/>
            <w:webHidden/>
          </w:rPr>
          <w:tab/>
        </w:r>
        <w:r w:rsidR="00354CFA">
          <w:rPr>
            <w:noProof/>
            <w:webHidden/>
          </w:rPr>
          <w:fldChar w:fldCharType="begin"/>
        </w:r>
        <w:r w:rsidR="00354CFA">
          <w:rPr>
            <w:noProof/>
            <w:webHidden/>
          </w:rPr>
          <w:instrText xml:space="preserve"> PAGEREF _Toc175120247 \h </w:instrText>
        </w:r>
        <w:r w:rsidR="00354CFA">
          <w:rPr>
            <w:noProof/>
            <w:webHidden/>
          </w:rPr>
        </w:r>
        <w:r w:rsidR="00354CFA">
          <w:rPr>
            <w:noProof/>
            <w:webHidden/>
          </w:rPr>
          <w:fldChar w:fldCharType="separate"/>
        </w:r>
        <w:r w:rsidR="00A32D79">
          <w:rPr>
            <w:noProof/>
            <w:webHidden/>
          </w:rPr>
          <w:t>4</w:t>
        </w:r>
        <w:r w:rsidR="00354CFA">
          <w:rPr>
            <w:noProof/>
            <w:webHidden/>
          </w:rPr>
          <w:fldChar w:fldCharType="end"/>
        </w:r>
      </w:hyperlink>
    </w:p>
    <w:p w14:paraId="3FB726B7" w14:textId="5BFB623D"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48" w:history="1">
        <w:r w:rsidR="00354CFA" w:rsidRPr="002D5A20">
          <w:rPr>
            <w:rStyle w:val="Hyperlink"/>
            <w:noProof/>
          </w:rPr>
          <w:t>2.1.2.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Kürzungen der monatlichen Zahlungen</w:t>
        </w:r>
        <w:r w:rsidR="00354CFA">
          <w:rPr>
            <w:noProof/>
            <w:webHidden/>
          </w:rPr>
          <w:tab/>
        </w:r>
        <w:r w:rsidR="00354CFA">
          <w:rPr>
            <w:noProof/>
            <w:webHidden/>
          </w:rPr>
          <w:fldChar w:fldCharType="begin"/>
        </w:r>
        <w:r w:rsidR="00354CFA">
          <w:rPr>
            <w:noProof/>
            <w:webHidden/>
          </w:rPr>
          <w:instrText xml:space="preserve"> PAGEREF _Toc175120248 \h </w:instrText>
        </w:r>
        <w:r w:rsidR="00354CFA">
          <w:rPr>
            <w:noProof/>
            <w:webHidden/>
          </w:rPr>
        </w:r>
        <w:r w:rsidR="00354CFA">
          <w:rPr>
            <w:noProof/>
            <w:webHidden/>
          </w:rPr>
          <w:fldChar w:fldCharType="separate"/>
        </w:r>
        <w:r w:rsidR="00A32D79">
          <w:rPr>
            <w:noProof/>
            <w:webHidden/>
          </w:rPr>
          <w:t>5</w:t>
        </w:r>
        <w:r w:rsidR="00354CFA">
          <w:rPr>
            <w:noProof/>
            <w:webHidden/>
          </w:rPr>
          <w:fldChar w:fldCharType="end"/>
        </w:r>
      </w:hyperlink>
    </w:p>
    <w:p w14:paraId="705518BD" w14:textId="285A716B"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49" w:history="1">
        <w:r w:rsidR="00354CFA" w:rsidRPr="002D5A20">
          <w:rPr>
            <w:rStyle w:val="Hyperlink"/>
            <w:noProof/>
          </w:rPr>
          <w:t>2.1.3.</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Ausgaben im Rahmen der direkten Mittelverwaltung der Kommission</w:t>
        </w:r>
        <w:r w:rsidR="00354CFA">
          <w:rPr>
            <w:noProof/>
            <w:webHidden/>
          </w:rPr>
          <w:tab/>
        </w:r>
        <w:r w:rsidR="00354CFA">
          <w:rPr>
            <w:noProof/>
            <w:webHidden/>
          </w:rPr>
          <w:fldChar w:fldCharType="begin"/>
        </w:r>
        <w:r w:rsidR="00354CFA">
          <w:rPr>
            <w:noProof/>
            <w:webHidden/>
          </w:rPr>
          <w:instrText xml:space="preserve"> PAGEREF _Toc175120249 \h </w:instrText>
        </w:r>
        <w:r w:rsidR="00354CFA">
          <w:rPr>
            <w:noProof/>
            <w:webHidden/>
          </w:rPr>
        </w:r>
        <w:r w:rsidR="00354CFA">
          <w:rPr>
            <w:noProof/>
            <w:webHidden/>
          </w:rPr>
          <w:fldChar w:fldCharType="separate"/>
        </w:r>
        <w:r w:rsidR="00A32D79">
          <w:rPr>
            <w:noProof/>
            <w:webHidden/>
          </w:rPr>
          <w:t>5</w:t>
        </w:r>
        <w:r w:rsidR="00354CFA">
          <w:rPr>
            <w:noProof/>
            <w:webHidden/>
          </w:rPr>
          <w:fldChar w:fldCharType="end"/>
        </w:r>
      </w:hyperlink>
    </w:p>
    <w:p w14:paraId="0BA2F7D6" w14:textId="7D607BCD"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0" w:history="1">
        <w:r w:rsidR="00354CFA" w:rsidRPr="002D5A20">
          <w:rPr>
            <w:rStyle w:val="Hyperlink"/>
            <w:noProof/>
          </w:rPr>
          <w:t>2.2.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Europäischer Landwirtschaftsfonds für die Entwicklung des ländlichen Raums (ELER) und Aufbauinstrument der Europäischen Union (EURI)</w:t>
        </w:r>
        <w:r w:rsidR="00354CFA">
          <w:rPr>
            <w:noProof/>
            <w:webHidden/>
          </w:rPr>
          <w:tab/>
        </w:r>
        <w:r w:rsidR="00354CFA">
          <w:rPr>
            <w:noProof/>
            <w:webHidden/>
          </w:rPr>
          <w:fldChar w:fldCharType="begin"/>
        </w:r>
        <w:r w:rsidR="00354CFA">
          <w:rPr>
            <w:noProof/>
            <w:webHidden/>
          </w:rPr>
          <w:instrText xml:space="preserve"> PAGEREF _Toc175120250 \h </w:instrText>
        </w:r>
        <w:r w:rsidR="00354CFA">
          <w:rPr>
            <w:noProof/>
            <w:webHidden/>
          </w:rPr>
        </w:r>
        <w:r w:rsidR="00354CFA">
          <w:rPr>
            <w:noProof/>
            <w:webHidden/>
          </w:rPr>
          <w:fldChar w:fldCharType="separate"/>
        </w:r>
        <w:r w:rsidR="00A32D79">
          <w:rPr>
            <w:noProof/>
            <w:webHidden/>
          </w:rPr>
          <w:t>6</w:t>
        </w:r>
        <w:r w:rsidR="00354CFA">
          <w:rPr>
            <w:noProof/>
            <w:webHidden/>
          </w:rPr>
          <w:fldChar w:fldCharType="end"/>
        </w:r>
      </w:hyperlink>
    </w:p>
    <w:p w14:paraId="060A72E2" w14:textId="66305D74"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1" w:history="1">
        <w:r w:rsidR="00354CFA" w:rsidRPr="002D5A20">
          <w:rPr>
            <w:rStyle w:val="Hyperlink"/>
            <w:noProof/>
          </w:rPr>
          <w:t>2.2.1.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Zahlungen</w:t>
        </w:r>
        <w:r w:rsidR="00354CFA">
          <w:rPr>
            <w:noProof/>
            <w:webHidden/>
          </w:rPr>
          <w:tab/>
        </w:r>
        <w:r w:rsidR="00354CFA">
          <w:rPr>
            <w:noProof/>
            <w:webHidden/>
          </w:rPr>
          <w:fldChar w:fldCharType="begin"/>
        </w:r>
        <w:r w:rsidR="00354CFA">
          <w:rPr>
            <w:noProof/>
            <w:webHidden/>
          </w:rPr>
          <w:instrText xml:space="preserve"> PAGEREF _Toc175120251 \h </w:instrText>
        </w:r>
        <w:r w:rsidR="00354CFA">
          <w:rPr>
            <w:noProof/>
            <w:webHidden/>
          </w:rPr>
        </w:r>
        <w:r w:rsidR="00354CFA">
          <w:rPr>
            <w:noProof/>
            <w:webHidden/>
          </w:rPr>
          <w:fldChar w:fldCharType="separate"/>
        </w:r>
        <w:r w:rsidR="00A32D79">
          <w:rPr>
            <w:noProof/>
            <w:webHidden/>
          </w:rPr>
          <w:t>7</w:t>
        </w:r>
        <w:r w:rsidR="00354CFA">
          <w:rPr>
            <w:noProof/>
            <w:webHidden/>
          </w:rPr>
          <w:fldChar w:fldCharType="end"/>
        </w:r>
      </w:hyperlink>
    </w:p>
    <w:p w14:paraId="59E60D09" w14:textId="4A1B2E9C"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2" w:history="1">
        <w:r w:rsidR="00354CFA" w:rsidRPr="002D5A20">
          <w:rPr>
            <w:rStyle w:val="Hyperlink"/>
            <w:noProof/>
          </w:rPr>
          <w:t>2.2.2.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Zahlungskürzungen</w:t>
        </w:r>
        <w:r w:rsidR="00354CFA">
          <w:rPr>
            <w:noProof/>
            <w:webHidden/>
          </w:rPr>
          <w:tab/>
        </w:r>
        <w:r w:rsidR="00354CFA">
          <w:rPr>
            <w:noProof/>
            <w:webHidden/>
          </w:rPr>
          <w:fldChar w:fldCharType="begin"/>
        </w:r>
        <w:r w:rsidR="00354CFA">
          <w:rPr>
            <w:noProof/>
            <w:webHidden/>
          </w:rPr>
          <w:instrText xml:space="preserve"> PAGEREF _Toc175120252 \h </w:instrText>
        </w:r>
        <w:r w:rsidR="00354CFA">
          <w:rPr>
            <w:noProof/>
            <w:webHidden/>
          </w:rPr>
        </w:r>
        <w:r w:rsidR="00354CFA">
          <w:rPr>
            <w:noProof/>
            <w:webHidden/>
          </w:rPr>
          <w:fldChar w:fldCharType="separate"/>
        </w:r>
        <w:r w:rsidR="00A32D79">
          <w:rPr>
            <w:noProof/>
            <w:webHidden/>
          </w:rPr>
          <w:t>7</w:t>
        </w:r>
        <w:r w:rsidR="00354CFA">
          <w:rPr>
            <w:noProof/>
            <w:webHidden/>
          </w:rPr>
          <w:fldChar w:fldCharType="end"/>
        </w:r>
      </w:hyperlink>
    </w:p>
    <w:p w14:paraId="698EF04D" w14:textId="67D6FE6B"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3" w:history="1">
        <w:r w:rsidR="00354CFA" w:rsidRPr="002D5A20">
          <w:rPr>
            <w:rStyle w:val="Hyperlink"/>
            <w:noProof/>
          </w:rPr>
          <w:t>2.2.3.</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Ausgaben im Rahmen der direkten Mittelverwaltung durch die Kommission</w:t>
        </w:r>
        <w:r w:rsidR="00354CFA">
          <w:rPr>
            <w:noProof/>
            <w:webHidden/>
          </w:rPr>
          <w:tab/>
        </w:r>
        <w:r w:rsidR="00354CFA">
          <w:rPr>
            <w:noProof/>
            <w:webHidden/>
          </w:rPr>
          <w:fldChar w:fldCharType="begin"/>
        </w:r>
        <w:r w:rsidR="00354CFA">
          <w:rPr>
            <w:noProof/>
            <w:webHidden/>
          </w:rPr>
          <w:instrText xml:space="preserve"> PAGEREF _Toc175120253 \h </w:instrText>
        </w:r>
        <w:r w:rsidR="00354CFA">
          <w:rPr>
            <w:noProof/>
            <w:webHidden/>
          </w:rPr>
        </w:r>
        <w:r w:rsidR="00354CFA">
          <w:rPr>
            <w:noProof/>
            <w:webHidden/>
          </w:rPr>
          <w:fldChar w:fldCharType="separate"/>
        </w:r>
        <w:r w:rsidR="00A32D79">
          <w:rPr>
            <w:noProof/>
            <w:webHidden/>
          </w:rPr>
          <w:t>7</w:t>
        </w:r>
        <w:r w:rsidR="00354CFA">
          <w:rPr>
            <w:noProof/>
            <w:webHidden/>
          </w:rPr>
          <w:fldChar w:fldCharType="end"/>
        </w:r>
      </w:hyperlink>
    </w:p>
    <w:p w14:paraId="2BA5B89A" w14:textId="04AA7B95" w:rsidR="00354CFA" w:rsidRDefault="00BB35FD">
      <w:pPr>
        <w:pStyle w:val="TOC1"/>
        <w:rPr>
          <w:rFonts w:asciiTheme="minorHAnsi" w:eastAsiaTheme="minorEastAsia" w:hAnsiTheme="minorHAnsi" w:cstheme="minorBidi"/>
          <w:noProof/>
          <w:kern w:val="2"/>
          <w:sz w:val="22"/>
          <w:szCs w:val="22"/>
          <w:lang w:val="en-IE" w:eastAsia="en-IE"/>
          <w14:ligatures w14:val="standardContextual"/>
        </w:rPr>
      </w:pPr>
      <w:hyperlink w:anchor="_Toc175120254" w:history="1">
        <w:r w:rsidR="00354CFA" w:rsidRPr="002D5A20">
          <w:rPr>
            <w:rStyle w:val="Hyperlink"/>
            <w:noProof/>
          </w:rPr>
          <w:t>3.</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INANSPRUCHNAHME DER EGFL- UND ELER-HAUSHALTSMITTEL</w:t>
        </w:r>
        <w:r w:rsidR="00354CFA">
          <w:rPr>
            <w:noProof/>
            <w:webHidden/>
          </w:rPr>
          <w:tab/>
        </w:r>
        <w:r w:rsidR="00354CFA">
          <w:rPr>
            <w:noProof/>
            <w:webHidden/>
          </w:rPr>
          <w:fldChar w:fldCharType="begin"/>
        </w:r>
        <w:r w:rsidR="00354CFA">
          <w:rPr>
            <w:noProof/>
            <w:webHidden/>
          </w:rPr>
          <w:instrText xml:space="preserve"> PAGEREF _Toc175120254 \h </w:instrText>
        </w:r>
        <w:r w:rsidR="00354CFA">
          <w:rPr>
            <w:noProof/>
            <w:webHidden/>
          </w:rPr>
        </w:r>
        <w:r w:rsidR="00354CFA">
          <w:rPr>
            <w:noProof/>
            <w:webHidden/>
          </w:rPr>
          <w:fldChar w:fldCharType="separate"/>
        </w:r>
        <w:r w:rsidR="00A32D79">
          <w:rPr>
            <w:noProof/>
            <w:webHidden/>
          </w:rPr>
          <w:t>9</w:t>
        </w:r>
        <w:r w:rsidR="00354CFA">
          <w:rPr>
            <w:noProof/>
            <w:webHidden/>
          </w:rPr>
          <w:fldChar w:fldCharType="end"/>
        </w:r>
      </w:hyperlink>
    </w:p>
    <w:p w14:paraId="0FA7C4BD" w14:textId="750CEFED"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5" w:history="1">
        <w:r w:rsidR="00354CFA" w:rsidRPr="002D5A20">
          <w:rPr>
            <w:rStyle w:val="Hyperlink"/>
            <w:noProof/>
          </w:rPr>
          <w:t>3.1.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Europäischer Garantiefonds für die Landwirtschaft (EGFL)</w:t>
        </w:r>
        <w:r w:rsidR="00354CFA">
          <w:rPr>
            <w:noProof/>
            <w:webHidden/>
          </w:rPr>
          <w:tab/>
        </w:r>
        <w:r w:rsidR="00354CFA">
          <w:rPr>
            <w:noProof/>
            <w:webHidden/>
          </w:rPr>
          <w:fldChar w:fldCharType="begin"/>
        </w:r>
        <w:r w:rsidR="00354CFA">
          <w:rPr>
            <w:noProof/>
            <w:webHidden/>
          </w:rPr>
          <w:instrText xml:space="preserve"> PAGEREF _Toc175120255 \h </w:instrText>
        </w:r>
        <w:r w:rsidR="00354CFA">
          <w:rPr>
            <w:noProof/>
            <w:webHidden/>
          </w:rPr>
        </w:r>
        <w:r w:rsidR="00354CFA">
          <w:rPr>
            <w:noProof/>
            <w:webHidden/>
          </w:rPr>
          <w:fldChar w:fldCharType="separate"/>
        </w:r>
        <w:r w:rsidR="00A32D79">
          <w:rPr>
            <w:noProof/>
            <w:webHidden/>
          </w:rPr>
          <w:t>9</w:t>
        </w:r>
        <w:r w:rsidR="00354CFA">
          <w:rPr>
            <w:noProof/>
            <w:webHidden/>
          </w:rPr>
          <w:fldChar w:fldCharType="end"/>
        </w:r>
      </w:hyperlink>
    </w:p>
    <w:p w14:paraId="32334381" w14:textId="73837B5F"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6" w:history="1">
        <w:r w:rsidR="00354CFA" w:rsidRPr="002D5A20">
          <w:rPr>
            <w:rStyle w:val="Hyperlink"/>
            <w:noProof/>
          </w:rPr>
          <w:t>3.2.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Europäischer Landwirtschaftsfonds für die Entwicklung des ländlichen Raums (ELER) und Aufbauinstrument der Europäischen Union (EURI)</w:t>
        </w:r>
        <w:r w:rsidR="00354CFA">
          <w:rPr>
            <w:noProof/>
            <w:webHidden/>
          </w:rPr>
          <w:tab/>
        </w:r>
        <w:r w:rsidR="00354CFA">
          <w:rPr>
            <w:noProof/>
            <w:webHidden/>
          </w:rPr>
          <w:fldChar w:fldCharType="begin"/>
        </w:r>
        <w:r w:rsidR="00354CFA">
          <w:rPr>
            <w:noProof/>
            <w:webHidden/>
          </w:rPr>
          <w:instrText xml:space="preserve"> PAGEREF _Toc175120256 \h </w:instrText>
        </w:r>
        <w:r w:rsidR="00354CFA">
          <w:rPr>
            <w:noProof/>
            <w:webHidden/>
          </w:rPr>
        </w:r>
        <w:r w:rsidR="00354CFA">
          <w:rPr>
            <w:noProof/>
            <w:webHidden/>
          </w:rPr>
          <w:fldChar w:fldCharType="separate"/>
        </w:r>
        <w:r w:rsidR="00A32D79">
          <w:rPr>
            <w:noProof/>
            <w:webHidden/>
          </w:rPr>
          <w:t>9</w:t>
        </w:r>
        <w:r w:rsidR="00354CFA">
          <w:rPr>
            <w:noProof/>
            <w:webHidden/>
          </w:rPr>
          <w:fldChar w:fldCharType="end"/>
        </w:r>
      </w:hyperlink>
    </w:p>
    <w:p w14:paraId="73B17238" w14:textId="08363AD9" w:rsidR="00354CFA" w:rsidRDefault="00BB35FD">
      <w:pPr>
        <w:pStyle w:val="TOC1"/>
        <w:rPr>
          <w:rFonts w:asciiTheme="minorHAnsi" w:eastAsiaTheme="minorEastAsia" w:hAnsiTheme="minorHAnsi" w:cstheme="minorBidi"/>
          <w:noProof/>
          <w:kern w:val="2"/>
          <w:sz w:val="22"/>
          <w:szCs w:val="22"/>
          <w:lang w:val="en-IE" w:eastAsia="en-IE"/>
          <w14:ligatures w14:val="standardContextual"/>
        </w:rPr>
      </w:pPr>
      <w:hyperlink w:anchor="_Toc175120257" w:history="1">
        <w:r w:rsidR="00354CFA" w:rsidRPr="002D5A20">
          <w:rPr>
            <w:rStyle w:val="Hyperlink"/>
            <w:noProof/>
          </w:rPr>
          <w:t>4.</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KONTROLLMAẞNAHMEN</w:t>
        </w:r>
        <w:r w:rsidR="00354CFA">
          <w:rPr>
            <w:noProof/>
            <w:webHidden/>
          </w:rPr>
          <w:tab/>
        </w:r>
        <w:r w:rsidR="00354CFA">
          <w:rPr>
            <w:noProof/>
            <w:webHidden/>
          </w:rPr>
          <w:fldChar w:fldCharType="begin"/>
        </w:r>
        <w:r w:rsidR="00354CFA">
          <w:rPr>
            <w:noProof/>
            <w:webHidden/>
          </w:rPr>
          <w:instrText xml:space="preserve"> PAGEREF _Toc175120257 \h </w:instrText>
        </w:r>
        <w:r w:rsidR="00354CFA">
          <w:rPr>
            <w:noProof/>
            <w:webHidden/>
          </w:rPr>
        </w:r>
        <w:r w:rsidR="00354CFA">
          <w:rPr>
            <w:noProof/>
            <w:webHidden/>
          </w:rPr>
          <w:fldChar w:fldCharType="separate"/>
        </w:r>
        <w:r w:rsidR="00A32D79">
          <w:rPr>
            <w:noProof/>
            <w:webHidden/>
          </w:rPr>
          <w:t>12</w:t>
        </w:r>
        <w:r w:rsidR="00354CFA">
          <w:rPr>
            <w:noProof/>
            <w:webHidden/>
          </w:rPr>
          <w:fldChar w:fldCharType="end"/>
        </w:r>
      </w:hyperlink>
    </w:p>
    <w:p w14:paraId="7977BDAF" w14:textId="740495CE"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8" w:history="1">
        <w:r w:rsidR="00354CFA" w:rsidRPr="002D5A20">
          <w:rPr>
            <w:rStyle w:val="Hyperlink"/>
            <w:noProof/>
          </w:rPr>
          <w:t>4.1.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Einleitung</w:t>
        </w:r>
        <w:r w:rsidR="00354CFA">
          <w:rPr>
            <w:noProof/>
            <w:webHidden/>
          </w:rPr>
          <w:tab/>
        </w:r>
        <w:r w:rsidR="00354CFA">
          <w:rPr>
            <w:noProof/>
            <w:webHidden/>
          </w:rPr>
          <w:fldChar w:fldCharType="begin"/>
        </w:r>
        <w:r w:rsidR="00354CFA">
          <w:rPr>
            <w:noProof/>
            <w:webHidden/>
          </w:rPr>
          <w:instrText xml:space="preserve"> PAGEREF _Toc175120258 \h </w:instrText>
        </w:r>
        <w:r w:rsidR="00354CFA">
          <w:rPr>
            <w:noProof/>
            <w:webHidden/>
          </w:rPr>
        </w:r>
        <w:r w:rsidR="00354CFA">
          <w:rPr>
            <w:noProof/>
            <w:webHidden/>
          </w:rPr>
          <w:fldChar w:fldCharType="separate"/>
        </w:r>
        <w:r w:rsidR="00A32D79">
          <w:rPr>
            <w:noProof/>
            <w:webHidden/>
          </w:rPr>
          <w:t>12</w:t>
        </w:r>
        <w:r w:rsidR="00354CFA">
          <w:rPr>
            <w:noProof/>
            <w:webHidden/>
          </w:rPr>
          <w:fldChar w:fldCharType="end"/>
        </w:r>
      </w:hyperlink>
    </w:p>
    <w:p w14:paraId="01B4DFC9" w14:textId="212B3763"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59" w:history="1">
        <w:r w:rsidR="00354CFA" w:rsidRPr="002D5A20">
          <w:rPr>
            <w:rStyle w:val="Hyperlink"/>
            <w:noProof/>
          </w:rPr>
          <w:t>4.2.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Integriertes Verwaltungs- und Kontrollsystem (IVKS)</w:t>
        </w:r>
        <w:r w:rsidR="00354CFA">
          <w:rPr>
            <w:noProof/>
            <w:webHidden/>
          </w:rPr>
          <w:tab/>
        </w:r>
        <w:r w:rsidR="00354CFA">
          <w:rPr>
            <w:noProof/>
            <w:webHidden/>
          </w:rPr>
          <w:fldChar w:fldCharType="begin"/>
        </w:r>
        <w:r w:rsidR="00354CFA">
          <w:rPr>
            <w:noProof/>
            <w:webHidden/>
          </w:rPr>
          <w:instrText xml:space="preserve"> PAGEREF _Toc175120259 \h </w:instrText>
        </w:r>
        <w:r w:rsidR="00354CFA">
          <w:rPr>
            <w:noProof/>
            <w:webHidden/>
          </w:rPr>
        </w:r>
        <w:r w:rsidR="00354CFA">
          <w:rPr>
            <w:noProof/>
            <w:webHidden/>
          </w:rPr>
          <w:fldChar w:fldCharType="separate"/>
        </w:r>
        <w:r w:rsidR="00A32D79">
          <w:rPr>
            <w:noProof/>
            <w:webHidden/>
          </w:rPr>
          <w:t>12</w:t>
        </w:r>
        <w:r w:rsidR="00354CFA">
          <w:rPr>
            <w:noProof/>
            <w:webHidden/>
          </w:rPr>
          <w:fldChar w:fldCharType="end"/>
        </w:r>
      </w:hyperlink>
    </w:p>
    <w:p w14:paraId="12F9C337" w14:textId="06373224"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60" w:history="1">
        <w:r w:rsidR="00354CFA" w:rsidRPr="002D5A20">
          <w:rPr>
            <w:rStyle w:val="Hyperlink"/>
            <w:noProof/>
          </w:rPr>
          <w:t>4.3.</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Anwendung von Titel V Kapitel III der Verordnung (EU) Nr. 1306/2013 und Titel IV Kapitel III der Verordnung (EU) 2021/2116 (Prüfung von Geschäftsvorgängen)</w:t>
        </w:r>
        <w:r w:rsidR="00354CFA">
          <w:rPr>
            <w:noProof/>
            <w:webHidden/>
          </w:rPr>
          <w:tab/>
        </w:r>
        <w:r w:rsidR="00354CFA">
          <w:rPr>
            <w:noProof/>
            <w:webHidden/>
          </w:rPr>
          <w:fldChar w:fldCharType="begin"/>
        </w:r>
        <w:r w:rsidR="00354CFA">
          <w:rPr>
            <w:noProof/>
            <w:webHidden/>
          </w:rPr>
          <w:instrText xml:space="preserve"> PAGEREF _Toc175120260 \h </w:instrText>
        </w:r>
        <w:r w:rsidR="00354CFA">
          <w:rPr>
            <w:noProof/>
            <w:webHidden/>
          </w:rPr>
        </w:r>
        <w:r w:rsidR="00354CFA">
          <w:rPr>
            <w:noProof/>
            <w:webHidden/>
          </w:rPr>
          <w:fldChar w:fldCharType="separate"/>
        </w:r>
        <w:r w:rsidR="00A32D79">
          <w:rPr>
            <w:noProof/>
            <w:webHidden/>
          </w:rPr>
          <w:t>13</w:t>
        </w:r>
        <w:r w:rsidR="00354CFA">
          <w:rPr>
            <w:noProof/>
            <w:webHidden/>
          </w:rPr>
          <w:fldChar w:fldCharType="end"/>
        </w:r>
      </w:hyperlink>
    </w:p>
    <w:p w14:paraId="12C2DA5F" w14:textId="0E995DDE" w:rsidR="00354CFA" w:rsidRDefault="00BB35FD">
      <w:pPr>
        <w:pStyle w:val="TOC1"/>
        <w:rPr>
          <w:rFonts w:asciiTheme="minorHAnsi" w:eastAsiaTheme="minorEastAsia" w:hAnsiTheme="minorHAnsi" w:cstheme="minorBidi"/>
          <w:noProof/>
          <w:kern w:val="2"/>
          <w:sz w:val="22"/>
          <w:szCs w:val="22"/>
          <w:lang w:val="en-IE" w:eastAsia="en-IE"/>
          <w14:ligatures w14:val="standardContextual"/>
        </w:rPr>
      </w:pPr>
      <w:hyperlink w:anchor="_Toc175120261" w:history="1">
        <w:r w:rsidR="00354CFA" w:rsidRPr="002D5A20">
          <w:rPr>
            <w:rStyle w:val="Hyperlink"/>
            <w:noProof/>
          </w:rPr>
          <w:t>5.</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RECHNUNGSABSCHLUSS</w:t>
        </w:r>
        <w:r w:rsidR="00354CFA">
          <w:rPr>
            <w:noProof/>
            <w:webHidden/>
          </w:rPr>
          <w:tab/>
        </w:r>
        <w:r w:rsidR="00354CFA">
          <w:rPr>
            <w:noProof/>
            <w:webHidden/>
          </w:rPr>
          <w:fldChar w:fldCharType="begin"/>
        </w:r>
        <w:r w:rsidR="00354CFA">
          <w:rPr>
            <w:noProof/>
            <w:webHidden/>
          </w:rPr>
          <w:instrText xml:space="preserve"> PAGEREF _Toc175120261 \h </w:instrText>
        </w:r>
        <w:r w:rsidR="00354CFA">
          <w:rPr>
            <w:noProof/>
            <w:webHidden/>
          </w:rPr>
        </w:r>
        <w:r w:rsidR="00354CFA">
          <w:rPr>
            <w:noProof/>
            <w:webHidden/>
          </w:rPr>
          <w:fldChar w:fldCharType="separate"/>
        </w:r>
        <w:r w:rsidR="00A32D79">
          <w:rPr>
            <w:noProof/>
            <w:webHidden/>
          </w:rPr>
          <w:t>13</w:t>
        </w:r>
        <w:r w:rsidR="00354CFA">
          <w:rPr>
            <w:noProof/>
            <w:webHidden/>
          </w:rPr>
          <w:fldChar w:fldCharType="end"/>
        </w:r>
      </w:hyperlink>
    </w:p>
    <w:p w14:paraId="58401A45" w14:textId="5F7CC7BF"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62" w:history="1">
        <w:r w:rsidR="00354CFA" w:rsidRPr="002D5A20">
          <w:rPr>
            <w:rStyle w:val="Hyperlink"/>
            <w:noProof/>
          </w:rPr>
          <w:t>5.1.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Konformitätsabschluss</w:t>
        </w:r>
        <w:r w:rsidR="00354CFA">
          <w:rPr>
            <w:noProof/>
            <w:webHidden/>
          </w:rPr>
          <w:tab/>
        </w:r>
        <w:r w:rsidR="00354CFA">
          <w:rPr>
            <w:noProof/>
            <w:webHidden/>
          </w:rPr>
          <w:fldChar w:fldCharType="begin"/>
        </w:r>
        <w:r w:rsidR="00354CFA">
          <w:rPr>
            <w:noProof/>
            <w:webHidden/>
          </w:rPr>
          <w:instrText xml:space="preserve"> PAGEREF _Toc175120262 \h </w:instrText>
        </w:r>
        <w:r w:rsidR="00354CFA">
          <w:rPr>
            <w:noProof/>
            <w:webHidden/>
          </w:rPr>
        </w:r>
        <w:r w:rsidR="00354CFA">
          <w:rPr>
            <w:noProof/>
            <w:webHidden/>
          </w:rPr>
          <w:fldChar w:fldCharType="separate"/>
        </w:r>
        <w:r w:rsidR="00A32D79">
          <w:rPr>
            <w:noProof/>
            <w:webHidden/>
          </w:rPr>
          <w:t>13</w:t>
        </w:r>
        <w:r w:rsidR="00354CFA">
          <w:rPr>
            <w:noProof/>
            <w:webHidden/>
          </w:rPr>
          <w:fldChar w:fldCharType="end"/>
        </w:r>
      </w:hyperlink>
    </w:p>
    <w:p w14:paraId="2E3CA5E7" w14:textId="32EB6C23"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63" w:history="1">
        <w:r w:rsidR="00354CFA" w:rsidRPr="002D5A20">
          <w:rPr>
            <w:rStyle w:val="Hyperlink"/>
            <w:noProof/>
          </w:rPr>
          <w:t>5.2.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Rechnungsabschluss</w:t>
        </w:r>
        <w:r w:rsidR="00354CFA">
          <w:rPr>
            <w:noProof/>
            <w:webHidden/>
          </w:rPr>
          <w:tab/>
        </w:r>
        <w:r w:rsidR="00354CFA">
          <w:rPr>
            <w:noProof/>
            <w:webHidden/>
          </w:rPr>
          <w:fldChar w:fldCharType="begin"/>
        </w:r>
        <w:r w:rsidR="00354CFA">
          <w:rPr>
            <w:noProof/>
            <w:webHidden/>
          </w:rPr>
          <w:instrText xml:space="preserve"> PAGEREF _Toc175120263 \h </w:instrText>
        </w:r>
        <w:r w:rsidR="00354CFA">
          <w:rPr>
            <w:noProof/>
            <w:webHidden/>
          </w:rPr>
        </w:r>
        <w:r w:rsidR="00354CFA">
          <w:rPr>
            <w:noProof/>
            <w:webHidden/>
          </w:rPr>
          <w:fldChar w:fldCharType="separate"/>
        </w:r>
        <w:r w:rsidR="00A32D79">
          <w:rPr>
            <w:noProof/>
            <w:webHidden/>
          </w:rPr>
          <w:t>15</w:t>
        </w:r>
        <w:r w:rsidR="00354CFA">
          <w:rPr>
            <w:noProof/>
            <w:webHidden/>
          </w:rPr>
          <w:fldChar w:fldCharType="end"/>
        </w:r>
      </w:hyperlink>
    </w:p>
    <w:p w14:paraId="67B56AC7" w14:textId="7EE1115B"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64" w:history="1">
        <w:r w:rsidR="00354CFA" w:rsidRPr="002D5A20">
          <w:rPr>
            <w:rStyle w:val="Hyperlink"/>
            <w:noProof/>
          </w:rPr>
          <w:t>5.3.</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Beim Gerichtshof der Europäischen Union gegen Abschlussbeschlüsse eingelegte Beschwerden</w:t>
        </w:r>
        <w:r w:rsidR="00354CFA">
          <w:rPr>
            <w:noProof/>
            <w:webHidden/>
          </w:rPr>
          <w:tab/>
        </w:r>
        <w:r w:rsidR="00354CFA">
          <w:rPr>
            <w:noProof/>
            <w:webHidden/>
          </w:rPr>
          <w:fldChar w:fldCharType="begin"/>
        </w:r>
        <w:r w:rsidR="00354CFA">
          <w:rPr>
            <w:noProof/>
            <w:webHidden/>
          </w:rPr>
          <w:instrText xml:space="preserve"> PAGEREF _Toc175120264 \h </w:instrText>
        </w:r>
        <w:r w:rsidR="00354CFA">
          <w:rPr>
            <w:noProof/>
            <w:webHidden/>
          </w:rPr>
        </w:r>
        <w:r w:rsidR="00354CFA">
          <w:rPr>
            <w:noProof/>
            <w:webHidden/>
          </w:rPr>
          <w:fldChar w:fldCharType="separate"/>
        </w:r>
        <w:r w:rsidR="00A32D79">
          <w:rPr>
            <w:noProof/>
            <w:webHidden/>
          </w:rPr>
          <w:t>15</w:t>
        </w:r>
        <w:r w:rsidR="00354CFA">
          <w:rPr>
            <w:noProof/>
            <w:webHidden/>
          </w:rPr>
          <w:fldChar w:fldCharType="end"/>
        </w:r>
      </w:hyperlink>
    </w:p>
    <w:p w14:paraId="35CE48A8" w14:textId="5FD4A51A" w:rsidR="00354CFA" w:rsidRDefault="00BB35FD">
      <w:pPr>
        <w:pStyle w:val="TOC1"/>
        <w:rPr>
          <w:rFonts w:asciiTheme="minorHAnsi" w:eastAsiaTheme="minorEastAsia" w:hAnsiTheme="minorHAnsi" w:cstheme="minorBidi"/>
          <w:noProof/>
          <w:kern w:val="2"/>
          <w:sz w:val="22"/>
          <w:szCs w:val="22"/>
          <w:lang w:val="en-IE" w:eastAsia="en-IE"/>
          <w14:ligatures w14:val="standardContextual"/>
        </w:rPr>
      </w:pPr>
      <w:hyperlink w:anchor="_Toc175120265" w:history="1">
        <w:r w:rsidR="00354CFA" w:rsidRPr="002D5A20">
          <w:rPr>
            <w:rStyle w:val="Hyperlink"/>
            <w:noProof/>
          </w:rPr>
          <w:t>6.</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BEZIEHUNGEN ZUM PARLAMENT UND ZUM EUROPÄISCHEN RECHNUNGSHOF</w:t>
        </w:r>
        <w:r w:rsidR="00354CFA">
          <w:rPr>
            <w:noProof/>
            <w:webHidden/>
          </w:rPr>
          <w:tab/>
        </w:r>
        <w:r w:rsidR="00354CFA">
          <w:rPr>
            <w:noProof/>
            <w:webHidden/>
          </w:rPr>
          <w:fldChar w:fldCharType="begin"/>
        </w:r>
        <w:r w:rsidR="00354CFA">
          <w:rPr>
            <w:noProof/>
            <w:webHidden/>
          </w:rPr>
          <w:instrText xml:space="preserve"> PAGEREF _Toc175120265 \h </w:instrText>
        </w:r>
        <w:r w:rsidR="00354CFA">
          <w:rPr>
            <w:noProof/>
            <w:webHidden/>
          </w:rPr>
        </w:r>
        <w:r w:rsidR="00354CFA">
          <w:rPr>
            <w:noProof/>
            <w:webHidden/>
          </w:rPr>
          <w:fldChar w:fldCharType="separate"/>
        </w:r>
        <w:r w:rsidR="00A32D79">
          <w:rPr>
            <w:noProof/>
            <w:webHidden/>
          </w:rPr>
          <w:t>16</w:t>
        </w:r>
        <w:r w:rsidR="00354CFA">
          <w:rPr>
            <w:noProof/>
            <w:webHidden/>
          </w:rPr>
          <w:fldChar w:fldCharType="end"/>
        </w:r>
      </w:hyperlink>
    </w:p>
    <w:p w14:paraId="45C6323E" w14:textId="456CF9C0"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66" w:history="1">
        <w:r w:rsidR="00354CFA" w:rsidRPr="002D5A20">
          <w:rPr>
            <w:rStyle w:val="Hyperlink"/>
            <w:noProof/>
          </w:rPr>
          <w:t>6.1.</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Beziehungen zum Parlament</w:t>
        </w:r>
        <w:r w:rsidR="00354CFA">
          <w:rPr>
            <w:noProof/>
            <w:webHidden/>
          </w:rPr>
          <w:tab/>
        </w:r>
        <w:r w:rsidR="00354CFA">
          <w:rPr>
            <w:noProof/>
            <w:webHidden/>
          </w:rPr>
          <w:fldChar w:fldCharType="begin"/>
        </w:r>
        <w:r w:rsidR="00354CFA">
          <w:rPr>
            <w:noProof/>
            <w:webHidden/>
          </w:rPr>
          <w:instrText xml:space="preserve"> PAGEREF _Toc175120266 \h </w:instrText>
        </w:r>
        <w:r w:rsidR="00354CFA">
          <w:rPr>
            <w:noProof/>
            <w:webHidden/>
          </w:rPr>
        </w:r>
        <w:r w:rsidR="00354CFA">
          <w:rPr>
            <w:noProof/>
            <w:webHidden/>
          </w:rPr>
          <w:fldChar w:fldCharType="separate"/>
        </w:r>
        <w:r w:rsidR="00A32D79">
          <w:rPr>
            <w:noProof/>
            <w:webHidden/>
          </w:rPr>
          <w:t>16</w:t>
        </w:r>
        <w:r w:rsidR="00354CFA">
          <w:rPr>
            <w:noProof/>
            <w:webHidden/>
          </w:rPr>
          <w:fldChar w:fldCharType="end"/>
        </w:r>
      </w:hyperlink>
    </w:p>
    <w:p w14:paraId="5F824CDD" w14:textId="6274CB38" w:rsidR="00354CFA" w:rsidRDefault="00BB35FD">
      <w:pPr>
        <w:pStyle w:val="TOC2"/>
        <w:rPr>
          <w:rFonts w:asciiTheme="minorHAnsi" w:eastAsiaTheme="minorEastAsia" w:hAnsiTheme="minorHAnsi" w:cstheme="minorBidi"/>
          <w:noProof/>
          <w:kern w:val="2"/>
          <w:sz w:val="22"/>
          <w:szCs w:val="22"/>
          <w:lang w:val="en-IE" w:eastAsia="en-IE"/>
          <w14:ligatures w14:val="standardContextual"/>
        </w:rPr>
      </w:pPr>
      <w:hyperlink w:anchor="_Toc175120267" w:history="1">
        <w:r w:rsidR="00354CFA" w:rsidRPr="002D5A20">
          <w:rPr>
            <w:rStyle w:val="Hyperlink"/>
            <w:noProof/>
          </w:rPr>
          <w:t>6.2.</w:t>
        </w:r>
        <w:r w:rsidR="00354CFA">
          <w:rPr>
            <w:rFonts w:asciiTheme="minorHAnsi" w:eastAsiaTheme="minorEastAsia" w:hAnsiTheme="minorHAnsi" w:cstheme="minorBidi"/>
            <w:noProof/>
            <w:kern w:val="2"/>
            <w:sz w:val="22"/>
            <w:szCs w:val="22"/>
            <w:lang w:val="en-IE" w:eastAsia="en-IE"/>
            <w14:ligatures w14:val="standardContextual"/>
          </w:rPr>
          <w:tab/>
        </w:r>
        <w:r w:rsidR="00354CFA" w:rsidRPr="002D5A20">
          <w:rPr>
            <w:rStyle w:val="Hyperlink"/>
            <w:noProof/>
          </w:rPr>
          <w:t>Beziehungen zum Europäischen Rechnungshof</w:t>
        </w:r>
        <w:r w:rsidR="00354CFA">
          <w:rPr>
            <w:noProof/>
            <w:webHidden/>
          </w:rPr>
          <w:tab/>
        </w:r>
        <w:r w:rsidR="00354CFA">
          <w:rPr>
            <w:noProof/>
            <w:webHidden/>
          </w:rPr>
          <w:fldChar w:fldCharType="begin"/>
        </w:r>
        <w:r w:rsidR="00354CFA">
          <w:rPr>
            <w:noProof/>
            <w:webHidden/>
          </w:rPr>
          <w:instrText xml:space="preserve"> PAGEREF _Toc175120267 \h </w:instrText>
        </w:r>
        <w:r w:rsidR="00354CFA">
          <w:rPr>
            <w:noProof/>
            <w:webHidden/>
          </w:rPr>
        </w:r>
        <w:r w:rsidR="00354CFA">
          <w:rPr>
            <w:noProof/>
            <w:webHidden/>
          </w:rPr>
          <w:fldChar w:fldCharType="separate"/>
        </w:r>
        <w:r w:rsidR="00A32D79">
          <w:rPr>
            <w:noProof/>
            <w:webHidden/>
          </w:rPr>
          <w:t>16</w:t>
        </w:r>
        <w:r w:rsidR="00354CFA">
          <w:rPr>
            <w:noProof/>
            <w:webHidden/>
          </w:rPr>
          <w:fldChar w:fldCharType="end"/>
        </w:r>
      </w:hyperlink>
    </w:p>
    <w:p w14:paraId="1C394450" w14:textId="24CB9A0C" w:rsidR="6AF0C460" w:rsidRDefault="6AF0C460" w:rsidP="00D006F7">
      <w:pPr>
        <w:pStyle w:val="TOC1"/>
        <w:rPr>
          <w:noProof/>
        </w:rPr>
      </w:pPr>
      <w:r>
        <w:rPr>
          <w:noProof/>
        </w:rPr>
        <w:fldChar w:fldCharType="end"/>
      </w:r>
    </w:p>
    <w:p w14:paraId="7894AD69" w14:textId="5F380060" w:rsidR="00A44A15" w:rsidRDefault="00A44A15" w:rsidP="00A44A15">
      <w:pPr>
        <w:pStyle w:val="TOCHeading"/>
        <w:rPr>
          <w:noProof/>
        </w:rPr>
        <w:sectPr w:rsidR="00A44A15">
          <w:headerReference w:type="even" r:id="rId18"/>
          <w:headerReference w:type="default" r:id="rId19"/>
          <w:footerReference w:type="even" r:id="rId20"/>
          <w:footerReference w:type="default" r:id="rId21"/>
          <w:headerReference w:type="first" r:id="rId22"/>
          <w:footerReference w:type="first" r:id="rId23"/>
          <w:pgSz w:w="11906" w:h="16838" w:code="9"/>
          <w:pgMar w:top="1106" w:right="1389" w:bottom="1077" w:left="1389" w:header="680" w:footer="624" w:gutter="0"/>
          <w:pgNumType w:start="1"/>
          <w:cols w:space="720"/>
          <w:docGrid w:linePitch="326"/>
        </w:sectPr>
      </w:pPr>
    </w:p>
    <w:p w14:paraId="7ACD9532" w14:textId="77777777" w:rsidR="00A44A15" w:rsidRDefault="00A44A15" w:rsidP="00990270">
      <w:pPr>
        <w:pStyle w:val="ManualHeading1"/>
        <w:spacing w:after="160"/>
        <w:ind w:left="851" w:hanging="851"/>
        <w:rPr>
          <w:noProof/>
        </w:rPr>
      </w:pPr>
      <w:bookmarkStart w:id="2" w:name="_Toc322938550"/>
      <w:bookmarkStart w:id="3" w:name="_Toc102661828"/>
      <w:bookmarkStart w:id="4" w:name="_Toc105773176"/>
      <w:bookmarkStart w:id="5" w:name="_Toc175120242"/>
      <w:r>
        <w:rPr>
          <w:noProof/>
        </w:rPr>
        <w:t>1.</w:t>
      </w:r>
      <w:r>
        <w:rPr>
          <w:noProof/>
        </w:rPr>
        <w:tab/>
        <w:t>HAUSHALTSVERFAHREN</w:t>
      </w:r>
      <w:bookmarkEnd w:id="2"/>
      <w:bookmarkEnd w:id="3"/>
      <w:bookmarkEnd w:id="4"/>
      <w:bookmarkEnd w:id="5"/>
    </w:p>
    <w:p w14:paraId="3F89FF47" w14:textId="34C347E8" w:rsidR="00410DE1" w:rsidRPr="00D006F7" w:rsidRDefault="00927A58" w:rsidP="00D006F7">
      <w:pPr>
        <w:pStyle w:val="Text1"/>
      </w:pPr>
      <w:r>
        <w:t>Mit der reformierten GAP für den Zeitraum 2023–2027 wurde ein strategischer Ansatz eingeführt sowie ein neues Umsetzungsmodell, das sich auf Leistung und Ergebnisse konzentriert. Die beiden bestehenden Fonds – der Europäische Garantiefonds für die Landwirtschaft (EGFL) und der Europäische Landwirtschaftsfonds für die Entwicklung des ländlichen Raums (ELER) – wurden mit der neuen GAP unter dem gemeinsamen Dach der GAP-Strategiepläne konsolidiert, die die Finanzierung der Einkommensstützung, der Entwicklung des ländlichen Raums und der Unterstützung bestimmter Sektoren abdecken. 2023 war das erste Jahr der Durchführung der GAP-Strategiepläne.</w:t>
      </w:r>
    </w:p>
    <w:p w14:paraId="3BE18957" w14:textId="77777777" w:rsidR="00A44A15" w:rsidRDefault="00A44A15" w:rsidP="00990270">
      <w:pPr>
        <w:pStyle w:val="ManualHeading2"/>
        <w:spacing w:before="360" w:after="160"/>
        <w:ind w:left="851" w:hanging="851"/>
        <w:rPr>
          <w:noProof/>
        </w:rPr>
      </w:pPr>
      <w:bookmarkStart w:id="6" w:name="_Toc322938551"/>
      <w:bookmarkStart w:id="7" w:name="_Toc102661829"/>
      <w:bookmarkStart w:id="8" w:name="_Toc105773177"/>
      <w:bookmarkStart w:id="9" w:name="_Toc175120243"/>
      <w:r>
        <w:rPr>
          <w:noProof/>
        </w:rPr>
        <w:t>1.1.</w:t>
      </w:r>
      <w:r>
        <w:rPr>
          <w:noProof/>
        </w:rPr>
        <w:tab/>
        <w:t>Finanzrahmen 2021–2027</w:t>
      </w:r>
      <w:bookmarkEnd w:id="6"/>
      <w:bookmarkEnd w:id="7"/>
      <w:bookmarkEnd w:id="8"/>
      <w:bookmarkEnd w:id="9"/>
      <w:r>
        <w:rPr>
          <w:noProof/>
        </w:rPr>
        <w:t xml:space="preserve"> </w:t>
      </w:r>
    </w:p>
    <w:p w14:paraId="565E90EA" w14:textId="364C088D" w:rsidR="00A44A15" w:rsidRDefault="00A44A15" w:rsidP="00A44A15">
      <w:pPr>
        <w:pStyle w:val="Text1"/>
      </w:pPr>
      <w:r>
        <w:t>Die Ausgaben der Gemeinsamen Agrarpolitik (GAP) werden innerhalb des mehrjährigen Finanzrahmens (MFR) für die Jahre 2021–2027 finanziert, der mit der Verordnung (EU, Euratom) 2020/2093 des Rates</w:t>
      </w:r>
      <w:r>
        <w:rPr>
          <w:vertAlign w:val="superscript"/>
        </w:rPr>
        <w:footnoteReference w:id="2"/>
      </w:r>
      <w:r>
        <w:t xml:space="preserve"> festgelegt wurde. Die GAP-Ausgaben fallen unter die für die Rubrik 3 – Natürliche Ressourcen und Umwelt – festgelegte Obergrenze. Innerhalb dieser Gesamtobergrenze wurde eine spezifische Teilobergrenze für marktbezogene Ausgaben und Direktzahlungen festgelegt, die aus dem Europäischen Garantiefonds für die Landwirtschaft (EGFL) finanziert werden.</w:t>
      </w:r>
    </w:p>
    <w:p w14:paraId="04EA57B3" w14:textId="5DD38D43" w:rsidR="00A44A15" w:rsidRDefault="1BFC6801" w:rsidP="00A44A15">
      <w:pPr>
        <w:pStyle w:val="Text1"/>
      </w:pPr>
      <w:r>
        <w:t>Infolge der Übertragung bestimmter Beträge von den Direktzahlungen auf die aus dem Europäischen Landwirtschaftsfonds für die Entwicklung des ländlichen Raums (ELER) finanzierte Entwicklung des ländlichen Raums sowie der Übertragung von der Entwicklung des ländlichen Raums auf Direktzahlungen wurde die Teilobergrenze des EGFL angepasst. Darüber hinaus wurden gemäß der Verordnung (EU, Euratom) 2024/765 des Rates</w:t>
      </w:r>
      <w:r>
        <w:rPr>
          <w:rStyle w:val="FootnoteReference"/>
        </w:rPr>
        <w:footnoteReference w:id="3"/>
      </w:r>
      <w:r>
        <w:t xml:space="preserve"> im Rahmen der Halbzeitüberprüfung des MFR im Jahr 2024 einige Anpassungen vorgenommen. Auf der Grundlage der Durchführungsverordnung (EU) 2021/128 der Kommission</w:t>
      </w:r>
      <w:r>
        <w:rPr>
          <w:vertAlign w:val="superscript"/>
        </w:rPr>
        <w:footnoteReference w:id="4"/>
      </w:r>
      <w:r>
        <w:t xml:space="preserve">, in der der für die EGFL-Ausgaben verfügbare Nettosaldo festgelegt ist, lauten die in der Rubrik 3 des mehrjährigen Finanzrahmens (2021–2027) enthaltenen GAP-Beträge daher wie folgt: </w:t>
      </w:r>
    </w:p>
    <w:p w14:paraId="2D3316B7" w14:textId="4780096D" w:rsidR="00A44A15" w:rsidRDefault="00477026" w:rsidP="00D006F7">
      <w:pPr>
        <w:pStyle w:val="Text1"/>
        <w:rPr>
          <w:i/>
        </w:rPr>
      </w:pPr>
      <w:r>
        <w:t>Tabelle 1</w:t>
      </w:r>
      <w:r w:rsidR="00A42569">
        <w:tab/>
      </w:r>
      <w:r w:rsidR="00A42569">
        <w:tab/>
      </w:r>
      <w:r w:rsidR="00A42569">
        <w:tab/>
      </w:r>
      <w:r w:rsidR="00A42569">
        <w:tab/>
      </w:r>
      <w:r w:rsidR="00A42569">
        <w:tab/>
      </w:r>
      <w:r w:rsidR="00A42569">
        <w:tab/>
      </w:r>
      <w:r>
        <w:t xml:space="preserve"> </w:t>
      </w:r>
      <w:r>
        <w:rPr>
          <w:i/>
          <w:iCs/>
        </w:rPr>
        <w:t>(in Mio. EUR;</w:t>
      </w:r>
      <w:r>
        <w:rPr>
          <w:i/>
        </w:rPr>
        <w:t xml:space="preserve"> jeweilige Preise)</w:t>
      </w:r>
    </w:p>
    <w:tbl>
      <w:tblPr>
        <w:tblpPr w:leftFromText="180" w:rightFromText="180" w:vertAnchor="text" w:horzAnchor="page" w:tblpX="1351" w:tblpY="37"/>
        <w:tblW w:w="9600" w:type="dxa"/>
        <w:tblLook w:val="04A0" w:firstRow="1" w:lastRow="0" w:firstColumn="1" w:lastColumn="0" w:noHBand="0" w:noVBand="1"/>
      </w:tblPr>
      <w:tblGrid>
        <w:gridCol w:w="2880"/>
        <w:gridCol w:w="960"/>
        <w:gridCol w:w="960"/>
        <w:gridCol w:w="960"/>
        <w:gridCol w:w="960"/>
        <w:gridCol w:w="960"/>
        <w:gridCol w:w="960"/>
        <w:gridCol w:w="960"/>
      </w:tblGrid>
      <w:tr w:rsidR="00DB00D7" w:rsidRPr="002B5206" w14:paraId="082D2C6B" w14:textId="77777777" w:rsidTr="00B36033">
        <w:trPr>
          <w:trHeight w:val="280"/>
        </w:trPr>
        <w:tc>
          <w:tcPr>
            <w:tcW w:w="2880" w:type="dxa"/>
            <w:tcBorders>
              <w:top w:val="double" w:sz="6" w:space="0" w:color="auto"/>
              <w:left w:val="double" w:sz="6" w:space="0" w:color="auto"/>
              <w:bottom w:val="single" w:sz="8" w:space="0" w:color="auto"/>
              <w:right w:val="single" w:sz="8" w:space="0" w:color="000000"/>
            </w:tcBorders>
            <w:shd w:val="clear" w:color="000000" w:fill="99CC00"/>
            <w:vAlign w:val="center"/>
            <w:hideMark/>
          </w:tcPr>
          <w:p w14:paraId="4639C5AF" w14:textId="77777777" w:rsidR="00DB00D7" w:rsidRPr="002B5206" w:rsidRDefault="00DB00D7" w:rsidP="00B36033">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noProof/>
                <w:color w:val="000000"/>
                <w:sz w:val="20"/>
              </w:rPr>
              <w:t xml:space="preserve">Rubrik 3* </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3161B3B3"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2021</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0C37ADCD"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2022</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4F1347CC"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2023</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31B62B09"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2024</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349DCE83"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2025</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2508540E"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2026</w:t>
            </w:r>
          </w:p>
        </w:tc>
        <w:tc>
          <w:tcPr>
            <w:tcW w:w="960" w:type="dxa"/>
            <w:tcBorders>
              <w:top w:val="double" w:sz="6" w:space="0" w:color="auto"/>
              <w:left w:val="nil"/>
              <w:bottom w:val="single" w:sz="8" w:space="0" w:color="auto"/>
              <w:right w:val="double" w:sz="6" w:space="0" w:color="auto"/>
            </w:tcBorders>
            <w:shd w:val="clear" w:color="000000" w:fill="99CC00"/>
            <w:vAlign w:val="center"/>
            <w:hideMark/>
          </w:tcPr>
          <w:p w14:paraId="4B8D561B"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2027</w:t>
            </w:r>
          </w:p>
        </w:tc>
      </w:tr>
      <w:tr w:rsidR="00DB00D7" w:rsidRPr="002B5206" w14:paraId="1769C05B" w14:textId="77777777" w:rsidTr="00B36033">
        <w:trPr>
          <w:trHeight w:val="260"/>
        </w:trPr>
        <w:tc>
          <w:tcPr>
            <w:tcW w:w="2880" w:type="dxa"/>
            <w:tcBorders>
              <w:top w:val="single" w:sz="8" w:space="0" w:color="auto"/>
              <w:left w:val="double" w:sz="6" w:space="0" w:color="auto"/>
              <w:bottom w:val="nil"/>
              <w:right w:val="single" w:sz="8" w:space="0" w:color="000000"/>
            </w:tcBorders>
            <w:shd w:val="clear" w:color="auto" w:fill="auto"/>
            <w:vAlign w:val="center"/>
            <w:hideMark/>
          </w:tcPr>
          <w:p w14:paraId="480DB9D8" w14:textId="77777777" w:rsidR="00DB00D7" w:rsidRPr="002B5206" w:rsidRDefault="00DB00D7" w:rsidP="00B36033">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Insgesamt </w:t>
            </w:r>
          </w:p>
        </w:tc>
        <w:tc>
          <w:tcPr>
            <w:tcW w:w="960" w:type="dxa"/>
            <w:tcBorders>
              <w:top w:val="nil"/>
              <w:left w:val="nil"/>
              <w:bottom w:val="nil"/>
              <w:right w:val="single" w:sz="8" w:space="0" w:color="auto"/>
            </w:tcBorders>
            <w:shd w:val="clear" w:color="auto" w:fill="auto"/>
            <w:vAlign w:val="center"/>
            <w:hideMark/>
          </w:tcPr>
          <w:p w14:paraId="519F7D6B"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55 713,00</w:t>
            </w:r>
          </w:p>
        </w:tc>
        <w:tc>
          <w:tcPr>
            <w:tcW w:w="960" w:type="dxa"/>
            <w:tcBorders>
              <w:top w:val="nil"/>
              <w:left w:val="nil"/>
              <w:bottom w:val="nil"/>
              <w:right w:val="single" w:sz="8" w:space="0" w:color="auto"/>
            </w:tcBorders>
            <w:shd w:val="clear" w:color="auto" w:fill="auto"/>
            <w:vAlign w:val="center"/>
            <w:hideMark/>
          </w:tcPr>
          <w:p w14:paraId="6E9B4590"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53 365,90</w:t>
            </w:r>
          </w:p>
        </w:tc>
        <w:tc>
          <w:tcPr>
            <w:tcW w:w="960" w:type="dxa"/>
            <w:tcBorders>
              <w:top w:val="nil"/>
              <w:left w:val="nil"/>
              <w:bottom w:val="nil"/>
              <w:right w:val="single" w:sz="8" w:space="0" w:color="auto"/>
            </w:tcBorders>
            <w:shd w:val="clear" w:color="auto" w:fill="auto"/>
            <w:vAlign w:val="center"/>
            <w:hideMark/>
          </w:tcPr>
          <w:p w14:paraId="55C8A165"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53 626,90</w:t>
            </w:r>
          </w:p>
        </w:tc>
        <w:tc>
          <w:tcPr>
            <w:tcW w:w="960" w:type="dxa"/>
            <w:tcBorders>
              <w:top w:val="nil"/>
              <w:left w:val="nil"/>
              <w:bottom w:val="nil"/>
              <w:right w:val="single" w:sz="8" w:space="0" w:color="auto"/>
            </w:tcBorders>
            <w:shd w:val="clear" w:color="auto" w:fill="auto"/>
            <w:vAlign w:val="center"/>
            <w:hideMark/>
          </w:tcPr>
          <w:p w14:paraId="0CE471BE"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53 757,90</w:t>
            </w:r>
          </w:p>
        </w:tc>
        <w:tc>
          <w:tcPr>
            <w:tcW w:w="960" w:type="dxa"/>
            <w:tcBorders>
              <w:top w:val="nil"/>
              <w:left w:val="nil"/>
              <w:bottom w:val="nil"/>
              <w:right w:val="single" w:sz="8" w:space="0" w:color="auto"/>
            </w:tcBorders>
            <w:shd w:val="clear" w:color="auto" w:fill="auto"/>
            <w:vAlign w:val="center"/>
            <w:hideMark/>
          </w:tcPr>
          <w:p w14:paraId="32EC358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53 890,90</w:t>
            </w:r>
          </w:p>
        </w:tc>
        <w:tc>
          <w:tcPr>
            <w:tcW w:w="960" w:type="dxa"/>
            <w:tcBorders>
              <w:top w:val="nil"/>
              <w:left w:val="nil"/>
              <w:bottom w:val="nil"/>
              <w:right w:val="single" w:sz="8" w:space="0" w:color="auto"/>
            </w:tcBorders>
            <w:shd w:val="clear" w:color="auto" w:fill="auto"/>
            <w:vAlign w:val="center"/>
            <w:hideMark/>
          </w:tcPr>
          <w:p w14:paraId="2ACE5C0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54 021,90</w:t>
            </w:r>
          </w:p>
        </w:tc>
        <w:tc>
          <w:tcPr>
            <w:tcW w:w="960" w:type="dxa"/>
            <w:tcBorders>
              <w:top w:val="nil"/>
              <w:left w:val="nil"/>
              <w:bottom w:val="nil"/>
              <w:right w:val="double" w:sz="6" w:space="0" w:color="auto"/>
            </w:tcBorders>
            <w:shd w:val="clear" w:color="auto" w:fill="auto"/>
            <w:vAlign w:val="center"/>
            <w:hideMark/>
          </w:tcPr>
          <w:p w14:paraId="49AD462B"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54 155,90</w:t>
            </w:r>
          </w:p>
        </w:tc>
      </w:tr>
      <w:tr w:rsidR="00DB00D7" w:rsidRPr="002B5206" w14:paraId="230F2659" w14:textId="77777777" w:rsidTr="00B36033">
        <w:trPr>
          <w:trHeight w:val="260"/>
        </w:trPr>
        <w:tc>
          <w:tcPr>
            <w:tcW w:w="2880" w:type="dxa"/>
            <w:tcBorders>
              <w:top w:val="nil"/>
              <w:left w:val="double" w:sz="6" w:space="0" w:color="auto"/>
              <w:bottom w:val="nil"/>
              <w:right w:val="single" w:sz="8" w:space="0" w:color="000000"/>
            </w:tcBorders>
            <w:shd w:val="clear" w:color="auto" w:fill="auto"/>
            <w:vAlign w:val="center"/>
            <w:hideMark/>
          </w:tcPr>
          <w:p w14:paraId="4F0529A4" w14:textId="77777777" w:rsidR="00DB00D7" w:rsidRPr="002B5206" w:rsidRDefault="00DB00D7" w:rsidP="00B36033">
            <w:pPr>
              <w:spacing w:after="0" w:line="240" w:lineRule="auto"/>
              <w:rPr>
                <w:rFonts w:ascii="Times New Roman" w:eastAsia="Times New Roman" w:hAnsi="Times New Roman" w:cs="Times New Roman"/>
                <w:noProof/>
                <w:sz w:val="20"/>
                <w:szCs w:val="20"/>
              </w:rPr>
            </w:pPr>
            <w:r>
              <w:rPr>
                <w:rFonts w:ascii="Times New Roman" w:hAnsi="Times New Roman"/>
                <w:noProof/>
                <w:sz w:val="20"/>
              </w:rPr>
              <w:t>davon:</w:t>
            </w:r>
          </w:p>
        </w:tc>
        <w:tc>
          <w:tcPr>
            <w:tcW w:w="960" w:type="dxa"/>
            <w:tcBorders>
              <w:top w:val="nil"/>
              <w:left w:val="nil"/>
              <w:bottom w:val="nil"/>
              <w:right w:val="single" w:sz="8" w:space="0" w:color="auto"/>
            </w:tcBorders>
            <w:shd w:val="clear" w:color="auto" w:fill="auto"/>
            <w:vAlign w:val="center"/>
            <w:hideMark/>
          </w:tcPr>
          <w:p w14:paraId="141B567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nil"/>
              <w:right w:val="single" w:sz="8" w:space="0" w:color="auto"/>
            </w:tcBorders>
            <w:shd w:val="clear" w:color="auto" w:fill="auto"/>
            <w:vAlign w:val="center"/>
            <w:hideMark/>
          </w:tcPr>
          <w:p w14:paraId="77D0DD8E"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nil"/>
              <w:right w:val="single" w:sz="8" w:space="0" w:color="auto"/>
            </w:tcBorders>
            <w:shd w:val="clear" w:color="auto" w:fill="auto"/>
            <w:vAlign w:val="center"/>
            <w:hideMark/>
          </w:tcPr>
          <w:p w14:paraId="22D097FC"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nil"/>
              <w:right w:val="single" w:sz="8" w:space="0" w:color="auto"/>
            </w:tcBorders>
            <w:shd w:val="clear" w:color="auto" w:fill="auto"/>
            <w:vAlign w:val="center"/>
            <w:hideMark/>
          </w:tcPr>
          <w:p w14:paraId="37635AB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nil"/>
              <w:right w:val="single" w:sz="8" w:space="0" w:color="auto"/>
            </w:tcBorders>
            <w:shd w:val="clear" w:color="auto" w:fill="auto"/>
            <w:vAlign w:val="center"/>
            <w:hideMark/>
          </w:tcPr>
          <w:p w14:paraId="799BF2D9"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nil"/>
              <w:right w:val="single" w:sz="8" w:space="0" w:color="auto"/>
            </w:tcBorders>
            <w:shd w:val="clear" w:color="auto" w:fill="auto"/>
            <w:vAlign w:val="center"/>
            <w:hideMark/>
          </w:tcPr>
          <w:p w14:paraId="6EC05CE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nil"/>
              <w:right w:val="double" w:sz="6" w:space="0" w:color="auto"/>
            </w:tcBorders>
            <w:shd w:val="clear" w:color="auto" w:fill="auto"/>
            <w:vAlign w:val="center"/>
            <w:hideMark/>
          </w:tcPr>
          <w:p w14:paraId="64B8DD50"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r>
      <w:tr w:rsidR="00DB00D7" w:rsidRPr="002B5206" w14:paraId="0E75C15C" w14:textId="77777777" w:rsidTr="00B36033">
        <w:trPr>
          <w:trHeight w:val="630"/>
        </w:trPr>
        <w:tc>
          <w:tcPr>
            <w:tcW w:w="2880" w:type="dxa"/>
            <w:tcBorders>
              <w:top w:val="nil"/>
              <w:left w:val="double" w:sz="6" w:space="0" w:color="auto"/>
              <w:bottom w:val="nil"/>
              <w:right w:val="single" w:sz="8" w:space="0" w:color="000000"/>
            </w:tcBorders>
            <w:shd w:val="clear" w:color="auto" w:fill="auto"/>
            <w:vAlign w:val="center"/>
            <w:hideMark/>
          </w:tcPr>
          <w:p w14:paraId="173EE778" w14:textId="77777777" w:rsidR="00DB00D7" w:rsidRPr="002B5206" w:rsidRDefault="00DB00D7" w:rsidP="00B36033">
            <w:pPr>
              <w:spacing w:after="0" w:line="240" w:lineRule="auto"/>
              <w:rPr>
                <w:rFonts w:ascii="Times New Roman" w:eastAsia="Times New Roman" w:hAnsi="Times New Roman" w:cs="Times New Roman"/>
                <w:noProof/>
                <w:sz w:val="20"/>
                <w:szCs w:val="20"/>
              </w:rPr>
            </w:pPr>
            <w:r>
              <w:rPr>
                <w:rFonts w:ascii="Times New Roman" w:hAnsi="Times New Roman"/>
                <w:noProof/>
                <w:sz w:val="20"/>
              </w:rPr>
              <w:t>- marktbezogene Ausgaben und Direktzahlungen, a, b, c, d</w:t>
            </w:r>
          </w:p>
        </w:tc>
        <w:tc>
          <w:tcPr>
            <w:tcW w:w="960" w:type="dxa"/>
            <w:tcBorders>
              <w:top w:val="nil"/>
              <w:left w:val="nil"/>
              <w:bottom w:val="nil"/>
              <w:right w:val="single" w:sz="8" w:space="0" w:color="auto"/>
            </w:tcBorders>
            <w:shd w:val="clear" w:color="auto" w:fill="auto"/>
            <w:vAlign w:val="center"/>
            <w:hideMark/>
          </w:tcPr>
          <w:p w14:paraId="6342B6D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40 368,00</w:t>
            </w:r>
          </w:p>
        </w:tc>
        <w:tc>
          <w:tcPr>
            <w:tcW w:w="960" w:type="dxa"/>
            <w:tcBorders>
              <w:top w:val="nil"/>
              <w:left w:val="nil"/>
              <w:bottom w:val="nil"/>
              <w:right w:val="single" w:sz="8" w:space="0" w:color="auto"/>
            </w:tcBorders>
            <w:shd w:val="clear" w:color="auto" w:fill="auto"/>
            <w:vAlign w:val="center"/>
            <w:hideMark/>
          </w:tcPr>
          <w:p w14:paraId="116D448E"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40 638,20</w:t>
            </w:r>
          </w:p>
        </w:tc>
        <w:tc>
          <w:tcPr>
            <w:tcW w:w="960" w:type="dxa"/>
            <w:tcBorders>
              <w:top w:val="nil"/>
              <w:left w:val="nil"/>
              <w:bottom w:val="nil"/>
              <w:right w:val="single" w:sz="8" w:space="0" w:color="auto"/>
            </w:tcBorders>
            <w:shd w:val="clear" w:color="auto" w:fill="auto"/>
            <w:vAlign w:val="center"/>
            <w:hideMark/>
          </w:tcPr>
          <w:p w14:paraId="27EBA50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40 692,20</w:t>
            </w:r>
          </w:p>
        </w:tc>
        <w:tc>
          <w:tcPr>
            <w:tcW w:w="960" w:type="dxa"/>
            <w:tcBorders>
              <w:top w:val="nil"/>
              <w:left w:val="nil"/>
              <w:bottom w:val="nil"/>
              <w:right w:val="single" w:sz="8" w:space="0" w:color="auto"/>
            </w:tcBorders>
            <w:shd w:val="clear" w:color="auto" w:fill="auto"/>
            <w:vAlign w:val="center"/>
            <w:hideMark/>
          </w:tcPr>
          <w:p w14:paraId="16269BD1"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40 602,10</w:t>
            </w:r>
          </w:p>
        </w:tc>
        <w:tc>
          <w:tcPr>
            <w:tcW w:w="960" w:type="dxa"/>
            <w:tcBorders>
              <w:top w:val="nil"/>
              <w:left w:val="nil"/>
              <w:bottom w:val="nil"/>
              <w:right w:val="single" w:sz="8" w:space="0" w:color="auto"/>
            </w:tcBorders>
            <w:shd w:val="clear" w:color="auto" w:fill="auto"/>
            <w:vAlign w:val="center"/>
            <w:hideMark/>
          </w:tcPr>
          <w:p w14:paraId="6234631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40 528,90</w:t>
            </w:r>
          </w:p>
        </w:tc>
        <w:tc>
          <w:tcPr>
            <w:tcW w:w="960" w:type="dxa"/>
            <w:tcBorders>
              <w:top w:val="nil"/>
              <w:left w:val="nil"/>
              <w:bottom w:val="nil"/>
              <w:right w:val="single" w:sz="8" w:space="0" w:color="auto"/>
            </w:tcBorders>
            <w:shd w:val="clear" w:color="auto" w:fill="auto"/>
            <w:vAlign w:val="center"/>
            <w:hideMark/>
          </w:tcPr>
          <w:p w14:paraId="0ECA2BBF"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40 541,20</w:t>
            </w:r>
          </w:p>
        </w:tc>
        <w:tc>
          <w:tcPr>
            <w:tcW w:w="960" w:type="dxa"/>
            <w:tcBorders>
              <w:top w:val="nil"/>
              <w:left w:val="nil"/>
              <w:bottom w:val="nil"/>
              <w:right w:val="double" w:sz="6" w:space="0" w:color="auto"/>
            </w:tcBorders>
            <w:shd w:val="clear" w:color="auto" w:fill="auto"/>
            <w:vAlign w:val="center"/>
            <w:hideMark/>
          </w:tcPr>
          <w:p w14:paraId="7CFCEF50"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40 495,80</w:t>
            </w:r>
          </w:p>
        </w:tc>
      </w:tr>
      <w:tr w:rsidR="00DB00D7" w:rsidRPr="002B5206" w14:paraId="1B5D7346" w14:textId="77777777" w:rsidTr="00B36033">
        <w:trPr>
          <w:trHeight w:val="620"/>
        </w:trPr>
        <w:tc>
          <w:tcPr>
            <w:tcW w:w="2880" w:type="dxa"/>
            <w:tcBorders>
              <w:top w:val="nil"/>
              <w:left w:val="double" w:sz="6" w:space="0" w:color="auto"/>
              <w:bottom w:val="double" w:sz="6" w:space="0" w:color="auto"/>
              <w:right w:val="single" w:sz="8" w:space="0" w:color="000000"/>
            </w:tcBorders>
            <w:shd w:val="clear" w:color="auto" w:fill="auto"/>
            <w:vAlign w:val="center"/>
            <w:hideMark/>
          </w:tcPr>
          <w:p w14:paraId="56878C1C" w14:textId="77777777" w:rsidR="00DB00D7" w:rsidRPr="002B5206" w:rsidRDefault="00DB00D7" w:rsidP="00B36033">
            <w:pPr>
              <w:spacing w:after="0" w:line="240" w:lineRule="auto"/>
              <w:rPr>
                <w:rFonts w:ascii="Times New Roman" w:eastAsia="Times New Roman" w:hAnsi="Times New Roman" w:cs="Times New Roman"/>
                <w:noProof/>
                <w:sz w:val="20"/>
                <w:szCs w:val="20"/>
              </w:rPr>
            </w:pPr>
            <w:r>
              <w:rPr>
                <w:rFonts w:ascii="Times New Roman" w:hAnsi="Times New Roman"/>
                <w:noProof/>
                <w:sz w:val="20"/>
              </w:rPr>
              <w:t>- Entwicklung des ländlichen Raums a, b, c</w:t>
            </w:r>
          </w:p>
        </w:tc>
        <w:tc>
          <w:tcPr>
            <w:tcW w:w="960" w:type="dxa"/>
            <w:tcBorders>
              <w:top w:val="nil"/>
              <w:left w:val="nil"/>
              <w:bottom w:val="double" w:sz="6" w:space="0" w:color="auto"/>
              <w:right w:val="single" w:sz="8" w:space="0" w:color="auto"/>
            </w:tcBorders>
            <w:shd w:val="clear" w:color="auto" w:fill="auto"/>
            <w:vAlign w:val="center"/>
            <w:hideMark/>
          </w:tcPr>
          <w:p w14:paraId="2916F60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15 345,00</w:t>
            </w:r>
          </w:p>
        </w:tc>
        <w:tc>
          <w:tcPr>
            <w:tcW w:w="960" w:type="dxa"/>
            <w:tcBorders>
              <w:top w:val="nil"/>
              <w:left w:val="nil"/>
              <w:bottom w:val="double" w:sz="6" w:space="0" w:color="auto"/>
              <w:right w:val="single" w:sz="8" w:space="0" w:color="auto"/>
            </w:tcBorders>
            <w:shd w:val="clear" w:color="auto" w:fill="auto"/>
            <w:vAlign w:val="center"/>
            <w:hideMark/>
          </w:tcPr>
          <w:p w14:paraId="70E91493"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12 727,70</w:t>
            </w:r>
          </w:p>
        </w:tc>
        <w:tc>
          <w:tcPr>
            <w:tcW w:w="960" w:type="dxa"/>
            <w:tcBorders>
              <w:top w:val="nil"/>
              <w:left w:val="nil"/>
              <w:bottom w:val="double" w:sz="6" w:space="0" w:color="auto"/>
              <w:right w:val="single" w:sz="8" w:space="0" w:color="auto"/>
            </w:tcBorders>
            <w:shd w:val="clear" w:color="auto" w:fill="auto"/>
            <w:vAlign w:val="center"/>
            <w:hideMark/>
          </w:tcPr>
          <w:p w14:paraId="38C747C9"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12 934,70</w:t>
            </w:r>
          </w:p>
        </w:tc>
        <w:tc>
          <w:tcPr>
            <w:tcW w:w="960" w:type="dxa"/>
            <w:tcBorders>
              <w:top w:val="nil"/>
              <w:left w:val="nil"/>
              <w:bottom w:val="double" w:sz="6" w:space="0" w:color="auto"/>
              <w:right w:val="single" w:sz="8" w:space="0" w:color="auto"/>
            </w:tcBorders>
            <w:shd w:val="clear" w:color="auto" w:fill="auto"/>
            <w:vAlign w:val="center"/>
            <w:hideMark/>
          </w:tcPr>
          <w:p w14:paraId="5019B193"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13 155,80</w:t>
            </w:r>
          </w:p>
        </w:tc>
        <w:tc>
          <w:tcPr>
            <w:tcW w:w="960" w:type="dxa"/>
            <w:tcBorders>
              <w:top w:val="nil"/>
              <w:left w:val="nil"/>
              <w:bottom w:val="double" w:sz="6" w:space="0" w:color="auto"/>
              <w:right w:val="single" w:sz="8" w:space="0" w:color="auto"/>
            </w:tcBorders>
            <w:shd w:val="clear" w:color="auto" w:fill="auto"/>
            <w:vAlign w:val="center"/>
            <w:hideMark/>
          </w:tcPr>
          <w:p w14:paraId="04BE402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13 226,00</w:t>
            </w:r>
          </w:p>
        </w:tc>
        <w:tc>
          <w:tcPr>
            <w:tcW w:w="960" w:type="dxa"/>
            <w:tcBorders>
              <w:top w:val="nil"/>
              <w:left w:val="nil"/>
              <w:bottom w:val="double" w:sz="6" w:space="0" w:color="auto"/>
              <w:right w:val="single" w:sz="8" w:space="0" w:color="auto"/>
            </w:tcBorders>
            <w:shd w:val="clear" w:color="auto" w:fill="auto"/>
            <w:vAlign w:val="center"/>
            <w:hideMark/>
          </w:tcPr>
          <w:p w14:paraId="11AFD34A"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13 331,70</w:t>
            </w:r>
          </w:p>
        </w:tc>
        <w:tc>
          <w:tcPr>
            <w:tcW w:w="960" w:type="dxa"/>
            <w:tcBorders>
              <w:top w:val="nil"/>
              <w:left w:val="nil"/>
              <w:bottom w:val="double" w:sz="6" w:space="0" w:color="auto"/>
              <w:right w:val="double" w:sz="6" w:space="0" w:color="auto"/>
            </w:tcBorders>
            <w:shd w:val="clear" w:color="auto" w:fill="auto"/>
            <w:vAlign w:val="center"/>
            <w:hideMark/>
          </w:tcPr>
          <w:p w14:paraId="21497D6D"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13 505,10</w:t>
            </w:r>
          </w:p>
        </w:tc>
      </w:tr>
      <w:tr w:rsidR="00DB00D7" w:rsidRPr="002B5206" w14:paraId="6F5CD7B6" w14:textId="77777777" w:rsidTr="00B36033">
        <w:trPr>
          <w:trHeight w:val="450"/>
        </w:trPr>
        <w:tc>
          <w:tcPr>
            <w:tcW w:w="2880" w:type="dxa"/>
            <w:tcBorders>
              <w:top w:val="double" w:sz="6" w:space="0" w:color="auto"/>
              <w:left w:val="double" w:sz="6" w:space="0" w:color="auto"/>
              <w:bottom w:val="single" w:sz="8" w:space="0" w:color="auto"/>
              <w:right w:val="single" w:sz="8" w:space="0" w:color="000000"/>
            </w:tcBorders>
            <w:shd w:val="clear" w:color="000000" w:fill="99CC00"/>
            <w:vAlign w:val="center"/>
            <w:hideMark/>
          </w:tcPr>
          <w:p w14:paraId="6B1C1281" w14:textId="77777777" w:rsidR="00DB00D7" w:rsidRPr="002B5206" w:rsidRDefault="00DB00D7" w:rsidP="00B36033">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noProof/>
                <w:color w:val="000000"/>
                <w:sz w:val="20"/>
              </w:rPr>
              <w:t xml:space="preserve">Externe zweckgebundene Einnahmen </w:t>
            </w:r>
          </w:p>
        </w:tc>
        <w:tc>
          <w:tcPr>
            <w:tcW w:w="960" w:type="dxa"/>
            <w:tcBorders>
              <w:top w:val="nil"/>
              <w:left w:val="nil"/>
              <w:bottom w:val="single" w:sz="8" w:space="0" w:color="auto"/>
              <w:right w:val="single" w:sz="8" w:space="0" w:color="auto"/>
            </w:tcBorders>
            <w:shd w:val="clear" w:color="000000" w:fill="99CC00"/>
            <w:vAlign w:val="center"/>
            <w:hideMark/>
          </w:tcPr>
          <w:p w14:paraId="2EFEC30B"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2021</w:t>
            </w:r>
          </w:p>
        </w:tc>
        <w:tc>
          <w:tcPr>
            <w:tcW w:w="960" w:type="dxa"/>
            <w:tcBorders>
              <w:top w:val="nil"/>
              <w:left w:val="nil"/>
              <w:bottom w:val="single" w:sz="8" w:space="0" w:color="auto"/>
              <w:right w:val="single" w:sz="8" w:space="0" w:color="auto"/>
            </w:tcBorders>
            <w:shd w:val="clear" w:color="000000" w:fill="99CC00"/>
            <w:vAlign w:val="center"/>
            <w:hideMark/>
          </w:tcPr>
          <w:p w14:paraId="7E8D5149"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2022</w:t>
            </w:r>
          </w:p>
        </w:tc>
        <w:tc>
          <w:tcPr>
            <w:tcW w:w="960" w:type="dxa"/>
            <w:tcBorders>
              <w:top w:val="nil"/>
              <w:left w:val="nil"/>
              <w:bottom w:val="single" w:sz="8" w:space="0" w:color="auto"/>
              <w:right w:val="single" w:sz="8" w:space="0" w:color="auto"/>
            </w:tcBorders>
            <w:shd w:val="clear" w:color="000000" w:fill="99CC00"/>
            <w:vAlign w:val="center"/>
            <w:hideMark/>
          </w:tcPr>
          <w:p w14:paraId="0E746AFD"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2023</w:t>
            </w:r>
          </w:p>
        </w:tc>
        <w:tc>
          <w:tcPr>
            <w:tcW w:w="960" w:type="dxa"/>
            <w:tcBorders>
              <w:top w:val="nil"/>
              <w:left w:val="nil"/>
              <w:bottom w:val="single" w:sz="8" w:space="0" w:color="auto"/>
              <w:right w:val="single" w:sz="8" w:space="0" w:color="auto"/>
            </w:tcBorders>
            <w:shd w:val="clear" w:color="000000" w:fill="99CC00"/>
            <w:vAlign w:val="center"/>
            <w:hideMark/>
          </w:tcPr>
          <w:p w14:paraId="23391CFE"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2024</w:t>
            </w:r>
          </w:p>
        </w:tc>
        <w:tc>
          <w:tcPr>
            <w:tcW w:w="960" w:type="dxa"/>
            <w:tcBorders>
              <w:top w:val="nil"/>
              <w:left w:val="nil"/>
              <w:bottom w:val="single" w:sz="8" w:space="0" w:color="auto"/>
              <w:right w:val="single" w:sz="8" w:space="0" w:color="auto"/>
            </w:tcBorders>
            <w:shd w:val="clear" w:color="000000" w:fill="99CC00"/>
            <w:vAlign w:val="center"/>
            <w:hideMark/>
          </w:tcPr>
          <w:p w14:paraId="6119EEC6"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2025</w:t>
            </w:r>
          </w:p>
        </w:tc>
        <w:tc>
          <w:tcPr>
            <w:tcW w:w="960" w:type="dxa"/>
            <w:tcBorders>
              <w:top w:val="nil"/>
              <w:left w:val="nil"/>
              <w:bottom w:val="single" w:sz="8" w:space="0" w:color="auto"/>
              <w:right w:val="single" w:sz="8" w:space="0" w:color="auto"/>
            </w:tcBorders>
            <w:shd w:val="clear" w:color="000000" w:fill="99CC00"/>
            <w:vAlign w:val="center"/>
            <w:hideMark/>
          </w:tcPr>
          <w:p w14:paraId="3AEA0C1B"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2026</w:t>
            </w:r>
          </w:p>
        </w:tc>
        <w:tc>
          <w:tcPr>
            <w:tcW w:w="960" w:type="dxa"/>
            <w:tcBorders>
              <w:top w:val="nil"/>
              <w:left w:val="nil"/>
              <w:bottom w:val="single" w:sz="8" w:space="0" w:color="auto"/>
              <w:right w:val="double" w:sz="6" w:space="0" w:color="auto"/>
            </w:tcBorders>
            <w:shd w:val="clear" w:color="000000" w:fill="99CC00"/>
            <w:vAlign w:val="center"/>
            <w:hideMark/>
          </w:tcPr>
          <w:p w14:paraId="3FDF2A0C"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2027</w:t>
            </w:r>
          </w:p>
        </w:tc>
      </w:tr>
      <w:tr w:rsidR="00DB00D7" w:rsidRPr="002B5206" w14:paraId="79069EE8" w14:textId="77777777" w:rsidTr="00B36033">
        <w:trPr>
          <w:trHeight w:val="430"/>
        </w:trPr>
        <w:tc>
          <w:tcPr>
            <w:tcW w:w="2880" w:type="dxa"/>
            <w:tcBorders>
              <w:top w:val="single" w:sz="8" w:space="0" w:color="auto"/>
              <w:left w:val="double" w:sz="6" w:space="0" w:color="auto"/>
              <w:bottom w:val="double" w:sz="6" w:space="0" w:color="auto"/>
              <w:right w:val="single" w:sz="8" w:space="0" w:color="000000"/>
            </w:tcBorders>
            <w:shd w:val="clear" w:color="auto" w:fill="auto"/>
            <w:vAlign w:val="center"/>
            <w:hideMark/>
          </w:tcPr>
          <w:p w14:paraId="57CC5AA6" w14:textId="77777777" w:rsidR="00DB00D7" w:rsidRPr="002B5206" w:rsidRDefault="00DB00D7" w:rsidP="00B36033">
            <w:pPr>
              <w:spacing w:after="0" w:line="240" w:lineRule="auto"/>
              <w:rPr>
                <w:rFonts w:ascii="Times New Roman" w:eastAsia="Times New Roman" w:hAnsi="Times New Roman" w:cs="Times New Roman"/>
                <w:noProof/>
                <w:sz w:val="20"/>
                <w:szCs w:val="20"/>
              </w:rPr>
            </w:pPr>
            <w:r>
              <w:rPr>
                <w:rFonts w:ascii="Times New Roman" w:hAnsi="Times New Roman"/>
                <w:noProof/>
                <w:sz w:val="20"/>
              </w:rPr>
              <w:t>NGEU, e</w:t>
            </w:r>
          </w:p>
        </w:tc>
        <w:tc>
          <w:tcPr>
            <w:tcW w:w="960" w:type="dxa"/>
            <w:tcBorders>
              <w:top w:val="nil"/>
              <w:left w:val="nil"/>
              <w:bottom w:val="double" w:sz="6" w:space="0" w:color="auto"/>
              <w:right w:val="single" w:sz="8" w:space="0" w:color="auto"/>
            </w:tcBorders>
            <w:shd w:val="clear" w:color="auto" w:fill="auto"/>
            <w:vAlign w:val="center"/>
            <w:hideMark/>
          </w:tcPr>
          <w:p w14:paraId="55BE841F"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2 387,70</w:t>
            </w:r>
          </w:p>
        </w:tc>
        <w:tc>
          <w:tcPr>
            <w:tcW w:w="960" w:type="dxa"/>
            <w:tcBorders>
              <w:top w:val="nil"/>
              <w:left w:val="nil"/>
              <w:bottom w:val="double" w:sz="6" w:space="0" w:color="auto"/>
              <w:right w:val="single" w:sz="8" w:space="0" w:color="auto"/>
            </w:tcBorders>
            <w:shd w:val="clear" w:color="auto" w:fill="auto"/>
            <w:vAlign w:val="center"/>
            <w:hideMark/>
          </w:tcPr>
          <w:p w14:paraId="08DF6FBC"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5 682,80</w:t>
            </w:r>
          </w:p>
        </w:tc>
        <w:tc>
          <w:tcPr>
            <w:tcW w:w="960" w:type="dxa"/>
            <w:tcBorders>
              <w:top w:val="nil"/>
              <w:left w:val="nil"/>
              <w:bottom w:val="double" w:sz="6" w:space="0" w:color="auto"/>
              <w:right w:val="single" w:sz="8" w:space="0" w:color="auto"/>
            </w:tcBorders>
            <w:shd w:val="clear" w:color="auto" w:fill="auto"/>
            <w:vAlign w:val="center"/>
            <w:hideMark/>
          </w:tcPr>
          <w:p w14:paraId="7ECE23EF"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double" w:sz="6" w:space="0" w:color="auto"/>
              <w:right w:val="single" w:sz="8" w:space="0" w:color="auto"/>
            </w:tcBorders>
            <w:shd w:val="clear" w:color="auto" w:fill="auto"/>
            <w:vAlign w:val="center"/>
            <w:hideMark/>
          </w:tcPr>
          <w:p w14:paraId="45458135"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double" w:sz="6" w:space="0" w:color="auto"/>
              <w:right w:val="single" w:sz="8" w:space="0" w:color="auto"/>
            </w:tcBorders>
            <w:shd w:val="clear" w:color="auto" w:fill="auto"/>
            <w:vAlign w:val="center"/>
            <w:hideMark/>
          </w:tcPr>
          <w:p w14:paraId="167AB1FC"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double" w:sz="6" w:space="0" w:color="auto"/>
              <w:right w:val="single" w:sz="8" w:space="0" w:color="auto"/>
            </w:tcBorders>
            <w:shd w:val="clear" w:color="auto" w:fill="auto"/>
            <w:vAlign w:val="center"/>
            <w:hideMark/>
          </w:tcPr>
          <w:p w14:paraId="7C0AE151"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960" w:type="dxa"/>
            <w:tcBorders>
              <w:top w:val="nil"/>
              <w:left w:val="nil"/>
              <w:bottom w:val="double" w:sz="6" w:space="0" w:color="auto"/>
              <w:right w:val="double" w:sz="6" w:space="0" w:color="auto"/>
            </w:tcBorders>
            <w:shd w:val="clear" w:color="auto" w:fill="auto"/>
            <w:vAlign w:val="center"/>
            <w:hideMark/>
          </w:tcPr>
          <w:p w14:paraId="4872D949"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 </w:t>
            </w:r>
          </w:p>
        </w:tc>
      </w:tr>
      <w:tr w:rsidR="00DB00D7" w:rsidRPr="002B5206" w14:paraId="5BAC1CC3" w14:textId="77777777" w:rsidTr="00B36033">
        <w:trPr>
          <w:trHeight w:val="500"/>
        </w:trPr>
        <w:tc>
          <w:tcPr>
            <w:tcW w:w="9600" w:type="dxa"/>
            <w:gridSpan w:val="8"/>
            <w:tcBorders>
              <w:top w:val="double" w:sz="6" w:space="0" w:color="auto"/>
              <w:left w:val="nil"/>
              <w:bottom w:val="nil"/>
              <w:right w:val="nil"/>
            </w:tcBorders>
            <w:shd w:val="clear" w:color="auto" w:fill="auto"/>
            <w:noWrap/>
            <w:vAlign w:val="center"/>
            <w:hideMark/>
          </w:tcPr>
          <w:p w14:paraId="0E0B1EDF" w14:textId="77777777" w:rsidR="00DB00D7" w:rsidRPr="002B5206" w:rsidRDefault="00DB00D7" w:rsidP="00B36033">
            <w:pPr>
              <w:spacing w:after="0" w:line="240" w:lineRule="auto"/>
              <w:rPr>
                <w:rFonts w:ascii="Times New Roman" w:eastAsia="Times New Roman" w:hAnsi="Times New Roman" w:cs="Times New Roman"/>
                <w:noProof/>
                <w:sz w:val="18"/>
                <w:szCs w:val="18"/>
              </w:rPr>
            </w:pPr>
            <w:r>
              <w:rPr>
                <w:rFonts w:ascii="Times New Roman" w:hAnsi="Times New Roman"/>
                <w:noProof/>
                <w:sz w:val="18"/>
              </w:rPr>
              <w:t xml:space="preserve">* Natürliche Ressourcen und Umwelt im Zusammenhang mit der GAP </w:t>
            </w:r>
          </w:p>
        </w:tc>
      </w:tr>
      <w:tr w:rsidR="00DB00D7" w:rsidRPr="00687990" w14:paraId="2A956098" w14:textId="77777777" w:rsidTr="00B36033">
        <w:trPr>
          <w:trHeight w:val="568"/>
        </w:trPr>
        <w:tc>
          <w:tcPr>
            <w:tcW w:w="9600" w:type="dxa"/>
            <w:gridSpan w:val="8"/>
            <w:tcBorders>
              <w:top w:val="nil"/>
              <w:left w:val="nil"/>
              <w:bottom w:val="nil"/>
              <w:right w:val="nil"/>
            </w:tcBorders>
            <w:shd w:val="clear" w:color="auto" w:fill="auto"/>
            <w:hideMark/>
          </w:tcPr>
          <w:p w14:paraId="02883683" w14:textId="14950BCC" w:rsidR="0083700E" w:rsidRDefault="00DB00D7" w:rsidP="00B36033">
            <w:pPr>
              <w:spacing w:after="120" w:line="240" w:lineRule="auto"/>
              <w:rPr>
                <w:rFonts w:ascii="Times New Roman" w:eastAsia="Times New Roman" w:hAnsi="Times New Roman" w:cs="Times New Roman"/>
                <w:noProof/>
                <w:sz w:val="18"/>
                <w:szCs w:val="18"/>
              </w:rPr>
            </w:pPr>
            <w:r>
              <w:rPr>
                <w:rFonts w:ascii="Times New Roman" w:hAnsi="Times New Roman"/>
                <w:noProof/>
                <w:sz w:val="18"/>
              </w:rPr>
              <w:t xml:space="preserve">a) Nach jährlichen Übertragungen vom EGFL auf den ELER für die Haushaltsjahre 2021–2023 in Höhe von insgesamt 3 463,1 Mio. EUR auf der Grundlage von Artikel 14 Absatz 1 der Verordnung (EU) Nr. 1307/2013 und für die Haushaltsjahre 2024–2027 in Höhe von insgesamt 7 123,8 Mio. EUR auf der Grundlage von Artikel 103 Absatz 1 Buchstabe a und Artikel 103 Absatz 2 der Verordnung (EU) Nr. 2021/2115. </w:t>
            </w:r>
          </w:p>
          <w:p w14:paraId="20ADF941" w14:textId="4F68C734" w:rsidR="0083700E" w:rsidRDefault="0083700E" w:rsidP="00B36033">
            <w:pPr>
              <w:spacing w:after="120" w:line="240" w:lineRule="auto"/>
              <w:rPr>
                <w:rFonts w:ascii="Times New Roman" w:eastAsia="Times New Roman" w:hAnsi="Times New Roman" w:cs="Times New Roman"/>
                <w:noProof/>
                <w:sz w:val="18"/>
                <w:szCs w:val="18"/>
              </w:rPr>
            </w:pPr>
            <w:r>
              <w:rPr>
                <w:rFonts w:ascii="Times New Roman" w:hAnsi="Times New Roman"/>
                <w:noProof/>
                <w:sz w:val="18"/>
              </w:rPr>
              <w:t>b) Nach jährlichen Übertragungen vom ELER auf den EGFL für die Haushaltsjahre 2021–2023 in Höhe von insgesamt 1 633,4 Mio. EUR auf der Grundlage von Artikel 14 Absatz 2 der Verordnung (EU) Nr. 1307/2013 und für die Haushaltsjahre 2024–2027 in Höhe von insgesamt 2 360,9 Mio. EUR auf der Grundlage von Artikel 103 Absatz 1 Buchstabe b und Artikel 103 Absatz 3 der Verordnung (EU) Nr. 2021/2115.</w:t>
            </w:r>
          </w:p>
          <w:p w14:paraId="6FDDB684" w14:textId="77777777" w:rsidR="00ED654B" w:rsidRDefault="00ED654B" w:rsidP="00B36033">
            <w:pPr>
              <w:pStyle w:val="paragraph"/>
              <w:spacing w:before="0" w:beforeAutospacing="0" w:after="120" w:afterAutospacing="0"/>
              <w:textAlignment w:val="baseline"/>
              <w:rPr>
                <w:noProof/>
              </w:rPr>
            </w:pPr>
            <w:r>
              <w:rPr>
                <w:rStyle w:val="normaltextrun"/>
                <w:noProof/>
                <w:sz w:val="18"/>
              </w:rPr>
              <w:t>c) Nach jährlichen Übertragungen vom EGFL auf den ELER für die Haushaltsjahre 2021–2023 in Höhe von insgesamt 171,9 Mio. EUR auf der Grundlage von Artikel 7 Absatz 2 der Verordnung (EU) Nr. 1307/2013 und für die Haushaltsjahre 2024–2027 in Höhe von insgesamt 20 Mio. EUR auf der Grundlage von Artikel 17 Absatz 5 der Verordnung (EU) Nr. 2021/2115.</w:t>
            </w:r>
            <w:r>
              <w:rPr>
                <w:rStyle w:val="eop"/>
                <w:noProof/>
                <w:sz w:val="18"/>
              </w:rPr>
              <w:t xml:space="preserve"> </w:t>
            </w:r>
          </w:p>
          <w:p w14:paraId="2DB28951" w14:textId="01AEF98D" w:rsidR="0083700E" w:rsidRDefault="0083700E" w:rsidP="00B36033">
            <w:pPr>
              <w:spacing w:after="120" w:line="240" w:lineRule="auto"/>
              <w:rPr>
                <w:rFonts w:ascii="Times New Roman" w:eastAsia="Times New Roman" w:hAnsi="Times New Roman" w:cs="Times New Roman"/>
                <w:noProof/>
                <w:sz w:val="18"/>
                <w:szCs w:val="18"/>
              </w:rPr>
            </w:pPr>
            <w:r>
              <w:rPr>
                <w:rFonts w:ascii="Times New Roman" w:hAnsi="Times New Roman"/>
                <w:noProof/>
                <w:sz w:val="18"/>
              </w:rPr>
              <w:t>d) Nach einer Kürzung um insgesamt 440 Mio. EUR für den Zeitraum 2025–2027 nach der Halbzeitüberprüfung des MFR.</w:t>
            </w:r>
          </w:p>
          <w:p w14:paraId="74D8572D" w14:textId="0639FD3E" w:rsidR="00DB00D7" w:rsidRPr="00772191" w:rsidRDefault="0083700E" w:rsidP="00B36033">
            <w:pPr>
              <w:spacing w:after="120" w:line="240" w:lineRule="auto"/>
              <w:rPr>
                <w:rFonts w:ascii="Times New Roman" w:eastAsia="Times New Roman" w:hAnsi="Times New Roman" w:cs="Times New Roman"/>
                <w:noProof/>
                <w:sz w:val="18"/>
                <w:szCs w:val="18"/>
              </w:rPr>
            </w:pPr>
            <w:r>
              <w:rPr>
                <w:rFonts w:ascii="Times New Roman" w:hAnsi="Times New Roman"/>
                <w:noProof/>
                <w:sz w:val="18"/>
              </w:rPr>
              <w:t>e) Artikel 58 Buchstabe a der Verordnung (EU) Nr. 1305/2013.</w:t>
            </w:r>
          </w:p>
        </w:tc>
      </w:tr>
    </w:tbl>
    <w:p w14:paraId="53822CB5" w14:textId="2DF33882" w:rsidR="4A804922" w:rsidRPr="003742A7" w:rsidRDefault="4A804922">
      <w:pPr>
        <w:rPr>
          <w:noProof/>
          <w:lang w:val="pt-PT"/>
        </w:rPr>
      </w:pPr>
    </w:p>
    <w:p w14:paraId="55A38B23" w14:textId="39E0C502" w:rsidR="00421B55" w:rsidRDefault="1BFC6801" w:rsidP="00990270">
      <w:pPr>
        <w:pStyle w:val="ManualHeading2"/>
        <w:spacing w:before="360" w:after="160"/>
        <w:ind w:left="851" w:hanging="851"/>
        <w:rPr>
          <w:noProof/>
        </w:rPr>
      </w:pPr>
      <w:bookmarkStart w:id="10" w:name="_Toc393364826"/>
      <w:bookmarkStart w:id="11" w:name="_Toc102661830"/>
      <w:bookmarkStart w:id="12" w:name="_Toc105773178"/>
      <w:bookmarkStart w:id="13" w:name="_Toc175120244"/>
      <w:bookmarkStart w:id="14" w:name="_Toc322938555"/>
      <w:r>
        <w:rPr>
          <w:noProof/>
        </w:rPr>
        <w:t>1.2.</w:t>
      </w:r>
      <w:r>
        <w:rPr>
          <w:noProof/>
        </w:rPr>
        <w:tab/>
        <w:t>Haushaltsplanentwurf 2023, Berichtigungsschreiben 1/</w:t>
      </w:r>
      <w:bookmarkEnd w:id="10"/>
      <w:bookmarkEnd w:id="11"/>
      <w:bookmarkEnd w:id="12"/>
      <w:r>
        <w:rPr>
          <w:noProof/>
        </w:rPr>
        <w:t>2023 und Annahme des Haushaltsplans 2023</w:t>
      </w:r>
      <w:bookmarkEnd w:id="13"/>
    </w:p>
    <w:p w14:paraId="446157C1" w14:textId="45462D3F" w:rsidR="002E58A6" w:rsidRDefault="00A44A15" w:rsidP="00384438">
      <w:pPr>
        <w:pStyle w:val="Text1"/>
      </w:pPr>
      <w:bookmarkStart w:id="15" w:name="_Toc393364829"/>
      <w:bookmarkEnd w:id="14"/>
      <w:r>
        <w:t xml:space="preserve">Der ursprüngliche Haushaltsplanentwurf 2023 wurde von der Kommission angenommen und der Haushaltsbehörde am 1. Juli 2022 vorgelegt. Der Rat legte seinen Standpunkt zum Haushaltsplanentwurf 2023 am 6. September 2022 fest. Die Kommission hat das Berichtigungsschreiben Nr. 1/2023 zum Entwurf des Gesamthaushaltsplans der Europäischen Union am 5. Oktober 2022 vorgelegt, und das Europäische Parlament hat seinen Standpunkt am 19. Oktober 2022 festgelegt. </w:t>
      </w:r>
    </w:p>
    <w:p w14:paraId="657050D7" w14:textId="3BC98312" w:rsidR="002E58A6" w:rsidRDefault="002E58A6" w:rsidP="00D05B1F">
      <w:pPr>
        <w:pStyle w:val="Text1"/>
      </w:pPr>
      <w:r>
        <w:t>Der Präsident des Rates hat den Vermittlungsausschuss am 24. Oktober 2022 einberufen. Der Vermittlungsausschuss einigte sich auf einen gemeinsamen Entwurf, der am 22. November 2022 vom Rat und am 23. November 2022 vom Parlament genehmigt wurde.</w:t>
      </w:r>
    </w:p>
    <w:p w14:paraId="20DA3E1F" w14:textId="1618EB3F" w:rsidR="00155986" w:rsidRDefault="00155986" w:rsidP="00155986">
      <w:pPr>
        <w:pStyle w:val="Text1"/>
      </w:pPr>
      <w:r>
        <w:t>Für den EGFL waren im Haushaltsplan insgesamt Mittel für Verpflichtungen in Höhe von 40 692,2 Mio. EUR und Mittel für Zahlungen in Höhe von 40 698,2 Mio. EUR vorgesehen.</w:t>
      </w:r>
    </w:p>
    <w:p w14:paraId="055D6F6D" w14:textId="5C843694" w:rsidR="00F144CA" w:rsidRDefault="00F834A4" w:rsidP="00155986">
      <w:pPr>
        <w:pStyle w:val="Text1"/>
      </w:pPr>
      <w:r>
        <w:t xml:space="preserve">Für den ELER waren im Haushaltsplan insgesamt Mittel für Verpflichtungen in Höhe von 12 934,7 Mio. EUR und Mittel für Zahlungen in Höhe von 15 087,2 Mio. EUR vorgesehen. </w:t>
      </w:r>
    </w:p>
    <w:p w14:paraId="6F8DE1F5" w14:textId="2AAB6B4F" w:rsidR="00155986" w:rsidRPr="00155986" w:rsidRDefault="791D8D88" w:rsidP="00155986">
      <w:pPr>
        <w:pStyle w:val="Text1"/>
      </w:pPr>
      <w:r>
        <w:t>Weitere Einzelheiten zu den Beträgen im Zusammenhang mit dem Haushaltsplanentwurf 2023 der Kommission sowie die Standpunkte des Rates und des Europäischen Parlaments, das Berichtigungsschreiben und der genehmigte Haushaltsplan sind in Anhang 1 enthalten.</w:t>
      </w:r>
    </w:p>
    <w:p w14:paraId="312264C6" w14:textId="4E8AE7FA" w:rsidR="00155986" w:rsidRPr="001C1B70" w:rsidRDefault="00453242" w:rsidP="00155986">
      <w:pPr>
        <w:pStyle w:val="Text1"/>
      </w:pPr>
      <w:r>
        <w:t>Bei Aufstellung des Haushaltsplans 2023 wurde der Betrag der erwarteten zweckgebundenen Einnahmen im Laufe des Haushaltsjahres 2023 für den EGFL auf 632 Mio. EUR und für den ELER auf 50 Mio. EUR geschätzt.</w:t>
      </w:r>
    </w:p>
    <w:p w14:paraId="0F80C1A5" w14:textId="139BF292" w:rsidR="00A44A15" w:rsidRDefault="00453242" w:rsidP="006827A2">
      <w:pPr>
        <w:pStyle w:val="Text1"/>
        <w:spacing w:before="0" w:after="0"/>
        <w:ind w:left="851"/>
      </w:pPr>
      <w:r>
        <w:t xml:space="preserve">Die geschätzten zweckgebundenen Einnahmen des EGFL wurden für den Finanzierungsbedarf der Basisprämienregelung berücksichtigt, als die Haushaltsbehörde den Haushaltsplan 2023 annahm. Einzelheiten zur Auszahlung, Verwendung und möglichen Übertragung der zweckgebundenen Einnahmen sind den Anhängen 2 und </w:t>
      </w:r>
      <w:bookmarkEnd w:id="15"/>
      <w:r>
        <w:t>3 zu entnehmen.</w:t>
      </w:r>
    </w:p>
    <w:p w14:paraId="3F7A85A7" w14:textId="321EE639" w:rsidR="00D23917" w:rsidRDefault="1BFC6801" w:rsidP="00B36033">
      <w:pPr>
        <w:pStyle w:val="ManualHeading1"/>
        <w:spacing w:after="160"/>
        <w:ind w:left="851" w:hanging="851"/>
        <w:rPr>
          <w:noProof/>
        </w:rPr>
      </w:pPr>
      <w:bookmarkStart w:id="16" w:name="_Toc102661833"/>
      <w:bookmarkStart w:id="17" w:name="_Toc105773181"/>
      <w:bookmarkStart w:id="18" w:name="_Toc322938559"/>
      <w:bookmarkStart w:id="19" w:name="_Toc175120245"/>
      <w:r>
        <w:rPr>
          <w:noProof/>
        </w:rPr>
        <w:t>2.</w:t>
      </w:r>
      <w:bookmarkEnd w:id="16"/>
      <w:bookmarkEnd w:id="17"/>
      <w:bookmarkEnd w:id="18"/>
      <w:r>
        <w:rPr>
          <w:noProof/>
        </w:rPr>
        <w:tab/>
        <w:t>AUSFÜHRUNG DES HAUSHALTSPLANS 2023 FÜR EGFL UND ELER</w:t>
      </w:r>
      <w:bookmarkEnd w:id="19"/>
    </w:p>
    <w:p w14:paraId="2439AFF4" w14:textId="73AFEF41" w:rsidR="00204F06" w:rsidRDefault="00204F06" w:rsidP="00990270">
      <w:pPr>
        <w:pStyle w:val="ManualHeading2"/>
        <w:spacing w:before="360" w:after="160"/>
        <w:ind w:left="851" w:hanging="851"/>
        <w:rPr>
          <w:noProof/>
        </w:rPr>
      </w:pPr>
      <w:bookmarkStart w:id="20" w:name="_Toc175120246"/>
      <w:r>
        <w:rPr>
          <w:noProof/>
        </w:rPr>
        <w:t>2.1.</w:t>
      </w:r>
      <w:r>
        <w:rPr>
          <w:noProof/>
        </w:rPr>
        <w:tab/>
        <w:t>Europäischer Garantiefonds für die Landwirtschaft (EGFL)</w:t>
      </w:r>
      <w:bookmarkEnd w:id="20"/>
    </w:p>
    <w:p w14:paraId="412FC8C2" w14:textId="06947D8F" w:rsidR="00A44A15" w:rsidRDefault="00A44A15" w:rsidP="00A44A15">
      <w:pPr>
        <w:pStyle w:val="Text1"/>
      </w:pPr>
      <w:r>
        <w:t>Gemäß Artikel 21 Absatz 1 der Verordnung (EU) 2021/2116</w:t>
      </w:r>
      <w:r>
        <w:rPr>
          <w:rFonts w:asciiTheme="minorHAnsi" w:eastAsiaTheme="minorEastAsia" w:hAnsiTheme="minorHAnsi" w:cstheme="minorBidi"/>
          <w:sz w:val="22"/>
          <w:szCs w:val="22"/>
          <w:vertAlign w:val="superscript"/>
        </w:rPr>
        <w:footnoteReference w:id="5"/>
      </w:r>
      <w:r>
        <w:t xml:space="preserve"> „leistet die Kommission die monatlichen Zahlungen für die Ausgaben, die die zugelassenen Zahlstellen der Mitgliedstaaten im Laufe des Referenzmonats getätigt haben“. Die monatlichen Zahlungen werden dem Mitgliedstaat spätestens am dritten Arbeitstag des zweiten Monats überwiesen, der auf den Monat folgt, in dem die Ausgaben getätigt wurden.</w:t>
      </w:r>
    </w:p>
    <w:p w14:paraId="61358328" w14:textId="67281D6D" w:rsidR="00A44A15" w:rsidRDefault="1BFC6801" w:rsidP="00A44A15">
      <w:pPr>
        <w:pStyle w:val="Text1"/>
      </w:pPr>
      <w:r>
        <w:t>Bei den monatlichen Zahlungen handelt es sich um eine Rückerstattung der Nettoausgaben (nach Abzug der Einnahmen), die bereits angefallen sind. Sie erfolgen auf der Grundlage der monatlichen Ausgabenerklärungen der Mitgliedstaaten.</w:t>
      </w:r>
      <w:r>
        <w:rPr>
          <w:vertAlign w:val="superscript"/>
        </w:rPr>
        <w:footnoteReference w:id="6"/>
      </w:r>
      <w:r>
        <w:t xml:space="preserve"> Die monatliche buchmäßige Erfassung der Ausgaben und Einnahmen unterliegt Überprüfungen und Berichtigungen auf der Basis dieser Erklärungen. Zudem werden diese Zahlungen nach den Prüfungen der Kommission im Rahmen des Rechnungsabschlussverfahrens endgültig.</w:t>
      </w:r>
    </w:p>
    <w:p w14:paraId="5CF576B6" w14:textId="6855375E" w:rsidR="00A44A15" w:rsidRDefault="00A44A15" w:rsidP="00A44A15">
      <w:pPr>
        <w:pStyle w:val="Text1"/>
      </w:pPr>
      <w:r>
        <w:t xml:space="preserve">Die von den Mitgliedstaaten vom 16. Oktober 2022 bis zum 15. Oktober 2023 getätigten Zahlungen unterliegen der Regelung der monatlichen Zahlungen. </w:t>
      </w:r>
    </w:p>
    <w:p w14:paraId="4FD81482" w14:textId="3840FB9B" w:rsidR="00A44A15" w:rsidRDefault="00A44A15" w:rsidP="3B469FC1">
      <w:pPr>
        <w:pStyle w:val="Text1"/>
      </w:pPr>
      <w:r>
        <w:t>Für das gesamte Haushaltsjahr beliefen sich die beschlossenen monatlichen Zahlungen auf insgesamt 40 835,0 Mio. EUR. Unter Berücksichtigung der wiedereingezogenen Beträge aus Rechnungsabschlussbeschlüssen belief sich der tatsächlich an die Mitgliedstaaten ausgezahlte Betrag insgesamt auf 40 349,6 Mio. EUR.</w:t>
      </w:r>
    </w:p>
    <w:p w14:paraId="2F97AAC0" w14:textId="360BC6D7" w:rsidR="00A44A15" w:rsidRPr="00FC6CD6" w:rsidRDefault="2E3DC063" w:rsidP="00990270">
      <w:pPr>
        <w:pStyle w:val="ManualHeading2"/>
        <w:spacing w:before="360" w:after="160"/>
        <w:ind w:left="851" w:hanging="851"/>
        <w:rPr>
          <w:noProof/>
        </w:rPr>
      </w:pPr>
      <w:bookmarkStart w:id="21" w:name="_Toc7010706"/>
      <w:bookmarkStart w:id="22" w:name="_Toc102661846"/>
      <w:bookmarkStart w:id="23" w:name="_Toc105773194"/>
      <w:bookmarkStart w:id="24" w:name="_Toc175120247"/>
      <w:r>
        <w:rPr>
          <w:noProof/>
        </w:rPr>
        <w:t>2.1.1.</w:t>
      </w:r>
      <w:r>
        <w:rPr>
          <w:noProof/>
        </w:rPr>
        <w:tab/>
        <w:t>Monatliche Zahlungen</w:t>
      </w:r>
      <w:bookmarkEnd w:id="21"/>
      <w:bookmarkEnd w:id="22"/>
      <w:bookmarkEnd w:id="23"/>
      <w:bookmarkEnd w:id="24"/>
    </w:p>
    <w:p w14:paraId="687E5453" w14:textId="55C8E4D9" w:rsidR="00A44A15" w:rsidRDefault="00A44A15" w:rsidP="00A44A15">
      <w:pPr>
        <w:pStyle w:val="Text1"/>
      </w:pPr>
      <w:r>
        <w:t>Die Kommission nahm für jeden der zwölf Zeiträume des Haushaltsjahres einen Zahlungsbeschluss an. Darüber hinaus erging im Dezember ein weiterer Beschluss zur Anpassung der zulasten des Haushaltsjahres zu verbuchenden Gesamtausgaben.</w:t>
      </w:r>
    </w:p>
    <w:p w14:paraId="5175E66B" w14:textId="78FEBE6C" w:rsidR="00A44A15" w:rsidRDefault="1BFC6801" w:rsidP="00A44A15">
      <w:pPr>
        <w:pStyle w:val="Text1"/>
      </w:pPr>
      <w:r>
        <w:t>Weitere Einzelheiten in Anhang 4.</w:t>
      </w:r>
    </w:p>
    <w:p w14:paraId="331570C9" w14:textId="0576BE52" w:rsidR="00A44A15" w:rsidRPr="003B1662" w:rsidRDefault="00A44A15" w:rsidP="00990270">
      <w:pPr>
        <w:pStyle w:val="ManualHeading2"/>
        <w:spacing w:before="360" w:after="160"/>
        <w:ind w:left="851" w:hanging="851"/>
        <w:rPr>
          <w:noProof/>
        </w:rPr>
      </w:pPr>
      <w:bookmarkStart w:id="25" w:name="_Toc7010707"/>
      <w:bookmarkStart w:id="26" w:name="_Toc102661847"/>
      <w:bookmarkStart w:id="27" w:name="_Toc105773195"/>
      <w:bookmarkStart w:id="28" w:name="_Toc175120248"/>
      <w:r>
        <w:rPr>
          <w:noProof/>
        </w:rPr>
        <w:t>2.1.2.</w:t>
      </w:r>
      <w:r>
        <w:rPr>
          <w:noProof/>
        </w:rPr>
        <w:tab/>
        <w:t>Kürzungen der monatlichen Zahlungen</w:t>
      </w:r>
      <w:bookmarkEnd w:id="25"/>
      <w:bookmarkEnd w:id="26"/>
      <w:bookmarkEnd w:id="27"/>
      <w:bookmarkEnd w:id="28"/>
    </w:p>
    <w:p w14:paraId="5894A7A9" w14:textId="3CC74B7A" w:rsidR="00A44A15" w:rsidRDefault="00A44A15" w:rsidP="001C1B70">
      <w:pPr>
        <w:pStyle w:val="Text1"/>
        <w:spacing w:before="60"/>
      </w:pPr>
      <w:r>
        <w:t xml:space="preserve">Im Jahr 2023 wurden die monatlichen Zahlungen an die Mitgliedstaaten um einen Nettobetrag von 16,9 Mio. EUR gekürzt. Für einige aus dem EGFL finanzierte Maßnahmen sind in den Sektorverordnungen finanzielle Obergrenzen festgelegt. Ausgaben, die diese Obergrenzen überschreiten, gelten als „nicht förderfähige Ausgaben“ und führen zu Kürzungen der monatlichen Zahlungen. </w:t>
      </w:r>
    </w:p>
    <w:p w14:paraId="59F0D3A9" w14:textId="45E74DFF" w:rsidR="00A44A15" w:rsidRPr="00C84E21" w:rsidRDefault="00A44A15" w:rsidP="00990270">
      <w:pPr>
        <w:pStyle w:val="ManualHeading2"/>
        <w:spacing w:before="360" w:after="160"/>
        <w:ind w:left="851" w:hanging="851"/>
        <w:rPr>
          <w:noProof/>
        </w:rPr>
      </w:pPr>
      <w:bookmarkStart w:id="29" w:name="_Toc7010708"/>
      <w:bookmarkStart w:id="30" w:name="_Toc102661848"/>
      <w:bookmarkStart w:id="31" w:name="_Toc105773196"/>
      <w:bookmarkStart w:id="32" w:name="_Toc175120249"/>
      <w:r>
        <w:rPr>
          <w:noProof/>
        </w:rPr>
        <w:t>2.1.3.</w:t>
      </w:r>
      <w:r>
        <w:rPr>
          <w:noProof/>
        </w:rPr>
        <w:tab/>
        <w:t>Ausgaben im Rahmen der direkten Mittelverwaltung der Kommission</w:t>
      </w:r>
      <w:bookmarkEnd w:id="29"/>
      <w:bookmarkEnd w:id="30"/>
      <w:bookmarkEnd w:id="31"/>
      <w:bookmarkEnd w:id="32"/>
    </w:p>
    <w:p w14:paraId="5213A4EB" w14:textId="6EAC5B48" w:rsidR="00226591" w:rsidRDefault="49E10B03" w:rsidP="00990270">
      <w:pPr>
        <w:pStyle w:val="Text1"/>
        <w:spacing w:after="160"/>
        <w:ind w:left="851"/>
      </w:pPr>
      <w:r>
        <w:t>Die Kommission leistet für bestimmte Maßnahmen Zahlungen im Rahmen der direkten Mittelverwaltung. Diese beziehen sich hauptsächlich auf operative technische Hilfe und Absatzförderungsmaßnahmen. Einzelheiten sind den Tabellen 2 und 3 zu entnehmen. Einzelheiten zu den von der Europäischen Kommission im Haushaltsjahr 2023 im Rahmen der direkten Mittelverwaltung ausgeführten Mitteln für operative und Verwaltungsausgaben sind den Anhängen 5 und 6 zu entnehmen.</w:t>
      </w:r>
    </w:p>
    <w:p w14:paraId="2EFA10FF" w14:textId="366CA4A2" w:rsidR="000763C9" w:rsidRDefault="3A95FE9C" w:rsidP="57DE3101">
      <w:pPr>
        <w:pStyle w:val="Text1"/>
        <w:rPr>
          <w:i/>
          <w:iCs/>
        </w:rPr>
      </w:pPr>
      <w:r>
        <w:t xml:space="preserve">Tabelle 2 </w:t>
      </w:r>
      <w:r>
        <w:rPr>
          <w:i/>
          <w:iCs/>
        </w:rPr>
        <w:t>(in EUR;</w:t>
      </w:r>
      <w:r>
        <w:rPr>
          <w:i/>
        </w:rPr>
        <w:t xml:space="preserve"> jeweilige Preise)</w:t>
      </w:r>
    </w:p>
    <w:p w14:paraId="764DB5C0" w14:textId="66AF6640" w:rsidR="00226591" w:rsidRDefault="00354CFA" w:rsidP="00A44A15">
      <w:pPr>
        <w:pStyle w:val="Text1"/>
      </w:pPr>
      <w:r w:rsidRPr="00354CFA">
        <w:rPr>
          <w:lang w:val="en-GB" w:eastAsia="en-GB"/>
        </w:rPr>
        <w:drawing>
          <wp:inline distT="0" distB="0" distL="0" distR="0" wp14:anchorId="072E98D0" wp14:editId="192CC8B1">
            <wp:extent cx="5400619" cy="3891686"/>
            <wp:effectExtent l="0" t="0" r="0" b="0"/>
            <wp:docPr id="1102970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7500" cy="3903850"/>
                    </a:xfrm>
                    <a:prstGeom prst="rect">
                      <a:avLst/>
                    </a:prstGeom>
                    <a:noFill/>
                    <a:ln>
                      <a:noFill/>
                    </a:ln>
                  </pic:spPr>
                </pic:pic>
              </a:graphicData>
            </a:graphic>
          </wp:inline>
        </w:drawing>
      </w:r>
    </w:p>
    <w:p w14:paraId="1A5B9497" w14:textId="77777777" w:rsidR="00D51119" w:rsidRDefault="00D51119" w:rsidP="00806DFF">
      <w:pPr>
        <w:pStyle w:val="Text1"/>
        <w:rPr>
          <w:iCs/>
        </w:rPr>
      </w:pPr>
    </w:p>
    <w:p w14:paraId="6E6067A4" w14:textId="3EDB941E" w:rsidR="00806DFF" w:rsidRDefault="00806DFF" w:rsidP="00A42569">
      <w:pPr>
        <w:pStyle w:val="Text1"/>
        <w:keepNext/>
        <w:rPr>
          <w:i/>
        </w:rPr>
      </w:pPr>
      <w:r>
        <w:t xml:space="preserve">Tabelle 3 </w:t>
      </w:r>
      <w:r>
        <w:rPr>
          <w:i/>
          <w:iCs/>
        </w:rPr>
        <w:t>(in EUR;</w:t>
      </w:r>
      <w:r>
        <w:rPr>
          <w:i/>
        </w:rPr>
        <w:t xml:space="preserve"> jeweilige Preise)</w:t>
      </w:r>
    </w:p>
    <w:p w14:paraId="7937C7CC" w14:textId="7897BF0C" w:rsidR="00806DFF" w:rsidRDefault="00A42569" w:rsidP="00A44A15">
      <w:pPr>
        <w:pStyle w:val="Text1"/>
      </w:pPr>
      <w:r w:rsidRPr="00A42569">
        <w:rPr>
          <w:lang w:val="en-GB" w:eastAsia="en-GB"/>
        </w:rPr>
        <w:drawing>
          <wp:inline distT="0" distB="0" distL="0" distR="0" wp14:anchorId="2DA5CC3F" wp14:editId="67B671D6">
            <wp:extent cx="5435193" cy="2677268"/>
            <wp:effectExtent l="0" t="0" r="0" b="8890"/>
            <wp:docPr id="1286924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4865" cy="2686958"/>
                    </a:xfrm>
                    <a:prstGeom prst="rect">
                      <a:avLst/>
                    </a:prstGeom>
                    <a:noFill/>
                    <a:ln>
                      <a:noFill/>
                    </a:ln>
                  </pic:spPr>
                </pic:pic>
              </a:graphicData>
            </a:graphic>
          </wp:inline>
        </w:drawing>
      </w:r>
    </w:p>
    <w:p w14:paraId="555794CE" w14:textId="5F876335" w:rsidR="003013DF" w:rsidRDefault="1E3A0658" w:rsidP="00990270">
      <w:pPr>
        <w:pStyle w:val="ManualHeading2"/>
        <w:spacing w:before="360" w:after="160"/>
        <w:ind w:left="851" w:hanging="851"/>
        <w:rPr>
          <w:noProof/>
        </w:rPr>
      </w:pPr>
      <w:bookmarkStart w:id="33" w:name="_Toc175120250"/>
      <w:r>
        <w:rPr>
          <w:noProof/>
        </w:rPr>
        <w:t>2.2.</w:t>
      </w:r>
      <w:r>
        <w:rPr>
          <w:noProof/>
        </w:rPr>
        <w:tab/>
        <w:t>Europäischer Landwirtschaftsfonds für die Entwicklung des ländlichen Raums (ELER) und Aufbauinstrument der Europäischen Union (EURI)</w:t>
      </w:r>
      <w:bookmarkEnd w:id="33"/>
    </w:p>
    <w:p w14:paraId="5607B185" w14:textId="6E163573" w:rsidR="00430704" w:rsidRDefault="006C1868" w:rsidP="00A44A15">
      <w:pPr>
        <w:pStyle w:val="Text1"/>
      </w:pPr>
      <w:r>
        <w:t xml:space="preserve">Gemäß Artikel 31 der </w:t>
      </w:r>
      <w:bookmarkStart w:id="34" w:name="_Hlk173174003"/>
      <w:r>
        <w:t>Verordnung (EU) 2021/2116</w:t>
      </w:r>
      <w:r>
        <w:rPr>
          <w:rFonts w:asciiTheme="minorHAnsi" w:eastAsiaTheme="minorEastAsia" w:hAnsiTheme="minorHAnsi" w:cstheme="minorBidi"/>
          <w:sz w:val="22"/>
          <w:szCs w:val="22"/>
          <w:vertAlign w:val="superscript"/>
        </w:rPr>
        <w:footnoteReference w:id="7"/>
      </w:r>
      <w:bookmarkEnd w:id="34"/>
      <w:r>
        <w:t xml:space="preserve"> zahlt die Kommission dem Mitgliedstaat nach dem Durchführungsbeschluss zur Genehmigung des GAP-Strategieplans einen ersten Vorschuss für die gesamte Laufzeit des GAP-Strategieplans. Gemäß Artikel 32 der Verordnung (EU) 2021/2116 werden für jeden GAP-Strategieplan Zwischenzahlungen geleistet, um die von den zugelassenen Zahlstellen für die Umsetzung der GAP-Strategiepläne getätigten Ausgaben zu erstatten.</w:t>
      </w:r>
    </w:p>
    <w:p w14:paraId="1F794AC6" w14:textId="44A74F07" w:rsidR="00424875" w:rsidRDefault="1B285450" w:rsidP="00A44A15">
      <w:pPr>
        <w:pStyle w:val="Text1"/>
      </w:pPr>
      <w:r>
        <w:t>In Bezug auf den Abschluss von Programmen zur Entwicklung des ländlichen Raums, die gemäß der Verordnung (EU) Nr. 1306/2013 genehmigt wurden, ist in Artikel 34 der genannten Verordnung festgelegt, dass der kumulierte Betrag des Vorschusses und der Zwischenzahlungen 95 % der Beteiligung des ELER an jedem Programm zur Entwicklung des ländlichen Raums nicht überschreiten darf. Die Kommission leistet die Zwischenzahlungen vorbehaltlich der Verfügbarkeit der Haushaltsmittel und unter Berücksichtigung der Verringerungen bzw. Aussetzungen, die aufgrund des Artikels 41 der genannten Verordnung angewendet werden, um die von den zugelassenen Zahlstellen für die Durchführung der Maßnahmen getätigten Ausgaben zu erstatten.</w:t>
      </w:r>
    </w:p>
    <w:p w14:paraId="226DAE16" w14:textId="49918B55" w:rsidR="00FD585F" w:rsidRDefault="009B6318" w:rsidP="0042522F">
      <w:pPr>
        <w:pStyle w:val="Text1"/>
      </w:pPr>
      <w:r>
        <w:t>Gemäß Artikel 37 der Verordnung (EU) Nr. 1306/2013 wird der Restbetrag von der Kommission vorbehaltlich der Verfügbarkeit der Haushaltsmittel nach Eingang des letzten jährlichen Durchführungsberichts über die Umsetzung eines Programms zur Entwicklung des ländlichen Raums auf der Grundlage des geltenden Finanzierungsplans, der Jahresrechnungen des letzten Durchführungsjahres des betreffenden Programms zur Entwicklung des ländlichen Raums und des entsprechenden Rechnungsabschlussbeschlusses gezahlt.</w:t>
      </w:r>
    </w:p>
    <w:p w14:paraId="24389ED6" w14:textId="3EB4A988" w:rsidR="00783EEE" w:rsidRPr="003B1662" w:rsidRDefault="00783EEE" w:rsidP="00990270">
      <w:pPr>
        <w:pStyle w:val="ManualHeading2"/>
        <w:spacing w:before="360" w:after="160"/>
        <w:ind w:left="851" w:hanging="851"/>
        <w:rPr>
          <w:noProof/>
        </w:rPr>
      </w:pPr>
      <w:bookmarkStart w:id="35" w:name="_Toc175120251"/>
      <w:r>
        <w:rPr>
          <w:noProof/>
        </w:rPr>
        <w:t>2.2.1.</w:t>
      </w:r>
      <w:r>
        <w:rPr>
          <w:noProof/>
        </w:rPr>
        <w:tab/>
        <w:t>Zahlungen</w:t>
      </w:r>
      <w:bookmarkEnd w:id="35"/>
    </w:p>
    <w:p w14:paraId="1252B9FF" w14:textId="13F09EF6" w:rsidR="00F5467D" w:rsidRDefault="00F5467D" w:rsidP="00F5467D">
      <w:pPr>
        <w:pStyle w:val="Text1"/>
      </w:pPr>
      <w:r>
        <w:t xml:space="preserve">Die Kommission zahlt Erstattungen für jede vierteljährliche Ausgabenerklärung des Haushaltsjahres. </w:t>
      </w:r>
    </w:p>
    <w:p w14:paraId="0AB633CC" w14:textId="0A4CE064" w:rsidR="00F5467D" w:rsidRDefault="1720EFB0" w:rsidP="00F5467D">
      <w:pPr>
        <w:pStyle w:val="Text1"/>
      </w:pPr>
      <w:r>
        <w:t>Weitere Einzelheiten in Anhang 7.</w:t>
      </w:r>
    </w:p>
    <w:p w14:paraId="63C9EFD3" w14:textId="2C39E7D7" w:rsidR="00A71882" w:rsidRPr="003B1662" w:rsidRDefault="00A71882" w:rsidP="00C441FB">
      <w:pPr>
        <w:pStyle w:val="ManualHeading2"/>
        <w:spacing w:before="360" w:after="160"/>
        <w:ind w:left="851" w:hanging="851"/>
        <w:rPr>
          <w:noProof/>
        </w:rPr>
      </w:pPr>
      <w:bookmarkStart w:id="36" w:name="_Toc175120252"/>
      <w:r>
        <w:rPr>
          <w:noProof/>
        </w:rPr>
        <w:t>2.2.2.</w:t>
      </w:r>
      <w:r>
        <w:rPr>
          <w:noProof/>
        </w:rPr>
        <w:tab/>
        <w:t>Zahlungskürzungen</w:t>
      </w:r>
      <w:bookmarkEnd w:id="36"/>
    </w:p>
    <w:p w14:paraId="4CF6F071" w14:textId="604E47F2" w:rsidR="00F5467D" w:rsidRDefault="2286B689" w:rsidP="009B6318">
      <w:pPr>
        <w:pStyle w:val="Text1"/>
      </w:pPr>
      <w:r>
        <w:t>Basierend auf den vierteljährlichen Ausgabenerklärungen 2023 wurden die Zahlungen an die Mitgliedstaaten im Jahr 2023 um einen Nettobetrag von 152,7 Mio. EUR gekürzt. Für aus dem ELER finanzierte Maßnahmen sind in Übereinstimmung mit den Rechtsvorschriften finanzielle Obergrenzen festgelegt. Ausgaben, die diese Obergrenzen überschreiten, gelten als „nicht förderfähige Ausgaben“ und führen zu Kürzungen der Zahlungen.</w:t>
      </w:r>
    </w:p>
    <w:p w14:paraId="27F2DA00" w14:textId="45CCBA5D" w:rsidR="00A46144" w:rsidRPr="00C84E21" w:rsidRDefault="00A46144" w:rsidP="00C441FB">
      <w:pPr>
        <w:pStyle w:val="ManualHeading2"/>
        <w:spacing w:before="360" w:after="160"/>
        <w:ind w:left="851" w:hanging="851"/>
        <w:rPr>
          <w:noProof/>
        </w:rPr>
      </w:pPr>
      <w:bookmarkStart w:id="37" w:name="_Toc175120253"/>
      <w:r>
        <w:rPr>
          <w:noProof/>
        </w:rPr>
        <w:t>2.2.3.</w:t>
      </w:r>
      <w:r>
        <w:rPr>
          <w:noProof/>
        </w:rPr>
        <w:tab/>
        <w:t>Ausgaben im Rahmen der direkten Mittelverwaltung durch die Kommission</w:t>
      </w:r>
      <w:bookmarkEnd w:id="37"/>
    </w:p>
    <w:p w14:paraId="0FC9B329" w14:textId="362AFBF0" w:rsidR="00420206" w:rsidRDefault="00A46144" w:rsidP="00420206">
      <w:pPr>
        <w:pStyle w:val="Text1"/>
      </w:pPr>
      <w:r>
        <w:t xml:space="preserve">Für bestimmte Maßnahmen und Aktionen, hauptsächlich im Zusammenhang mit operativer technischer Hilfe, leistet die Kommission Zahlungen im Rahmen der direkten Mittelverwaltung. Einzelheiten zu den von der Kommission im Haushaltsjahr 2023 im Rahmen der direkten Mittelverwaltung ausgeführten Mitteln für operative Ausgaben sind den Tabellen 4 und 5 sowie den Anhängen 5 und 6 zu entnehmen. </w:t>
      </w:r>
    </w:p>
    <w:p w14:paraId="1DBF7C5F" w14:textId="77777777" w:rsidR="002B4523" w:rsidRPr="0096764E" w:rsidRDefault="002B4523" w:rsidP="00420206">
      <w:pPr>
        <w:pStyle w:val="Text1"/>
      </w:pPr>
    </w:p>
    <w:p w14:paraId="0E9555C6" w14:textId="069BABF9" w:rsidR="00D51119" w:rsidRDefault="00D51119" w:rsidP="00A42569">
      <w:pPr>
        <w:pStyle w:val="Text1"/>
        <w:keepNext/>
        <w:rPr>
          <w:i/>
        </w:rPr>
      </w:pPr>
      <w:r>
        <w:t xml:space="preserve">Tabelle 4 </w:t>
      </w:r>
      <w:r>
        <w:rPr>
          <w:i/>
          <w:iCs/>
        </w:rPr>
        <w:t>(in EUR;</w:t>
      </w:r>
      <w:r>
        <w:rPr>
          <w:i/>
        </w:rPr>
        <w:t xml:space="preserve"> jeweilige Preise)</w:t>
      </w:r>
    </w:p>
    <w:p w14:paraId="305C4F31" w14:textId="3E224FFD" w:rsidR="0058729B" w:rsidRDefault="00A42569" w:rsidP="007E0E8A">
      <w:pPr>
        <w:pStyle w:val="Text1"/>
        <w:ind w:left="567"/>
        <w:jc w:val="center"/>
        <w:rPr>
          <w:i/>
        </w:rPr>
      </w:pPr>
      <w:r w:rsidRPr="00A42569">
        <w:rPr>
          <w:lang w:val="en-GB" w:eastAsia="en-GB"/>
        </w:rPr>
        <w:drawing>
          <wp:inline distT="0" distB="0" distL="0" distR="0" wp14:anchorId="72A7CF1C" wp14:editId="46C1F07A">
            <wp:extent cx="5498481" cy="4528109"/>
            <wp:effectExtent l="0" t="0" r="6985" b="6350"/>
            <wp:docPr id="12304368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2485" cy="4547876"/>
                    </a:xfrm>
                    <a:prstGeom prst="rect">
                      <a:avLst/>
                    </a:prstGeom>
                    <a:noFill/>
                    <a:ln>
                      <a:noFill/>
                    </a:ln>
                  </pic:spPr>
                </pic:pic>
              </a:graphicData>
            </a:graphic>
          </wp:inline>
        </w:drawing>
      </w:r>
    </w:p>
    <w:p w14:paraId="6ED7EBBE" w14:textId="27D34B6A" w:rsidR="00786D11" w:rsidRDefault="00786D11" w:rsidP="00CB4026">
      <w:pPr>
        <w:pStyle w:val="Text1"/>
        <w:rPr>
          <w:iCs/>
        </w:rPr>
      </w:pPr>
    </w:p>
    <w:p w14:paraId="4553ABD3" w14:textId="7BA24F53" w:rsidR="00CB4026" w:rsidRDefault="00CB4026" w:rsidP="00CB4026">
      <w:pPr>
        <w:pStyle w:val="Text1"/>
        <w:rPr>
          <w:i/>
        </w:rPr>
      </w:pPr>
      <w:r>
        <w:t xml:space="preserve">Tabelle 5 </w:t>
      </w:r>
      <w:r>
        <w:rPr>
          <w:i/>
          <w:iCs/>
        </w:rPr>
        <w:t>(in EUR;</w:t>
      </w:r>
      <w:r>
        <w:rPr>
          <w:i/>
        </w:rPr>
        <w:t xml:space="preserve"> jeweilige Preise)</w:t>
      </w:r>
    </w:p>
    <w:p w14:paraId="1A52966D" w14:textId="638BBE07" w:rsidR="00C27CB0" w:rsidRDefault="00A42569" w:rsidP="007E0E8A">
      <w:pPr>
        <w:pStyle w:val="Text1"/>
        <w:ind w:left="426"/>
        <w:jc w:val="center"/>
        <w:rPr>
          <w:i/>
        </w:rPr>
      </w:pPr>
      <w:r w:rsidRPr="00A42569">
        <w:rPr>
          <w:lang w:val="en-GB" w:eastAsia="en-GB"/>
        </w:rPr>
        <w:drawing>
          <wp:inline distT="0" distB="0" distL="0" distR="0" wp14:anchorId="61904347" wp14:editId="4A4732E5">
            <wp:extent cx="5542496" cy="2048256"/>
            <wp:effectExtent l="0" t="0" r="1270" b="9525"/>
            <wp:docPr id="750826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5720" cy="2053143"/>
                    </a:xfrm>
                    <a:prstGeom prst="rect">
                      <a:avLst/>
                    </a:prstGeom>
                    <a:noFill/>
                    <a:ln>
                      <a:noFill/>
                    </a:ln>
                  </pic:spPr>
                </pic:pic>
              </a:graphicData>
            </a:graphic>
          </wp:inline>
        </w:drawing>
      </w:r>
    </w:p>
    <w:p w14:paraId="1E1E3662" w14:textId="0E4320AD" w:rsidR="00430704" w:rsidRDefault="00430704" w:rsidP="00A44A15">
      <w:pPr>
        <w:pStyle w:val="Text1"/>
      </w:pPr>
    </w:p>
    <w:p w14:paraId="06F4EF5D" w14:textId="13EB1E69" w:rsidR="00A44A15" w:rsidRDefault="00A44A15" w:rsidP="00A44A15">
      <w:pPr>
        <w:pStyle w:val="Text1"/>
      </w:pPr>
    </w:p>
    <w:p w14:paraId="69B5C67B" w14:textId="2686C5D9" w:rsidR="00A44A15" w:rsidRPr="003B1662" w:rsidRDefault="00A44A15" w:rsidP="00B36033">
      <w:pPr>
        <w:pStyle w:val="ManualHeading1"/>
        <w:spacing w:after="160"/>
        <w:ind w:left="851" w:hanging="851"/>
        <w:rPr>
          <w:noProof/>
        </w:rPr>
      </w:pPr>
      <w:bookmarkStart w:id="38" w:name="_Toc7010710"/>
      <w:bookmarkStart w:id="39" w:name="_Toc102661850"/>
      <w:bookmarkStart w:id="40" w:name="_Toc105773198"/>
      <w:bookmarkStart w:id="41" w:name="_Toc139622279"/>
      <w:bookmarkStart w:id="42" w:name="_Toc175120254"/>
      <w:r>
        <w:rPr>
          <w:noProof/>
        </w:rPr>
        <w:t>3.</w:t>
      </w:r>
      <w:r>
        <w:rPr>
          <w:noProof/>
        </w:rPr>
        <w:tab/>
        <w:t>INANSPRUCHNAHME DER EGFL- UND ELER-HAUSHALTSMITTEL</w:t>
      </w:r>
      <w:bookmarkEnd w:id="38"/>
      <w:bookmarkEnd w:id="39"/>
      <w:bookmarkEnd w:id="40"/>
      <w:bookmarkEnd w:id="41"/>
      <w:bookmarkEnd w:id="42"/>
      <w:r>
        <w:rPr>
          <w:noProof/>
        </w:rPr>
        <w:t xml:space="preserve"> </w:t>
      </w:r>
    </w:p>
    <w:p w14:paraId="51B1D8B7" w14:textId="483DA1B9" w:rsidR="00EC1B77" w:rsidRDefault="00EC1B77" w:rsidP="00EC1B77">
      <w:pPr>
        <w:pStyle w:val="ManualHeading2"/>
        <w:rPr>
          <w:noProof/>
        </w:rPr>
      </w:pPr>
      <w:bookmarkStart w:id="43" w:name="_Toc175120255"/>
      <w:r>
        <w:rPr>
          <w:noProof/>
        </w:rPr>
        <w:t>3.1.</w:t>
      </w:r>
      <w:r>
        <w:rPr>
          <w:noProof/>
        </w:rPr>
        <w:tab/>
        <w:t>Europäischer Garantiefonds für die Landwirtschaft (EGFL)</w:t>
      </w:r>
      <w:bookmarkEnd w:id="43"/>
    </w:p>
    <w:p w14:paraId="7D8C45E1" w14:textId="01EEFD8F" w:rsidR="00A44A15" w:rsidRDefault="00A44A15" w:rsidP="00A44A15">
      <w:pPr>
        <w:pStyle w:val="Text1"/>
        <w:ind w:left="851"/>
      </w:pPr>
      <w:r>
        <w:t>Die ausgeführten EGFL-Mittel beliefen sich auf 41 133,6 Mio. EUR.</w:t>
      </w:r>
      <w:r>
        <w:rPr>
          <w:vertAlign w:val="superscript"/>
        </w:rPr>
        <w:footnoteReference w:id="8"/>
      </w:r>
      <w:r>
        <w:t xml:space="preserve"> Diese Ausgaben wurden aus den ursprünglichen Mittelansätzen und unter Verwendung zweckgebundener Einnahmen des EGFL finanziert. Von den zweckgebundenen Einnahmen des EGFL aus dem Jahr 2023 in Höhe von 623,9 Mio. EUR wurden 283,6 Mio. EUR verwendet, um den Bedarf an Mitteln für Zahlungen zu decken.</w:t>
      </w:r>
    </w:p>
    <w:p w14:paraId="28486714" w14:textId="41C812E6" w:rsidR="00ED794D" w:rsidRDefault="7C74DD14" w:rsidP="00A44A15">
      <w:pPr>
        <w:pStyle w:val="Text1"/>
        <w:ind w:left="851"/>
      </w:pPr>
      <w:r>
        <w:t>Die im Rahmen von Kapitel 08 01 Artikel 08 01 01 gebundenen EGFL-Mittel für die administrative Unterstützung beliefen sich auf 4,3 Mio. EUR.</w:t>
      </w:r>
    </w:p>
    <w:p w14:paraId="0961C9D8" w14:textId="13EEDAA9" w:rsidR="00A44A15" w:rsidRDefault="00A44A15" w:rsidP="00A44A15">
      <w:pPr>
        <w:pStyle w:val="Text1"/>
        <w:ind w:left="851"/>
      </w:pPr>
      <w:r>
        <w:t>Im Rahmen von Kapitel 08 02 beliefen sich die Gesamtausgaben des EGFL für marktbezogene Interventionen innerhalb der GAP-Pläne (Haushaltsartikel 08 02 02) und außerhalb der GAP-Pläne (Haushaltsartikel 08 02 03) auf 2 674 Mio. EUR. Direktzahlungen im Haushaltsjahr 2023 wurden außerhalb der GAP-Pläne (Haushaltsartikel 08 02 05) gemäß den Vorschriften der Verordnung (EU) Nr. 1307/2013 getätigt. Die entsprechenden Ausgaben beliefen sich auf 38 161,7 Mio. EUR. Darüber hinaus wurden 134,5 Mio. EUR aus der Agrarreserve zur Finanzierung verschiedener außergewöhnlicher Stützungsmaßnahmen verwendet. Schließlich wurden 159,1 Mio. EUR im Rahmen der Artikel 08 02 06 (Allgemeine operative Unterstützung, Koordinierung und Prüfung) und 08 02 99 (Abschluss früherer Programme und Tätigkeiten) gebunden.</w:t>
      </w:r>
    </w:p>
    <w:p w14:paraId="393E7302" w14:textId="6EEFE77C" w:rsidR="00AF4140" w:rsidRDefault="29504D58" w:rsidP="00A44A15">
      <w:pPr>
        <w:pStyle w:val="Text1"/>
        <w:ind w:left="851"/>
      </w:pPr>
      <w:r>
        <w:t>Der Minderverbrauch beim EGFL belief sich auf 341,3 Mio. EUR an zweckgebundenen Einnahmen, die auf das Jahr 2024 übertragen wurden. Zudem wurden Mittel aus der Agrarreserve in Höhe von 315,5 Mio. EUR nicht verwendet. Dies lag in der späten Veröffentlichung des zweiten und dritten Unterstützungspakets im Jahr 2023 begründet. Gemäß Artikel 16 der Verordnung (EU) 2021/2116 wurde der gesamte Betrag auf die Agrarreserve 2024 übertragen, um die verbleibenden Ausgaben im Zusammenhang mit den außergewöhnlichen Maßnahmen 2023 zu finanzieren.</w:t>
      </w:r>
    </w:p>
    <w:p w14:paraId="078915C0" w14:textId="4CC7BBCD" w:rsidR="00A068FF" w:rsidRDefault="1BFC6801" w:rsidP="00A44A15">
      <w:pPr>
        <w:pStyle w:val="Text1"/>
        <w:ind w:left="851"/>
      </w:pPr>
      <w:r>
        <w:t>Einzelheiten zur Ausführung des Haushaltsplans nach einzelnen Politikbereichen sowie zur Verwendung der zweckgebundenen Einnahmen sind Anhang 8, Anhang 9, Anhang 10, Anhang 11 und Anhang 12 zu entnehmen.</w:t>
      </w:r>
    </w:p>
    <w:p w14:paraId="7FEC7E90" w14:textId="2A6D5078" w:rsidR="00F22803" w:rsidRDefault="166B8160" w:rsidP="00B36033">
      <w:pPr>
        <w:pStyle w:val="ManualHeading2"/>
        <w:spacing w:before="360" w:after="160"/>
        <w:ind w:left="851" w:hanging="851"/>
        <w:rPr>
          <w:noProof/>
        </w:rPr>
      </w:pPr>
      <w:bookmarkStart w:id="44" w:name="_Toc175120256"/>
      <w:r>
        <w:rPr>
          <w:noProof/>
        </w:rPr>
        <w:t>3.2.</w:t>
      </w:r>
      <w:r>
        <w:rPr>
          <w:noProof/>
        </w:rPr>
        <w:tab/>
        <w:t>Europäischer Landwirtschaftsfonds für die Entwicklung des ländlichen Raums (ELER) und Aufbauinstrument der Europäischen Union (EURI)</w:t>
      </w:r>
      <w:bookmarkEnd w:id="44"/>
    </w:p>
    <w:p w14:paraId="2CF7E207" w14:textId="2EDBFB79" w:rsidR="00AB4DB3" w:rsidRDefault="7E197CE2" w:rsidP="00AB4DB3">
      <w:pPr>
        <w:pStyle w:val="Text1"/>
        <w:ind w:left="851"/>
      </w:pPr>
      <w:r>
        <w:t xml:space="preserve">Für den ELER beliefen sich die ausgeführten Mittel für Verpflichtungen auf 12 953,5 Mio. EUR (Anhang 13). Diese Verpflichtungen wurden aus den gebilligten ursprünglichen Mittelansätzen und unter Verwendung der internen zweckgebundenen Einnahmen des ELER finanziert. </w:t>
      </w:r>
    </w:p>
    <w:p w14:paraId="55116954" w14:textId="3269199C" w:rsidR="00F27ACB" w:rsidRDefault="7E197CE2" w:rsidP="00AB4DB3">
      <w:pPr>
        <w:pStyle w:val="Text1"/>
        <w:ind w:left="851"/>
      </w:pPr>
      <w:r>
        <w:t xml:space="preserve">Im Rahmen von Kapitel 08 01 beliefen sich die gebundenen ELER-Mittel für die administrative Unterstützung des Programms auf 2,2 Mio. EUR. </w:t>
      </w:r>
    </w:p>
    <w:p w14:paraId="536B19E9" w14:textId="5DBA73FF" w:rsidR="00436C21" w:rsidRDefault="6FAAADA4" w:rsidP="00AB4DB3">
      <w:pPr>
        <w:pStyle w:val="Text1"/>
        <w:ind w:left="851"/>
      </w:pPr>
      <w:r>
        <w:t>Im Rahmen von Kapitel 08 03 ergaben sich neben den gebundenen Mitteln für die Ausführung von Interventionskategorien im Rahmen der GAP-Strategiepläne (12 904,4 Mio. EUR) folgende Beträge:</w:t>
      </w:r>
    </w:p>
    <w:p w14:paraId="0D4D2C7A" w14:textId="5157C5E3" w:rsidR="003E67F3" w:rsidRDefault="17832E1B" w:rsidP="00436C21">
      <w:pPr>
        <w:pStyle w:val="Text1"/>
        <w:numPr>
          <w:ilvl w:val="0"/>
          <w:numId w:val="40"/>
        </w:numPr>
      </w:pPr>
      <w:r>
        <w:t>Gebundener Betrag in Höhe von 28,1 Mio. EUR für operative technische Hilfe</w:t>
      </w:r>
    </w:p>
    <w:p w14:paraId="3FCDCD12" w14:textId="39A5706B" w:rsidR="00A254D0" w:rsidRDefault="62AF756C" w:rsidP="00A254D0">
      <w:pPr>
        <w:pStyle w:val="Text1"/>
        <w:numPr>
          <w:ilvl w:val="0"/>
          <w:numId w:val="40"/>
        </w:numPr>
      </w:pPr>
      <w:r>
        <w:t>Gebundener Betrag in Höhe von 18,8 Mio. EUR für Rückzahlungen im Rahmen von Programmen zur Entwicklung des ländlichen Raums in den vorangegangenen Zeiträumen (vor 2023)</w:t>
      </w:r>
    </w:p>
    <w:p w14:paraId="20077787" w14:textId="3F03AB25" w:rsidR="00501417" w:rsidRDefault="00501417" w:rsidP="00A254D0">
      <w:pPr>
        <w:pStyle w:val="Text1"/>
        <w:ind w:left="851"/>
      </w:pPr>
      <w:r>
        <w:t>Ausschöpfungsquote des ELER 2014–2022 und des ELER 2023–2027 nach Mitgliedstaat (Abbildungen 1a–d):</w:t>
      </w:r>
    </w:p>
    <w:p w14:paraId="10B90BE0" w14:textId="77777777" w:rsidR="00474081" w:rsidRDefault="00474081" w:rsidP="00A254D0">
      <w:pPr>
        <w:pStyle w:val="Text1"/>
        <w:ind w:left="851"/>
      </w:pPr>
    </w:p>
    <w:p w14:paraId="130B5288" w14:textId="0ACEE096" w:rsidR="004928C0" w:rsidRDefault="00A42569" w:rsidP="00A254D0">
      <w:pPr>
        <w:pStyle w:val="Text1"/>
        <w:ind w:left="851"/>
      </w:pPr>
      <w:r w:rsidRPr="00A42569">
        <w:rPr>
          <w:lang w:val="en-GB" w:eastAsia="en-GB"/>
        </w:rPr>
        <w:drawing>
          <wp:inline distT="0" distB="0" distL="0" distR="0" wp14:anchorId="52E4692D" wp14:editId="4438D4B5">
            <wp:extent cx="5392330" cy="3847796"/>
            <wp:effectExtent l="0" t="0" r="0" b="635"/>
            <wp:docPr id="17164013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975" cy="3853965"/>
                    </a:xfrm>
                    <a:prstGeom prst="rect">
                      <a:avLst/>
                    </a:prstGeom>
                    <a:noFill/>
                    <a:ln>
                      <a:noFill/>
                    </a:ln>
                  </pic:spPr>
                </pic:pic>
              </a:graphicData>
            </a:graphic>
          </wp:inline>
        </w:drawing>
      </w:r>
    </w:p>
    <w:p w14:paraId="01A94DBD" w14:textId="08831767" w:rsidR="00BC2DA2" w:rsidRDefault="00BC2DA2" w:rsidP="007E0E8A">
      <w:pPr>
        <w:pStyle w:val="Text1"/>
        <w:ind w:left="284"/>
        <w:jc w:val="left"/>
      </w:pPr>
    </w:p>
    <w:p w14:paraId="63766D19" w14:textId="0ED6692F" w:rsidR="00346A0F" w:rsidRDefault="00A42569" w:rsidP="00A254D0">
      <w:pPr>
        <w:pStyle w:val="Text1"/>
        <w:ind w:left="851"/>
      </w:pPr>
      <w:r w:rsidRPr="00A42569">
        <w:rPr>
          <w:lang w:val="en-GB" w:eastAsia="en-GB"/>
        </w:rPr>
        <w:drawing>
          <wp:inline distT="0" distB="0" distL="0" distR="0" wp14:anchorId="53A7D9E5" wp14:editId="21102B74">
            <wp:extent cx="5479042" cy="3386938"/>
            <wp:effectExtent l="0" t="0" r="7620" b="4445"/>
            <wp:docPr id="12066720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1430" cy="3388414"/>
                    </a:xfrm>
                    <a:prstGeom prst="rect">
                      <a:avLst/>
                    </a:prstGeom>
                    <a:noFill/>
                    <a:ln>
                      <a:noFill/>
                    </a:ln>
                  </pic:spPr>
                </pic:pic>
              </a:graphicData>
            </a:graphic>
          </wp:inline>
        </w:drawing>
      </w:r>
    </w:p>
    <w:p w14:paraId="2F8B0BD6" w14:textId="0ADD8A33" w:rsidR="00696124" w:rsidRDefault="00A42569" w:rsidP="001D07EE">
      <w:pPr>
        <w:pStyle w:val="Text1"/>
        <w:ind w:left="851"/>
      </w:pPr>
      <w:r w:rsidRPr="00A42569">
        <w:rPr>
          <w:lang w:val="en-GB" w:eastAsia="en-GB"/>
        </w:rPr>
        <w:drawing>
          <wp:inline distT="0" distB="0" distL="0" distR="0" wp14:anchorId="303BF8A9" wp14:editId="5C4C2C69">
            <wp:extent cx="5544921" cy="3568654"/>
            <wp:effectExtent l="0" t="0" r="0" b="0"/>
            <wp:docPr id="10134391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51050" cy="3572599"/>
                    </a:xfrm>
                    <a:prstGeom prst="rect">
                      <a:avLst/>
                    </a:prstGeom>
                    <a:noFill/>
                    <a:ln>
                      <a:noFill/>
                    </a:ln>
                  </pic:spPr>
                </pic:pic>
              </a:graphicData>
            </a:graphic>
          </wp:inline>
        </w:drawing>
      </w:r>
    </w:p>
    <w:p w14:paraId="5CD651E8" w14:textId="409B5831" w:rsidR="00696119" w:rsidRDefault="00696119" w:rsidP="00A254D0">
      <w:pPr>
        <w:pStyle w:val="Text1"/>
        <w:ind w:left="851"/>
      </w:pPr>
    </w:p>
    <w:p w14:paraId="424937B7" w14:textId="707AA2EF" w:rsidR="00423A61" w:rsidRDefault="00A42569" w:rsidP="001D07EE">
      <w:pPr>
        <w:pStyle w:val="Text1"/>
        <w:ind w:left="851"/>
      </w:pPr>
      <w:r w:rsidRPr="00A42569">
        <w:rPr>
          <w:lang w:val="en-GB" w:eastAsia="en-GB"/>
        </w:rPr>
        <w:drawing>
          <wp:inline distT="0" distB="0" distL="0" distR="0" wp14:anchorId="1EABF318" wp14:editId="77568402">
            <wp:extent cx="5632704" cy="3468085"/>
            <wp:effectExtent l="0" t="0" r="6350" b="0"/>
            <wp:docPr id="21236086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34942" cy="3469463"/>
                    </a:xfrm>
                    <a:prstGeom prst="rect">
                      <a:avLst/>
                    </a:prstGeom>
                    <a:noFill/>
                    <a:ln>
                      <a:noFill/>
                    </a:ln>
                  </pic:spPr>
                </pic:pic>
              </a:graphicData>
            </a:graphic>
          </wp:inline>
        </w:drawing>
      </w:r>
    </w:p>
    <w:p w14:paraId="7670B588" w14:textId="77777777" w:rsidR="00474081" w:rsidRDefault="00474081" w:rsidP="00686BE5">
      <w:pPr>
        <w:pStyle w:val="Text1"/>
        <w:ind w:left="851"/>
      </w:pPr>
    </w:p>
    <w:p w14:paraId="5EBB9197" w14:textId="4B818146" w:rsidR="00AB4DB3" w:rsidRPr="00E02A5F" w:rsidRDefault="7E197CE2" w:rsidP="00686BE5">
      <w:pPr>
        <w:pStyle w:val="Text1"/>
        <w:ind w:left="851"/>
      </w:pPr>
      <w:r>
        <w:t>Einzelheiten zur Ausführung des Haushaltsplans nach Mitgliedstaat und nach einzelnen Politikbereichen sowie zur Verwendung der zweckgebundenen Einnahmen sind den Anhängen 14 bis 18 zu entnehmen.</w:t>
      </w:r>
    </w:p>
    <w:p w14:paraId="5048EE7D" w14:textId="6028E422" w:rsidR="00A44A15" w:rsidRPr="00687990" w:rsidRDefault="00783DE4" w:rsidP="00687990">
      <w:pPr>
        <w:pStyle w:val="ManualHeading1"/>
        <w:spacing w:after="160"/>
        <w:ind w:left="851" w:hanging="851"/>
        <w:rPr>
          <w:noProof/>
        </w:rPr>
      </w:pPr>
      <w:bookmarkStart w:id="45" w:name="DQC4262"/>
      <w:bookmarkStart w:id="46" w:name="DQC4263"/>
      <w:bookmarkStart w:id="47" w:name="_Toc322938639"/>
      <w:bookmarkStart w:id="48" w:name="_Toc102661874"/>
      <w:bookmarkStart w:id="49" w:name="_Toc105773228"/>
      <w:bookmarkStart w:id="50" w:name="_Toc139622280"/>
      <w:bookmarkStart w:id="51" w:name="_Toc175120257"/>
      <w:bookmarkEnd w:id="45"/>
      <w:bookmarkEnd w:id="46"/>
      <w:r>
        <w:rPr>
          <w:noProof/>
        </w:rPr>
        <w:t>4.</w:t>
      </w:r>
      <w:r>
        <w:rPr>
          <w:noProof/>
        </w:rPr>
        <w:tab/>
        <w:t>KONTROLLMAẞNAHMEN</w:t>
      </w:r>
      <w:bookmarkEnd w:id="47"/>
      <w:bookmarkEnd w:id="48"/>
      <w:bookmarkEnd w:id="49"/>
      <w:bookmarkEnd w:id="50"/>
      <w:bookmarkEnd w:id="51"/>
      <w:r>
        <w:rPr>
          <w:noProof/>
        </w:rPr>
        <w:t xml:space="preserve"> </w:t>
      </w:r>
    </w:p>
    <w:p w14:paraId="18F205DB" w14:textId="63F4130F" w:rsidR="00A44A15" w:rsidRDefault="0003316B" w:rsidP="00C441FB">
      <w:pPr>
        <w:pStyle w:val="ManualHeading2"/>
        <w:spacing w:after="160"/>
        <w:ind w:left="851" w:hanging="851"/>
        <w:rPr>
          <w:noProof/>
        </w:rPr>
      </w:pPr>
      <w:bookmarkStart w:id="52" w:name="_Toc322938640"/>
      <w:bookmarkStart w:id="53" w:name="_Toc102661875"/>
      <w:bookmarkStart w:id="54" w:name="_Toc105773229"/>
      <w:bookmarkStart w:id="55" w:name="_Toc139622281"/>
      <w:bookmarkStart w:id="56" w:name="_Toc175120258"/>
      <w:r>
        <w:rPr>
          <w:noProof/>
        </w:rPr>
        <w:t>4.1.</w:t>
      </w:r>
      <w:r>
        <w:rPr>
          <w:noProof/>
        </w:rPr>
        <w:tab/>
        <w:t>Einleitung</w:t>
      </w:r>
      <w:bookmarkEnd w:id="52"/>
      <w:bookmarkEnd w:id="53"/>
      <w:bookmarkEnd w:id="54"/>
      <w:bookmarkEnd w:id="55"/>
      <w:bookmarkEnd w:id="56"/>
    </w:p>
    <w:p w14:paraId="17D7713C" w14:textId="7BB3DCF0" w:rsidR="00A44A15" w:rsidRDefault="00A44A15" w:rsidP="00A44A15">
      <w:pPr>
        <w:pStyle w:val="Text1"/>
      </w:pPr>
      <w:r>
        <w:t>In Übereinstimmung mit den EU-Rechtsvorschriften und wie in den Vorjahren wurden die Agrarausgaben des Jahres 2023 einem umfassenden System von Kontrollmaßnahmen unterzogen.</w:t>
      </w:r>
    </w:p>
    <w:p w14:paraId="3F1FD9FF" w14:textId="77777777" w:rsidR="00A44A15" w:rsidRDefault="00A44A15" w:rsidP="00A44A15">
      <w:pPr>
        <w:pStyle w:val="Text1"/>
      </w:pPr>
      <w:r>
        <w:t>Die Kontrollen werden von den Zahlstellen oder von beauftragten Einrichtungen durchgeführt, die unter ihrer Aufsicht tätig sind. Wenn bei den Kontrollen ein Verstoß gegen die EU-Vorschriften festgestellt wird, werden wirksame, abschreckende und verhältnismäßige Sanktionen verhängt. Darüber hinaus müssen bei den meisten Regelungen, die nicht dem Integrierten Verwaltungs- und Kontrollsystem unterliegen, zusätzlich zu den Primär- und Sekundärkontrollen auch Ex-post-Kontrollen durchgeführt werden.</w:t>
      </w:r>
    </w:p>
    <w:p w14:paraId="43FAE540" w14:textId="3B3BBBF5" w:rsidR="00A44A15" w:rsidRDefault="0003316B" w:rsidP="00C441FB">
      <w:pPr>
        <w:pStyle w:val="ManualHeading2"/>
        <w:spacing w:before="360" w:after="160"/>
        <w:ind w:left="851" w:hanging="851"/>
        <w:rPr>
          <w:noProof/>
        </w:rPr>
      </w:pPr>
      <w:bookmarkStart w:id="57" w:name="_Toc322938641"/>
      <w:bookmarkStart w:id="58" w:name="_Toc102661876"/>
      <w:bookmarkStart w:id="59" w:name="_Toc105773230"/>
      <w:bookmarkStart w:id="60" w:name="_Toc139622282"/>
      <w:bookmarkStart w:id="61" w:name="_Toc175120259"/>
      <w:r>
        <w:rPr>
          <w:noProof/>
        </w:rPr>
        <w:t>4.2.</w:t>
      </w:r>
      <w:r>
        <w:rPr>
          <w:noProof/>
        </w:rPr>
        <w:tab/>
        <w:t>Integriertes Verwaltungs- und Kontrollsystem (IVKS)</w:t>
      </w:r>
      <w:bookmarkEnd w:id="57"/>
      <w:bookmarkEnd w:id="58"/>
      <w:bookmarkEnd w:id="59"/>
      <w:bookmarkEnd w:id="60"/>
      <w:bookmarkEnd w:id="61"/>
    </w:p>
    <w:p w14:paraId="0B39AB62" w14:textId="698E4E9D" w:rsidR="00A44A15" w:rsidRDefault="00A44A15" w:rsidP="00A44A15">
      <w:pPr>
        <w:pStyle w:val="Text1"/>
      </w:pPr>
      <w:r>
        <w:t>Die Vorschriften für das IVKS sind in der Verordnung (EU) Nr. 1306/2013, der Verordnung (EU) 2021/2116, der Delegierten Verordnung (EU) Nr. 640/2014 der Kommission</w:t>
      </w:r>
      <w:r>
        <w:rPr>
          <w:vertAlign w:val="superscript"/>
        </w:rPr>
        <w:footnoteReference w:id="9"/>
      </w:r>
      <w:r>
        <w:t xml:space="preserve"> und in der Durchführungsverordnung (EU) Nr. 809/2014 der Kommission</w:t>
      </w:r>
      <w:r>
        <w:rPr>
          <w:rStyle w:val="FootnoteReference"/>
        </w:rPr>
        <w:footnoteReference w:id="10"/>
      </w:r>
      <w:r>
        <w:t xml:space="preserve"> enthalten.</w:t>
      </w:r>
    </w:p>
    <w:p w14:paraId="3E708DFE" w14:textId="4FCED41A" w:rsidR="00A44A15" w:rsidRDefault="018C3584" w:rsidP="00A44A15">
      <w:pPr>
        <w:pStyle w:val="Text1"/>
      </w:pPr>
      <w:r>
        <w:t>Der jährliche Tätigkeitsbericht der GD AGRI</w:t>
      </w:r>
      <w:r>
        <w:rPr>
          <w:vertAlign w:val="superscript"/>
        </w:rPr>
        <w:footnoteReference w:id="11"/>
      </w:r>
      <w:r>
        <w:t xml:space="preserve"> für das Jahr 2023 enthält in Anhang 7, Teil 1, Ebene 2 (Seite 122) detaillierte Informationen über die Ausgaben im Rahmen des IVKS: Detaillierte Systeme für Kontrollen vor Zahlungen und abschreckende Sanktionen. Die einschlägigen Komponenten des IVKS sind auch auf die Maßnahmen zur Entwicklung des ländlichen Raums anwendbar, die sich auf die Fläche oder die Zahl der Tiere beziehen. Diese Maßnahmen betreffen unter anderem Agrarumwelt- und Tierschutzmaßnahmen, benachteiligte Gebiete und Gebiete mit umweltspezifischen Einschränkungen sowie die Aufforstung von landwirtschaftlichen Flächen. </w:t>
      </w:r>
    </w:p>
    <w:p w14:paraId="7F04165F" w14:textId="650D7423" w:rsidR="00D455C3" w:rsidRDefault="0003316B" w:rsidP="00C441FB">
      <w:pPr>
        <w:pStyle w:val="ManualHeading2"/>
        <w:spacing w:after="160"/>
        <w:ind w:left="851" w:hanging="851"/>
        <w:rPr>
          <w:noProof/>
        </w:rPr>
      </w:pPr>
      <w:bookmarkStart w:id="62" w:name="_Toc139622283"/>
      <w:bookmarkStart w:id="63" w:name="_Toc175120260"/>
      <w:r>
        <w:rPr>
          <w:noProof/>
        </w:rPr>
        <w:t>4.3.</w:t>
      </w:r>
      <w:r>
        <w:rPr>
          <w:noProof/>
        </w:rPr>
        <w:tab/>
      </w:r>
      <w:bookmarkStart w:id="64" w:name="_Hlk169880891"/>
      <w:r>
        <w:rPr>
          <w:noProof/>
        </w:rPr>
        <w:t>Anwendung von Titel V Kapitel III der Verordnung (EU) Nr. 1306/2013 und Titel IV Kapitel III der Verordnung (EU) 2021/2116 (Prüfung von Geschäftsvorgängen)</w:t>
      </w:r>
      <w:bookmarkEnd w:id="62"/>
      <w:bookmarkEnd w:id="63"/>
    </w:p>
    <w:p w14:paraId="5ADB3731" w14:textId="502D4A31" w:rsidR="00D455C3" w:rsidRDefault="00D455C3" w:rsidP="00D455C3">
      <w:pPr>
        <w:pStyle w:val="Text1"/>
      </w:pPr>
      <w:r>
        <w:t xml:space="preserve">Im Jahr 2023 galt das Kontrollsystem der Prüfung von Geschäftsvorgängen gemäß Titel V Kapitel III der Verordnung (EU) Nr. 1306/2013 und Titel IV Kapitel III der Verordnung (EU) 2021/2116. Dabei handelte es sich um ein System von Ex-post-Kontrollen, das die oben beschriebenen sektoralen Kontrollsysteme ergänzte. </w:t>
      </w:r>
    </w:p>
    <w:p w14:paraId="26E1363C" w14:textId="251B20CD" w:rsidR="00D455C3" w:rsidRDefault="52207C1E" w:rsidP="00D455C3">
      <w:pPr>
        <w:pStyle w:val="Text1"/>
      </w:pPr>
      <w:bookmarkStart w:id="65" w:name="_Hlk169880845"/>
      <w:r>
        <w:t>Im Jahr 2023 schlossen die Kontrollbehörden der Mitgliedstaaten Kontrollen in Bezug auf Vorhaben ab, für die im Haushaltsjahr 2021 Zahlungen geleistet wurden. Aus den Jahresberichten für den jeweiligen Prüfungszeitraum (Juli 2022 bis Juni 2023) geht hervor, dass die Mitgliedstaaten am Ende des Prüfungsberichtszeitraums 86 % der geplanten Prüfungen abgeschlossen hatten.</w:t>
      </w:r>
      <w:bookmarkEnd w:id="65"/>
      <w:r>
        <w:t xml:space="preserve"> Die Quote an Unregelmäßigkeiten bei diesen abgeschlossenen Prüfungen beträgt 2,2 %. </w:t>
      </w:r>
    </w:p>
    <w:p w14:paraId="28EA50B3" w14:textId="36F4DFCA" w:rsidR="00A44A15" w:rsidRDefault="0003316B" w:rsidP="00B36033">
      <w:pPr>
        <w:pStyle w:val="ManualHeading1"/>
        <w:spacing w:after="160"/>
        <w:ind w:left="851" w:hanging="851"/>
        <w:rPr>
          <w:noProof/>
        </w:rPr>
      </w:pPr>
      <w:bookmarkStart w:id="66" w:name="_Toc322938644"/>
      <w:bookmarkStart w:id="67" w:name="_Toc102661879"/>
      <w:bookmarkStart w:id="68" w:name="_Toc105773233"/>
      <w:bookmarkStart w:id="69" w:name="_Toc139622284"/>
      <w:bookmarkStart w:id="70" w:name="_Toc175120261"/>
      <w:bookmarkEnd w:id="64"/>
      <w:r>
        <w:rPr>
          <w:noProof/>
        </w:rPr>
        <w:t>5.</w:t>
      </w:r>
      <w:r>
        <w:rPr>
          <w:noProof/>
        </w:rPr>
        <w:tab/>
        <w:t>RECHNUNGSABSCHLUSS</w:t>
      </w:r>
      <w:bookmarkEnd w:id="66"/>
      <w:bookmarkEnd w:id="67"/>
      <w:bookmarkEnd w:id="68"/>
      <w:bookmarkEnd w:id="69"/>
      <w:bookmarkEnd w:id="70"/>
      <w:r>
        <w:rPr>
          <w:noProof/>
        </w:rPr>
        <w:t xml:space="preserve"> </w:t>
      </w:r>
    </w:p>
    <w:p w14:paraId="40269FA5" w14:textId="4EEFCDB9" w:rsidR="00A44A15" w:rsidRDefault="0003316B" w:rsidP="00C441FB">
      <w:pPr>
        <w:pStyle w:val="ManualHeading2"/>
        <w:spacing w:after="160"/>
        <w:ind w:left="851" w:hanging="851"/>
        <w:rPr>
          <w:noProof/>
        </w:rPr>
      </w:pPr>
      <w:bookmarkStart w:id="71" w:name="_Toc102661880"/>
      <w:bookmarkStart w:id="72" w:name="_Toc105773234"/>
      <w:bookmarkStart w:id="73" w:name="_Toc139622285"/>
      <w:bookmarkStart w:id="74" w:name="_Toc175120262"/>
      <w:bookmarkStart w:id="75" w:name="_Toc322938645"/>
      <w:r>
        <w:rPr>
          <w:noProof/>
        </w:rPr>
        <w:t>5.1.</w:t>
      </w:r>
      <w:r>
        <w:rPr>
          <w:noProof/>
        </w:rPr>
        <w:tab/>
        <w:t>Konformitätsabschluss</w:t>
      </w:r>
      <w:bookmarkEnd w:id="71"/>
      <w:bookmarkEnd w:id="72"/>
      <w:bookmarkEnd w:id="73"/>
      <w:bookmarkEnd w:id="74"/>
    </w:p>
    <w:bookmarkEnd w:id="75"/>
    <w:p w14:paraId="0E0B6BD3" w14:textId="77777777" w:rsidR="00A44A15" w:rsidRDefault="00A44A15" w:rsidP="00A44A15">
      <w:pPr>
        <w:pStyle w:val="Text1"/>
      </w:pPr>
      <w:r>
        <w:t>Es ist in erster Linie Aufgabe der Mitgliedstaaten, durch ein System von Kontrollen und abschreckenden Sanktionen dafür zu sorgen, dass die Vorgänge ordnungsgemäß durchgeführt und abgewickelt werden. Wenn die Mitgliedstaaten dieser Verpflichtung nicht nachkommen, wendet die Kommission zum Schutz der finanziellen Interessen der EU Finanzkorrekturen an.</w:t>
      </w:r>
    </w:p>
    <w:p w14:paraId="67342CDB" w14:textId="3F2272F1" w:rsidR="00967284" w:rsidRDefault="00A44A15" w:rsidP="003B653A">
      <w:pPr>
        <w:pStyle w:val="Text1"/>
      </w:pPr>
      <w:r>
        <w:t xml:space="preserve">Der Konformitätsabschluss im Rahmen der im Haushaltsjahr 2023 geltenden GAP bezieht sich auf die Recht- und Ordnungsmäßigkeit der Vorgänge. Damit sollen Ausgaben von der EU-Finanzierung ausgeschlossen werden, die nicht in Übereinstimmung mit den EU-Vorschriften getätigt worden sind. </w:t>
      </w:r>
    </w:p>
    <w:p w14:paraId="2505E905" w14:textId="7B1C483A" w:rsidR="00BB25C3" w:rsidRDefault="21FF0806" w:rsidP="00BB25C3">
      <w:pPr>
        <w:pStyle w:val="Text1"/>
      </w:pPr>
      <w:bookmarkStart w:id="76" w:name="_Toc322938648"/>
      <w:r>
        <w:t>Einzelheiten zu den im Jahr 2023 durchgeführten Prüfungen sind dem jährlichen Tätigkeitsbericht, Tabelle 2.1.1.2.2-9 (Seite 48), zu entnehmen.</w:t>
      </w:r>
    </w:p>
    <w:bookmarkEnd w:id="76"/>
    <w:p w14:paraId="6EC91DAF" w14:textId="616F9D22" w:rsidR="00A10E32" w:rsidRDefault="402FC95F" w:rsidP="001C1B70">
      <w:pPr>
        <w:pStyle w:val="Text1"/>
      </w:pPr>
      <w:r>
        <w:t>Die im Jahr 2023 angenommenen Konformitätsabschlussbeschlüsse, einschließlich der Finanzkorrekturen in einer Reihe von Sektoren, sind im jährlichen Tätigkeitsbericht, Tabelle 2.1.1.3.1-1 (Seite 59), aufgeführt.</w:t>
      </w:r>
    </w:p>
    <w:p w14:paraId="3484BD9C" w14:textId="6B3C5759" w:rsidR="00A44A15" w:rsidRDefault="00245FCD" w:rsidP="001C1B70">
      <w:pPr>
        <w:pStyle w:val="Text1"/>
      </w:pPr>
      <w:r>
        <w:t>Zu den Abschlussbeschlüssen mit finanziellen Auswirkungen auf den Haushaltsplan 2023 gehörte auch der Vollzug einer Reihe von Urteilen des Gerichtshofs der Europäischen Union zugunsten von Mitgliedstaaten. Somit beliefen sich die finanziellen Auswirkungen für die Fonds auf insgesamt 261,8 Mio. EUR zugunsten des EGFL und auf 124,4 Mio. EUR zugunsten des ELER.</w:t>
      </w:r>
    </w:p>
    <w:p w14:paraId="636AC709" w14:textId="3D6A7A89" w:rsidR="00A44A15" w:rsidRDefault="00A44A15" w:rsidP="00A44A15">
      <w:pPr>
        <w:pStyle w:val="ListBullet1"/>
        <w:rPr>
          <w:noProof/>
        </w:rPr>
      </w:pPr>
      <w:r>
        <w:rPr>
          <w:noProof/>
        </w:rPr>
        <w:t>Beschluss (EU) 2022/2261 vom 11. November 2022 – Ad-hoc-Beschluss 70 mit einem beschlossenen Nettobetrag von 215,5 Mio. EUR zugunsten des EGFL und 55,2 Mio. EUR zugunsten des ELER.</w:t>
      </w:r>
    </w:p>
    <w:p w14:paraId="12629B69" w14:textId="493036CA" w:rsidR="00A44A15" w:rsidRDefault="00A44A15" w:rsidP="00A44A15">
      <w:pPr>
        <w:pStyle w:val="ListBullet1"/>
        <w:rPr>
          <w:noProof/>
        </w:rPr>
      </w:pPr>
      <w:r>
        <w:rPr>
          <w:noProof/>
        </w:rPr>
        <w:t>Beschluss (EU) 2022/2262 vom 11. November 2022 – Ad-hoc-Beschluss 70 UK mit finanziellen Auswirkungen in Höhe von 8,3 Mio. EUR zugunsten des EGFL und 8,5 Mio. EUR zugunsten des ELER.</w:t>
      </w:r>
    </w:p>
    <w:p w14:paraId="6BF0B746" w14:textId="5D5EA728" w:rsidR="00A44A15" w:rsidRDefault="00A44A15" w:rsidP="00A44A15">
      <w:pPr>
        <w:pStyle w:val="ListBullet1"/>
        <w:rPr>
          <w:noProof/>
        </w:rPr>
      </w:pPr>
      <w:r>
        <w:rPr>
          <w:noProof/>
        </w:rPr>
        <w:t>Beschluss (EU) 2023/1408 vom 3. Juli 2023 – Ad-hoc-Beschluss 71 mit finanziellen Auswirkungen in Höhe von 38,0 Mio. EUR zugunsten des EGFL und 60,7 Mio. EUR zugunsten des ELER.</w:t>
      </w:r>
    </w:p>
    <w:p w14:paraId="54A378D5" w14:textId="76CFDEA7" w:rsidR="00A44A15" w:rsidRDefault="00A44A15" w:rsidP="00A44A15">
      <w:pPr>
        <w:pStyle w:val="ListBullet1"/>
        <w:numPr>
          <w:ilvl w:val="0"/>
          <w:numId w:val="0"/>
        </w:numPr>
        <w:ind w:left="851"/>
        <w:rPr>
          <w:noProof/>
        </w:rPr>
      </w:pPr>
      <w:r>
        <w:rPr>
          <w:noProof/>
        </w:rPr>
        <w:t xml:space="preserve">Für den </w:t>
      </w:r>
      <w:bookmarkStart w:id="77" w:name="_Hlk173175440"/>
      <w:r>
        <w:rPr>
          <w:noProof/>
        </w:rPr>
        <w:t>Durchführungsbeschluss (EU) 2022/2261 der Kommission</w:t>
      </w:r>
      <w:bookmarkEnd w:id="77"/>
      <w:r>
        <w:rPr>
          <w:noProof/>
        </w:rPr>
        <w:t xml:space="preserve"> und den Durchführungsbeschluss (EU) 2023/1408 der Kommission hat die Kommission aufgrund der gemessen am Bruttoinlandsprodukt bestimmter Mitgliedstaaten relativ hohen Korrekturen auf Antrag der betroffenen Mitgliedstaaten beschlossen, dass die folgenden Korrekturen in drei gleich hohen Jahresraten gezahlt werden können.</w:t>
      </w:r>
    </w:p>
    <w:p w14:paraId="143705AA" w14:textId="77777777" w:rsidR="00C441FB" w:rsidRDefault="00C441FB" w:rsidP="00C639A0">
      <w:pPr>
        <w:pStyle w:val="Text1"/>
        <w:rPr>
          <w:iCs/>
        </w:rPr>
      </w:pPr>
    </w:p>
    <w:p w14:paraId="5AB682B6" w14:textId="65445638" w:rsidR="000A4CAD" w:rsidRDefault="000A4CAD" w:rsidP="00C639A0">
      <w:pPr>
        <w:pStyle w:val="Text1"/>
        <w:rPr>
          <w:i/>
        </w:rPr>
      </w:pPr>
      <w:r>
        <w:t>Tabelle 6</w:t>
      </w:r>
      <w:r w:rsidR="00A42569">
        <w:tab/>
      </w:r>
      <w:r w:rsidR="00A42569">
        <w:tab/>
      </w:r>
      <w:r w:rsidR="00A42569">
        <w:tab/>
      </w:r>
      <w:r w:rsidR="00A42569">
        <w:tab/>
      </w:r>
      <w:r w:rsidR="00A42569">
        <w:tab/>
      </w:r>
      <w:r w:rsidR="00A42569">
        <w:tab/>
      </w:r>
      <w:r>
        <w:t xml:space="preserve"> </w:t>
      </w:r>
      <w:r>
        <w:rPr>
          <w:i/>
          <w:iCs/>
        </w:rPr>
        <w:t>(in Mio. EUR;</w:t>
      </w:r>
      <w:r>
        <w:rPr>
          <w:i/>
        </w:rPr>
        <w:t xml:space="preserve"> jeweilige Preise)</w:t>
      </w:r>
    </w:p>
    <w:tbl>
      <w:tblPr>
        <w:tblStyle w:val="TableGrid1"/>
        <w:tblW w:w="0" w:type="auto"/>
        <w:tblInd w:w="851" w:type="dxa"/>
        <w:tblLook w:val="04A0" w:firstRow="1" w:lastRow="0" w:firstColumn="1" w:lastColumn="0" w:noHBand="0" w:noVBand="1"/>
      </w:tblPr>
      <w:tblGrid>
        <w:gridCol w:w="1951"/>
        <w:gridCol w:w="2268"/>
        <w:gridCol w:w="2037"/>
        <w:gridCol w:w="2038"/>
      </w:tblGrid>
      <w:tr w:rsidR="00896343" w:rsidRPr="0024366A" w14:paraId="109B4F65" w14:textId="77777777" w:rsidTr="00C441FB">
        <w:tc>
          <w:tcPr>
            <w:tcW w:w="1951" w:type="dxa"/>
            <w:vMerge w:val="restart"/>
            <w:shd w:val="clear" w:color="auto" w:fill="92D050"/>
            <w:vAlign w:val="center"/>
          </w:tcPr>
          <w:p w14:paraId="2F3DE21C" w14:textId="77777777" w:rsidR="00896343" w:rsidRPr="008225DC" w:rsidRDefault="00896343" w:rsidP="0024366A">
            <w:pPr>
              <w:keepNext/>
              <w:keepLines/>
              <w:spacing w:before="0"/>
              <w:jc w:val="center"/>
              <w:rPr>
                <w:rFonts w:eastAsia="Calibri"/>
                <w:b/>
                <w:bCs/>
                <w:noProof/>
                <w:sz w:val="22"/>
                <w:szCs w:val="22"/>
              </w:rPr>
            </w:pPr>
            <w:r>
              <w:rPr>
                <w:b/>
                <w:noProof/>
                <w:sz w:val="22"/>
              </w:rPr>
              <w:t>Nummer des Beschlusses</w:t>
            </w:r>
          </w:p>
          <w:p w14:paraId="1E5F757F" w14:textId="314312A0" w:rsidR="00896343" w:rsidRPr="008225DC" w:rsidRDefault="00896343" w:rsidP="0024366A">
            <w:pPr>
              <w:rPr>
                <w:rFonts w:eastAsia="Calibri"/>
                <w:b/>
                <w:bCs/>
                <w:noProof/>
                <w:sz w:val="22"/>
                <w:szCs w:val="22"/>
                <w:lang w:eastAsia="en-US"/>
              </w:rPr>
            </w:pPr>
          </w:p>
        </w:tc>
        <w:tc>
          <w:tcPr>
            <w:tcW w:w="2268" w:type="dxa"/>
            <w:vMerge w:val="restart"/>
            <w:shd w:val="clear" w:color="auto" w:fill="92D050"/>
            <w:vAlign w:val="center"/>
          </w:tcPr>
          <w:p w14:paraId="4F2B551D" w14:textId="77777777" w:rsidR="00896343" w:rsidRPr="008225DC" w:rsidRDefault="00896343" w:rsidP="0024366A">
            <w:pPr>
              <w:keepNext/>
              <w:keepLines/>
              <w:spacing w:before="0"/>
              <w:jc w:val="center"/>
              <w:rPr>
                <w:rFonts w:eastAsia="Calibri"/>
                <w:b/>
                <w:bCs/>
                <w:noProof/>
                <w:sz w:val="22"/>
                <w:szCs w:val="22"/>
              </w:rPr>
            </w:pPr>
            <w:r>
              <w:rPr>
                <w:b/>
                <w:noProof/>
                <w:sz w:val="22"/>
              </w:rPr>
              <w:t>Mitgliedstaat</w:t>
            </w:r>
          </w:p>
        </w:tc>
        <w:tc>
          <w:tcPr>
            <w:tcW w:w="4075" w:type="dxa"/>
            <w:gridSpan w:val="2"/>
            <w:shd w:val="clear" w:color="auto" w:fill="92D050"/>
            <w:vAlign w:val="center"/>
          </w:tcPr>
          <w:p w14:paraId="4C6D1A6B" w14:textId="4BB7F238" w:rsidR="00896343" w:rsidRPr="008225DC" w:rsidRDefault="00896343" w:rsidP="00C441FB">
            <w:pPr>
              <w:keepNext/>
              <w:keepLines/>
              <w:spacing w:before="0"/>
              <w:jc w:val="center"/>
              <w:rPr>
                <w:rFonts w:eastAsia="Calibri"/>
                <w:b/>
                <w:bCs/>
                <w:noProof/>
                <w:sz w:val="22"/>
                <w:szCs w:val="22"/>
              </w:rPr>
            </w:pPr>
            <w:r>
              <w:rPr>
                <w:b/>
                <w:noProof/>
                <w:sz w:val="22"/>
              </w:rPr>
              <w:t>In Raten zu zahlender Betrag</w:t>
            </w:r>
          </w:p>
        </w:tc>
      </w:tr>
      <w:tr w:rsidR="00896343" w:rsidRPr="0024366A" w14:paraId="0A67FEC8" w14:textId="7E39545C" w:rsidTr="00C441FB">
        <w:tc>
          <w:tcPr>
            <w:tcW w:w="1951" w:type="dxa"/>
            <w:vMerge/>
            <w:vAlign w:val="center"/>
          </w:tcPr>
          <w:p w14:paraId="1DA43F2E" w14:textId="3CF23DDE" w:rsidR="00896343" w:rsidRDefault="00896343" w:rsidP="0024366A">
            <w:pPr>
              <w:rPr>
                <w:rFonts w:eastAsia="Calibri"/>
                <w:noProof/>
              </w:rPr>
            </w:pPr>
          </w:p>
        </w:tc>
        <w:tc>
          <w:tcPr>
            <w:tcW w:w="2268" w:type="dxa"/>
            <w:vMerge/>
            <w:vAlign w:val="center"/>
          </w:tcPr>
          <w:p w14:paraId="41189723" w14:textId="77777777" w:rsidR="00896343" w:rsidRDefault="00896343" w:rsidP="0024366A">
            <w:pPr>
              <w:rPr>
                <w:rFonts w:eastAsia="Calibri"/>
                <w:noProof/>
              </w:rPr>
            </w:pPr>
          </w:p>
        </w:tc>
        <w:tc>
          <w:tcPr>
            <w:tcW w:w="2037" w:type="dxa"/>
            <w:shd w:val="clear" w:color="auto" w:fill="92D050"/>
            <w:vAlign w:val="center"/>
          </w:tcPr>
          <w:p w14:paraId="676AE1DE" w14:textId="48759657" w:rsidR="00896343" w:rsidRPr="00C639A0" w:rsidRDefault="00896343" w:rsidP="00C639A0">
            <w:pPr>
              <w:keepNext/>
              <w:keepLines/>
              <w:spacing w:before="0"/>
              <w:jc w:val="center"/>
              <w:rPr>
                <w:rFonts w:eastAsia="Calibri"/>
                <w:b/>
                <w:bCs/>
                <w:noProof/>
                <w:sz w:val="22"/>
                <w:szCs w:val="22"/>
              </w:rPr>
            </w:pPr>
            <w:r>
              <w:rPr>
                <w:b/>
                <w:noProof/>
              </w:rPr>
              <w:t>EGFL</w:t>
            </w:r>
          </w:p>
        </w:tc>
        <w:tc>
          <w:tcPr>
            <w:tcW w:w="2038" w:type="dxa"/>
            <w:shd w:val="clear" w:color="auto" w:fill="92D050"/>
            <w:vAlign w:val="center"/>
          </w:tcPr>
          <w:p w14:paraId="78665078" w14:textId="258A2294" w:rsidR="00896343" w:rsidRPr="00C639A0" w:rsidRDefault="00896343" w:rsidP="00C639A0">
            <w:pPr>
              <w:keepNext/>
              <w:keepLines/>
              <w:spacing w:before="0"/>
              <w:jc w:val="center"/>
              <w:rPr>
                <w:rFonts w:eastAsia="Calibri"/>
                <w:b/>
                <w:bCs/>
                <w:noProof/>
                <w:sz w:val="22"/>
                <w:szCs w:val="22"/>
              </w:rPr>
            </w:pPr>
            <w:r>
              <w:rPr>
                <w:b/>
                <w:noProof/>
              </w:rPr>
              <w:t>ELER</w:t>
            </w:r>
          </w:p>
        </w:tc>
      </w:tr>
      <w:tr w:rsidR="00896343" w:rsidRPr="0024366A" w14:paraId="595DF615" w14:textId="77777777" w:rsidTr="00C639A0">
        <w:tc>
          <w:tcPr>
            <w:tcW w:w="1951" w:type="dxa"/>
            <w:vAlign w:val="center"/>
          </w:tcPr>
          <w:p w14:paraId="314184F9" w14:textId="46CEA130" w:rsidR="00896343" w:rsidRPr="00C441FB" w:rsidRDefault="00896343" w:rsidP="00C639A0">
            <w:pPr>
              <w:spacing w:before="0"/>
              <w:jc w:val="center"/>
              <w:rPr>
                <w:rFonts w:eastAsia="Calibri"/>
                <w:noProof/>
                <w:sz w:val="22"/>
                <w:szCs w:val="22"/>
              </w:rPr>
            </w:pPr>
            <w:r>
              <w:rPr>
                <w:noProof/>
                <w:sz w:val="22"/>
              </w:rPr>
              <w:t>70</w:t>
            </w:r>
          </w:p>
        </w:tc>
        <w:tc>
          <w:tcPr>
            <w:tcW w:w="2268" w:type="dxa"/>
            <w:vAlign w:val="center"/>
          </w:tcPr>
          <w:p w14:paraId="39970F89" w14:textId="000A8A61" w:rsidR="00896343" w:rsidRPr="00C441FB" w:rsidRDefault="00896343" w:rsidP="00C639A0">
            <w:pPr>
              <w:spacing w:before="0"/>
              <w:jc w:val="center"/>
              <w:rPr>
                <w:rFonts w:eastAsia="Calibri"/>
                <w:noProof/>
                <w:sz w:val="22"/>
                <w:szCs w:val="22"/>
              </w:rPr>
            </w:pPr>
            <w:r>
              <w:rPr>
                <w:noProof/>
                <w:sz w:val="22"/>
              </w:rPr>
              <w:t>Rumänien</w:t>
            </w:r>
          </w:p>
        </w:tc>
        <w:tc>
          <w:tcPr>
            <w:tcW w:w="2037" w:type="dxa"/>
            <w:vAlign w:val="center"/>
          </w:tcPr>
          <w:p w14:paraId="60730722" w14:textId="62311690" w:rsidR="00896343" w:rsidRPr="00C441FB" w:rsidRDefault="00896343" w:rsidP="00C639A0">
            <w:pPr>
              <w:jc w:val="center"/>
              <w:rPr>
                <w:rFonts w:eastAsia="Calibri"/>
                <w:noProof/>
                <w:sz w:val="22"/>
                <w:szCs w:val="22"/>
              </w:rPr>
            </w:pPr>
            <w:r>
              <w:rPr>
                <w:noProof/>
                <w:sz w:val="22"/>
              </w:rPr>
              <w:t>54,4</w:t>
            </w:r>
          </w:p>
        </w:tc>
        <w:tc>
          <w:tcPr>
            <w:tcW w:w="2038" w:type="dxa"/>
            <w:vAlign w:val="center"/>
          </w:tcPr>
          <w:p w14:paraId="733BD4C1" w14:textId="029B891F" w:rsidR="00896343" w:rsidRPr="00C441FB" w:rsidRDefault="00896343" w:rsidP="00C639A0">
            <w:pPr>
              <w:jc w:val="center"/>
              <w:rPr>
                <w:rFonts w:eastAsia="Calibri"/>
                <w:noProof/>
                <w:sz w:val="22"/>
                <w:szCs w:val="22"/>
              </w:rPr>
            </w:pPr>
            <w:r>
              <w:rPr>
                <w:noProof/>
                <w:sz w:val="22"/>
              </w:rPr>
              <w:t>19,7</w:t>
            </w:r>
          </w:p>
        </w:tc>
      </w:tr>
      <w:tr w:rsidR="00896343" w:rsidRPr="0024366A" w14:paraId="2AB6DF3E" w14:textId="77777777" w:rsidTr="00C639A0">
        <w:tc>
          <w:tcPr>
            <w:tcW w:w="1951" w:type="dxa"/>
            <w:vAlign w:val="center"/>
          </w:tcPr>
          <w:p w14:paraId="04B67B25" w14:textId="44628C8F" w:rsidR="00896343" w:rsidRPr="00C441FB" w:rsidRDefault="00896343" w:rsidP="00C639A0">
            <w:pPr>
              <w:spacing w:before="0"/>
              <w:jc w:val="center"/>
              <w:rPr>
                <w:rFonts w:eastAsia="Calibri"/>
                <w:noProof/>
                <w:sz w:val="22"/>
                <w:szCs w:val="22"/>
              </w:rPr>
            </w:pPr>
            <w:r>
              <w:rPr>
                <w:noProof/>
                <w:sz w:val="22"/>
              </w:rPr>
              <w:t>71</w:t>
            </w:r>
          </w:p>
        </w:tc>
        <w:tc>
          <w:tcPr>
            <w:tcW w:w="2268" w:type="dxa"/>
            <w:vAlign w:val="center"/>
          </w:tcPr>
          <w:p w14:paraId="679EE30D" w14:textId="13B7304E" w:rsidR="00896343" w:rsidRPr="00C441FB" w:rsidRDefault="00896343" w:rsidP="00C639A0">
            <w:pPr>
              <w:spacing w:before="0"/>
              <w:jc w:val="center"/>
              <w:rPr>
                <w:rFonts w:eastAsia="Calibri"/>
                <w:noProof/>
                <w:sz w:val="22"/>
                <w:szCs w:val="22"/>
              </w:rPr>
            </w:pPr>
            <w:r>
              <w:rPr>
                <w:noProof/>
                <w:sz w:val="22"/>
              </w:rPr>
              <w:t>Litauen</w:t>
            </w:r>
          </w:p>
        </w:tc>
        <w:tc>
          <w:tcPr>
            <w:tcW w:w="2037" w:type="dxa"/>
            <w:vAlign w:val="center"/>
          </w:tcPr>
          <w:p w14:paraId="604A061F" w14:textId="608E0B80" w:rsidR="00896343" w:rsidRPr="00C441FB" w:rsidRDefault="00896343" w:rsidP="00C639A0">
            <w:pPr>
              <w:jc w:val="center"/>
              <w:rPr>
                <w:rFonts w:eastAsia="Calibri"/>
                <w:noProof/>
                <w:sz w:val="22"/>
                <w:szCs w:val="22"/>
              </w:rPr>
            </w:pPr>
            <w:r>
              <w:rPr>
                <w:noProof/>
                <w:sz w:val="22"/>
              </w:rPr>
              <w:t>12,1</w:t>
            </w:r>
          </w:p>
        </w:tc>
        <w:tc>
          <w:tcPr>
            <w:tcW w:w="2038" w:type="dxa"/>
            <w:vAlign w:val="center"/>
          </w:tcPr>
          <w:p w14:paraId="557954CB" w14:textId="0A4D1F76" w:rsidR="00896343" w:rsidRPr="00C441FB" w:rsidRDefault="00896343" w:rsidP="00C639A0">
            <w:pPr>
              <w:jc w:val="center"/>
              <w:rPr>
                <w:rFonts w:eastAsia="Calibri"/>
                <w:noProof/>
                <w:sz w:val="22"/>
                <w:szCs w:val="22"/>
              </w:rPr>
            </w:pPr>
            <w:r>
              <w:rPr>
                <w:noProof/>
                <w:sz w:val="22"/>
              </w:rPr>
              <w:t>1,0</w:t>
            </w:r>
          </w:p>
        </w:tc>
      </w:tr>
    </w:tbl>
    <w:p w14:paraId="449F0BCA" w14:textId="096B4B3D" w:rsidR="00930A9E" w:rsidRPr="001C1B70" w:rsidRDefault="00A44A15" w:rsidP="00C441FB">
      <w:pPr>
        <w:pStyle w:val="ListBullet1"/>
        <w:spacing w:after="160"/>
        <w:ind w:left="1135" w:hanging="284"/>
        <w:rPr>
          <w:rFonts w:eastAsia="MS PGothic"/>
          <w:noProof/>
        </w:rPr>
      </w:pPr>
      <w:bookmarkStart w:id="78" w:name="_Toc322938649"/>
      <w:r>
        <w:rPr>
          <w:noProof/>
        </w:rPr>
        <w:t>Die Mitgliedstaaten haben am 15. Februar 2024 Informationen über Wiedereinziehungsfälle für das Haushaltsjahr 2023 übermittelt. Diese sind im jährlichen Tätigkeitsbericht, Tabelle Anhang 7 – 5.2-1 und 7 – 5.3-1, aufgeführt.</w:t>
      </w:r>
    </w:p>
    <w:p w14:paraId="24941C0D" w14:textId="78635471" w:rsidR="00A44A15" w:rsidRDefault="1BFC6801" w:rsidP="57DE3101">
      <w:pPr>
        <w:pStyle w:val="Text1"/>
        <w:rPr>
          <w:b/>
          <w:bCs/>
        </w:rPr>
      </w:pPr>
      <w:r>
        <w:t>Die Mitgliedstaaten haben im Haushaltsjahr 2023 rund 357,7 Mio. EUR für den EGFL, den ELER und das befristete Instrument zur Entwicklung des ländlichen Raums (TRDI) wiedereingezogen. Der am Ende des Haushaltsjahres 2023 noch von den Begünstigten wiedereinzuziehende Betrag belief sich für alle Fonds auf 1 960,7 Mio. EUR. Die finanziellen Folgen der Nichtwiedereinziehung für Mitgliedstaaten bei EGFL-, ELER- und TRDI-Fällen, die sich daraus ergeben, dass die Wiedereinziehung nicht innerhalb einer Frist von vier Jahren ab der Wiedereinziehungsaufforderung (bei neuen Fällen</w:t>
      </w:r>
      <w:r>
        <w:rPr>
          <w:rStyle w:val="FootnoteReference"/>
        </w:rPr>
        <w:footnoteReference w:id="12"/>
      </w:r>
      <w:r>
        <w:t>) oder ab der ersten amtlichen oder gerichtlichen Feststellung (bei alten Fällen) beziehungsweise, wenn sie Gegenstand eines Verfahrens vor den nationalen Gerichten ist, nicht innerhalb einer Frist von acht Jahren erfolgt ist, beliefen sich auf 83,6 Mio. EUR. Im Haushaltsjahr 2023 wurden für den EGFL, den ELER und das TRDI rund 18 Mio. EUR zu 100 % dem EU-Haushalt</w:t>
      </w:r>
      <w:r>
        <w:rPr>
          <w:rStyle w:val="FootnoteReference"/>
        </w:rPr>
        <w:footnoteReference w:id="13"/>
      </w:r>
      <w:r>
        <w:t xml:space="preserve"> angelastet. </w:t>
      </w:r>
    </w:p>
    <w:p w14:paraId="13FD5DCD" w14:textId="7743979E" w:rsidR="00A44A15" w:rsidRDefault="0003316B" w:rsidP="00C441FB">
      <w:pPr>
        <w:pStyle w:val="ManualHeading2"/>
        <w:spacing w:before="360" w:after="160"/>
        <w:ind w:left="851" w:hanging="851"/>
        <w:rPr>
          <w:noProof/>
        </w:rPr>
      </w:pPr>
      <w:bookmarkStart w:id="79" w:name="_Toc102661885"/>
      <w:bookmarkStart w:id="80" w:name="_Toc105773239"/>
      <w:bookmarkStart w:id="81" w:name="_Toc139622288"/>
      <w:bookmarkStart w:id="82" w:name="_Toc175120263"/>
      <w:r>
        <w:rPr>
          <w:noProof/>
        </w:rPr>
        <w:t>5.2.</w:t>
      </w:r>
      <w:r>
        <w:rPr>
          <w:noProof/>
        </w:rPr>
        <w:tab/>
        <w:t>Rechnungsabschluss</w:t>
      </w:r>
      <w:bookmarkEnd w:id="78"/>
      <w:bookmarkEnd w:id="79"/>
      <w:bookmarkEnd w:id="80"/>
      <w:bookmarkEnd w:id="81"/>
      <w:bookmarkEnd w:id="82"/>
    </w:p>
    <w:p w14:paraId="4B42433E" w14:textId="64321F75" w:rsidR="00292B86" w:rsidRDefault="5D41918E" w:rsidP="001C1B70">
      <w:pPr>
        <w:pStyle w:val="Text1"/>
      </w:pPr>
      <w:bookmarkStart w:id="83" w:name="_Toc105773243"/>
      <w:bookmarkStart w:id="84" w:name="_Toc102661889"/>
      <w:bookmarkStart w:id="85" w:name="_Toc105773244"/>
      <w:r>
        <w:t>Tabelle 7 enthält einen Überblick über die im Jahr 2023 erlassenen Rechnungsabschlussbeschlüsse.</w:t>
      </w:r>
      <w:bookmarkEnd w:id="83"/>
      <w:bookmarkEnd w:id="84"/>
      <w:r>
        <w:t xml:space="preserve"> Die Finanzkorrekturen in Konformitätsabschlussbeschlüssen im Jahr 2023 sind in Anhang 18 aufgeführt.</w:t>
      </w:r>
    </w:p>
    <w:p w14:paraId="058E5FB2" w14:textId="77777777" w:rsidR="00C448E3" w:rsidRDefault="00C448E3" w:rsidP="001C1B70">
      <w:pPr>
        <w:pStyle w:val="Text1"/>
      </w:pPr>
    </w:p>
    <w:p w14:paraId="15A9FF30" w14:textId="030E2CD1" w:rsidR="000A4CAD" w:rsidRDefault="000A4CAD" w:rsidP="00C639A0">
      <w:pPr>
        <w:pStyle w:val="Text1"/>
        <w:rPr>
          <w:i/>
        </w:rPr>
      </w:pPr>
      <w:r>
        <w:t>Tabelle 7</w:t>
      </w:r>
      <w:r w:rsidR="00A42569">
        <w:tab/>
      </w:r>
      <w:r w:rsidR="00A42569">
        <w:tab/>
      </w:r>
      <w:r w:rsidR="00A42569">
        <w:tab/>
      </w:r>
      <w:r w:rsidR="00A42569">
        <w:tab/>
      </w:r>
      <w:r w:rsidR="00A42569">
        <w:tab/>
      </w:r>
      <w:r w:rsidR="00A42569">
        <w:tab/>
      </w:r>
      <w:r>
        <w:t xml:space="preserve"> </w:t>
      </w:r>
      <w:r>
        <w:rPr>
          <w:i/>
          <w:iCs/>
        </w:rPr>
        <w:t>(in Mio. EUR;</w:t>
      </w:r>
      <w:r>
        <w:rPr>
          <w:i/>
        </w:rPr>
        <w:t xml:space="preserve"> jeweilige Preise)</w:t>
      </w:r>
    </w:p>
    <w:tbl>
      <w:tblPr>
        <w:tblW w:w="8235" w:type="dxa"/>
        <w:tblInd w:w="9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05"/>
        <w:gridCol w:w="1818"/>
        <w:gridCol w:w="1225"/>
        <w:gridCol w:w="1057"/>
        <w:gridCol w:w="1819"/>
        <w:gridCol w:w="1311"/>
      </w:tblGrid>
      <w:tr w:rsidR="0626AC4C" w14:paraId="3286E98C" w14:textId="77777777" w:rsidTr="001D07EE">
        <w:trPr>
          <w:trHeight w:val="900"/>
        </w:trPr>
        <w:tc>
          <w:tcPr>
            <w:tcW w:w="1005" w:type="dxa"/>
            <w:tcBorders>
              <w:top w:val="single" w:sz="8" w:space="0" w:color="auto"/>
              <w:left w:val="single" w:sz="8" w:space="0" w:color="auto"/>
              <w:bottom w:val="single" w:sz="8" w:space="0" w:color="auto"/>
              <w:right w:val="single" w:sz="8" w:space="0" w:color="auto"/>
            </w:tcBorders>
            <w:shd w:val="clear" w:color="auto" w:fill="92D050"/>
            <w:vAlign w:val="center"/>
          </w:tcPr>
          <w:p w14:paraId="3F2620FF" w14:textId="0438355B" w:rsidR="0626AC4C" w:rsidRPr="001D07EE" w:rsidRDefault="000A4CAD" w:rsidP="00C639A0">
            <w:pPr>
              <w:spacing w:after="0"/>
              <w:contextualSpacing/>
              <w:jc w:val="center"/>
              <w:rPr>
                <w:rFonts w:ascii="Times New Roman" w:eastAsia="Times New Roman" w:hAnsi="Times New Roman" w:cs="Times New Roman"/>
                <w:noProof/>
                <w:color w:val="000000" w:themeColor="text1"/>
              </w:rPr>
            </w:pPr>
            <w:r>
              <w:rPr>
                <w:noProof/>
              </w:rPr>
              <w:t xml:space="preserve"> </w:t>
            </w:r>
            <w:r>
              <w:rPr>
                <w:rFonts w:ascii="Times New Roman" w:hAnsi="Times New Roman"/>
                <w:b/>
                <w:noProof/>
                <w:color w:val="000000" w:themeColor="text1"/>
              </w:rPr>
              <w:t>Fonds</w:t>
            </w:r>
            <w:r>
              <w:rPr>
                <w:rFonts w:ascii="Times New Roman" w:hAnsi="Times New Roman"/>
                <w:noProof/>
                <w:color w:val="000000" w:themeColor="text1"/>
              </w:rPr>
              <w:t xml:space="preserve"> </w:t>
            </w:r>
          </w:p>
        </w:tc>
        <w:tc>
          <w:tcPr>
            <w:tcW w:w="1818" w:type="dxa"/>
            <w:tcBorders>
              <w:top w:val="single" w:sz="8" w:space="0" w:color="auto"/>
              <w:left w:val="single" w:sz="8" w:space="0" w:color="auto"/>
              <w:bottom w:val="single" w:sz="8" w:space="0" w:color="auto"/>
              <w:right w:val="single" w:sz="8" w:space="0" w:color="auto"/>
            </w:tcBorders>
            <w:shd w:val="clear" w:color="auto" w:fill="92D050"/>
            <w:vAlign w:val="center"/>
          </w:tcPr>
          <w:p w14:paraId="6A06B56C" w14:textId="23AA18AA" w:rsidR="0626AC4C" w:rsidRDefault="0626AC4C" w:rsidP="00C639A0">
            <w:pPr>
              <w:spacing w:after="0"/>
              <w:jc w:val="center"/>
              <w:rPr>
                <w:rFonts w:ascii="Times New Roman" w:eastAsia="Times New Roman" w:hAnsi="Times New Roman" w:cs="Times New Roman"/>
                <w:noProof/>
                <w:color w:val="000000" w:themeColor="text1"/>
              </w:rPr>
            </w:pPr>
            <w:r>
              <w:rPr>
                <w:rFonts w:ascii="Times New Roman" w:hAnsi="Times New Roman"/>
                <w:b/>
                <w:noProof/>
                <w:color w:val="000000" w:themeColor="text1"/>
              </w:rPr>
              <w:t>Nummer des Beschlusses</w:t>
            </w:r>
            <w:r>
              <w:rPr>
                <w:rFonts w:ascii="Times New Roman" w:hAnsi="Times New Roman"/>
                <w:noProof/>
                <w:color w:val="000000" w:themeColor="text1"/>
              </w:rPr>
              <w:t xml:space="preserve"> </w:t>
            </w:r>
          </w:p>
        </w:tc>
        <w:tc>
          <w:tcPr>
            <w:tcW w:w="1225" w:type="dxa"/>
            <w:tcBorders>
              <w:top w:val="single" w:sz="8" w:space="0" w:color="auto"/>
              <w:left w:val="single" w:sz="8" w:space="0" w:color="auto"/>
              <w:bottom w:val="single" w:sz="8" w:space="0" w:color="auto"/>
              <w:right w:val="single" w:sz="8" w:space="0" w:color="auto"/>
            </w:tcBorders>
            <w:shd w:val="clear" w:color="auto" w:fill="92D050"/>
            <w:vAlign w:val="center"/>
          </w:tcPr>
          <w:p w14:paraId="71BA600E" w14:textId="0A9280B5" w:rsidR="0626AC4C" w:rsidRDefault="0626AC4C" w:rsidP="00C639A0">
            <w:pPr>
              <w:spacing w:after="0"/>
              <w:jc w:val="center"/>
              <w:rPr>
                <w:rFonts w:ascii="Times New Roman" w:eastAsia="Times New Roman" w:hAnsi="Times New Roman" w:cs="Times New Roman"/>
                <w:noProof/>
                <w:color w:val="000000" w:themeColor="text1"/>
              </w:rPr>
            </w:pPr>
            <w:r>
              <w:rPr>
                <w:rFonts w:ascii="Times New Roman" w:hAnsi="Times New Roman"/>
                <w:b/>
                <w:noProof/>
                <w:color w:val="000000" w:themeColor="text1"/>
              </w:rPr>
              <w:t>Datum der Annahme</w:t>
            </w:r>
            <w:r>
              <w:rPr>
                <w:rFonts w:ascii="Times New Roman" w:hAnsi="Times New Roman"/>
                <w:noProof/>
                <w:color w:val="000000" w:themeColor="text1"/>
              </w:rPr>
              <w:t xml:space="preserve"> </w:t>
            </w:r>
          </w:p>
        </w:tc>
        <w:tc>
          <w:tcPr>
            <w:tcW w:w="1057" w:type="dxa"/>
            <w:tcBorders>
              <w:top w:val="single" w:sz="8" w:space="0" w:color="auto"/>
              <w:left w:val="single" w:sz="8" w:space="0" w:color="auto"/>
              <w:bottom w:val="single" w:sz="8" w:space="0" w:color="auto"/>
              <w:right w:val="single" w:sz="8" w:space="0" w:color="auto"/>
            </w:tcBorders>
            <w:shd w:val="clear" w:color="auto" w:fill="92D050"/>
            <w:vAlign w:val="center"/>
          </w:tcPr>
          <w:p w14:paraId="4D799237" w14:textId="6AE8CCF4" w:rsidR="0626AC4C" w:rsidRDefault="0626AC4C" w:rsidP="00C639A0">
            <w:pPr>
              <w:spacing w:after="0"/>
              <w:jc w:val="center"/>
              <w:rPr>
                <w:rFonts w:ascii="Times New Roman" w:eastAsia="Times New Roman" w:hAnsi="Times New Roman" w:cs="Times New Roman"/>
                <w:noProof/>
                <w:color w:val="000000" w:themeColor="text1"/>
              </w:rPr>
            </w:pPr>
            <w:r>
              <w:rPr>
                <w:rFonts w:ascii="Times New Roman" w:hAnsi="Times New Roman"/>
                <w:b/>
                <w:noProof/>
                <w:color w:val="000000" w:themeColor="text1"/>
              </w:rPr>
              <w:t>Haushaltsjahr</w:t>
            </w:r>
            <w:r>
              <w:rPr>
                <w:rFonts w:ascii="Times New Roman" w:hAnsi="Times New Roman"/>
                <w:noProof/>
                <w:color w:val="000000" w:themeColor="text1"/>
              </w:rPr>
              <w:t xml:space="preserve"> </w:t>
            </w:r>
          </w:p>
        </w:tc>
        <w:tc>
          <w:tcPr>
            <w:tcW w:w="1819" w:type="dxa"/>
            <w:tcBorders>
              <w:top w:val="single" w:sz="8" w:space="0" w:color="auto"/>
              <w:left w:val="single" w:sz="8" w:space="0" w:color="auto"/>
              <w:bottom w:val="single" w:sz="8" w:space="0" w:color="auto"/>
              <w:right w:val="single" w:sz="8" w:space="0" w:color="auto"/>
            </w:tcBorders>
            <w:shd w:val="clear" w:color="auto" w:fill="92D050"/>
            <w:vAlign w:val="center"/>
          </w:tcPr>
          <w:p w14:paraId="66AC501A" w14:textId="6AD42DA6" w:rsidR="0626AC4C" w:rsidRDefault="0626AC4C" w:rsidP="00C639A0">
            <w:pPr>
              <w:spacing w:after="0"/>
              <w:jc w:val="center"/>
              <w:rPr>
                <w:rFonts w:ascii="Times New Roman" w:eastAsia="Times New Roman" w:hAnsi="Times New Roman" w:cs="Times New Roman"/>
                <w:noProof/>
                <w:color w:val="000000" w:themeColor="text1"/>
              </w:rPr>
            </w:pPr>
            <w:r>
              <w:rPr>
                <w:rFonts w:ascii="Times New Roman" w:hAnsi="Times New Roman"/>
                <w:b/>
                <w:noProof/>
                <w:color w:val="000000" w:themeColor="text1"/>
              </w:rPr>
              <w:t xml:space="preserve">Ausgabenbetrag der Jahreserklärung </w:t>
            </w:r>
          </w:p>
        </w:tc>
        <w:tc>
          <w:tcPr>
            <w:tcW w:w="1311" w:type="dxa"/>
            <w:tcBorders>
              <w:top w:val="single" w:sz="8" w:space="0" w:color="auto"/>
              <w:left w:val="single" w:sz="8" w:space="0" w:color="auto"/>
              <w:bottom w:val="single" w:sz="8" w:space="0" w:color="auto"/>
              <w:right w:val="single" w:sz="8" w:space="0" w:color="auto"/>
            </w:tcBorders>
            <w:shd w:val="clear" w:color="auto" w:fill="92D050"/>
            <w:vAlign w:val="center"/>
          </w:tcPr>
          <w:p w14:paraId="50BE33CE" w14:textId="5AFFB81E" w:rsidR="0626AC4C" w:rsidRDefault="0626AC4C" w:rsidP="00C639A0">
            <w:pPr>
              <w:spacing w:after="0"/>
              <w:jc w:val="center"/>
              <w:rPr>
                <w:rFonts w:ascii="Times New Roman" w:eastAsia="Times New Roman" w:hAnsi="Times New Roman" w:cs="Times New Roman"/>
                <w:noProof/>
                <w:color w:val="000000" w:themeColor="text1"/>
              </w:rPr>
            </w:pPr>
            <w:r>
              <w:rPr>
                <w:rFonts w:ascii="Times New Roman" w:hAnsi="Times New Roman"/>
                <w:b/>
                <w:noProof/>
                <w:color w:val="000000" w:themeColor="text1"/>
              </w:rPr>
              <w:t>Betroffene Zahlstellen</w:t>
            </w:r>
            <w:r>
              <w:rPr>
                <w:rFonts w:ascii="Times New Roman" w:hAnsi="Times New Roman"/>
                <w:noProof/>
                <w:color w:val="000000" w:themeColor="text1"/>
              </w:rPr>
              <w:t xml:space="preserve"> </w:t>
            </w:r>
          </w:p>
        </w:tc>
      </w:tr>
      <w:tr w:rsidR="0626AC4C" w14:paraId="2BB499C2" w14:textId="77777777" w:rsidTr="001D07EE">
        <w:trPr>
          <w:trHeight w:val="690"/>
        </w:trPr>
        <w:tc>
          <w:tcPr>
            <w:tcW w:w="1005" w:type="dxa"/>
            <w:tcBorders>
              <w:top w:val="single" w:sz="8" w:space="0" w:color="auto"/>
              <w:left w:val="single" w:sz="8" w:space="0" w:color="auto"/>
              <w:bottom w:val="single" w:sz="8" w:space="0" w:color="auto"/>
              <w:right w:val="single" w:sz="8" w:space="0" w:color="auto"/>
            </w:tcBorders>
            <w:vAlign w:val="center"/>
          </w:tcPr>
          <w:p w14:paraId="220E305C" w14:textId="61AD585C"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EGFL </w:t>
            </w:r>
          </w:p>
        </w:tc>
        <w:tc>
          <w:tcPr>
            <w:tcW w:w="1818" w:type="dxa"/>
            <w:tcBorders>
              <w:top w:val="single" w:sz="8" w:space="0" w:color="auto"/>
              <w:left w:val="single" w:sz="8" w:space="0" w:color="auto"/>
              <w:bottom w:val="single" w:sz="8" w:space="0" w:color="auto"/>
              <w:right w:val="single" w:sz="8" w:space="0" w:color="auto"/>
            </w:tcBorders>
            <w:vAlign w:val="center"/>
          </w:tcPr>
          <w:p w14:paraId="19203C02" w14:textId="6DDAC527"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Beschluss (EU) 2023/1037</w:t>
            </w:r>
          </w:p>
        </w:tc>
        <w:tc>
          <w:tcPr>
            <w:tcW w:w="1225" w:type="dxa"/>
            <w:tcBorders>
              <w:top w:val="single" w:sz="8" w:space="0" w:color="auto"/>
              <w:left w:val="single" w:sz="8" w:space="0" w:color="auto"/>
              <w:bottom w:val="single" w:sz="8" w:space="0" w:color="auto"/>
              <w:right w:val="single" w:sz="8" w:space="0" w:color="auto"/>
            </w:tcBorders>
            <w:vAlign w:val="center"/>
          </w:tcPr>
          <w:p w14:paraId="293F37FF" w14:textId="705568C1"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779C776D" w14:textId="35855D86"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1D8F3768" w14:textId="25B395D4"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40 731,25 </w:t>
            </w:r>
          </w:p>
        </w:tc>
        <w:tc>
          <w:tcPr>
            <w:tcW w:w="1311" w:type="dxa"/>
            <w:tcBorders>
              <w:top w:val="single" w:sz="8" w:space="0" w:color="auto"/>
              <w:left w:val="single" w:sz="8" w:space="0" w:color="auto"/>
              <w:bottom w:val="single" w:sz="8" w:space="0" w:color="auto"/>
              <w:right w:val="single" w:sz="8" w:space="0" w:color="auto"/>
            </w:tcBorders>
            <w:vAlign w:val="center"/>
          </w:tcPr>
          <w:p w14:paraId="46DC8564" w14:textId="4DC11159"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Alle ZS der Mitgliedstaaten </w:t>
            </w:r>
          </w:p>
        </w:tc>
      </w:tr>
      <w:tr w:rsidR="0626AC4C" w14:paraId="0BD5CF26" w14:textId="77777777" w:rsidTr="001D07EE">
        <w:trPr>
          <w:trHeight w:val="300"/>
        </w:trPr>
        <w:tc>
          <w:tcPr>
            <w:tcW w:w="1005" w:type="dxa"/>
            <w:tcBorders>
              <w:top w:val="single" w:sz="8" w:space="0" w:color="auto"/>
              <w:left w:val="single" w:sz="8" w:space="0" w:color="auto"/>
              <w:bottom w:val="single" w:sz="8" w:space="0" w:color="auto"/>
              <w:right w:val="single" w:sz="8" w:space="0" w:color="auto"/>
            </w:tcBorders>
            <w:vAlign w:val="center"/>
          </w:tcPr>
          <w:p w14:paraId="4C351111" w14:textId="5B2C8E5B"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EGFL </w:t>
            </w:r>
          </w:p>
        </w:tc>
        <w:tc>
          <w:tcPr>
            <w:tcW w:w="1818" w:type="dxa"/>
            <w:tcBorders>
              <w:top w:val="single" w:sz="8" w:space="0" w:color="auto"/>
              <w:left w:val="single" w:sz="8" w:space="0" w:color="auto"/>
              <w:bottom w:val="single" w:sz="8" w:space="0" w:color="auto"/>
              <w:right w:val="single" w:sz="8" w:space="0" w:color="auto"/>
            </w:tcBorders>
            <w:vAlign w:val="center"/>
          </w:tcPr>
          <w:p w14:paraId="6F3571AA" w14:textId="6075D826"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Beschluss (EU) 2023/1039</w:t>
            </w:r>
          </w:p>
        </w:tc>
        <w:tc>
          <w:tcPr>
            <w:tcW w:w="1225" w:type="dxa"/>
            <w:tcBorders>
              <w:top w:val="single" w:sz="8" w:space="0" w:color="auto"/>
              <w:left w:val="single" w:sz="8" w:space="0" w:color="auto"/>
              <w:bottom w:val="single" w:sz="8" w:space="0" w:color="auto"/>
              <w:right w:val="single" w:sz="8" w:space="0" w:color="auto"/>
            </w:tcBorders>
            <w:vAlign w:val="center"/>
          </w:tcPr>
          <w:p w14:paraId="11E083F6" w14:textId="1F0D85F1"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0AA9786C" w14:textId="7338F1E0"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7082CB83" w14:textId="47FF7B19"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-(1,47) </w:t>
            </w:r>
          </w:p>
        </w:tc>
        <w:tc>
          <w:tcPr>
            <w:tcW w:w="1311" w:type="dxa"/>
            <w:tcBorders>
              <w:top w:val="single" w:sz="8" w:space="0" w:color="auto"/>
              <w:left w:val="single" w:sz="8" w:space="0" w:color="auto"/>
              <w:bottom w:val="single" w:sz="8" w:space="0" w:color="auto"/>
              <w:right w:val="single" w:sz="8" w:space="0" w:color="auto"/>
            </w:tcBorders>
            <w:vAlign w:val="center"/>
          </w:tcPr>
          <w:p w14:paraId="06949D76" w14:textId="12467DF1"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4 ZS des Vereinigten Königreichs </w:t>
            </w:r>
          </w:p>
        </w:tc>
      </w:tr>
      <w:tr w:rsidR="0626AC4C" w14:paraId="168BA26E" w14:textId="77777777" w:rsidTr="001D07EE">
        <w:trPr>
          <w:trHeight w:val="300"/>
        </w:trPr>
        <w:tc>
          <w:tcPr>
            <w:tcW w:w="1005" w:type="dxa"/>
            <w:tcBorders>
              <w:top w:val="single" w:sz="8" w:space="0" w:color="auto"/>
              <w:left w:val="single" w:sz="8" w:space="0" w:color="auto"/>
              <w:bottom w:val="single" w:sz="8" w:space="0" w:color="auto"/>
              <w:right w:val="single" w:sz="8" w:space="0" w:color="auto"/>
            </w:tcBorders>
            <w:vAlign w:val="center"/>
          </w:tcPr>
          <w:p w14:paraId="4C9A3625" w14:textId="545D7677" w:rsidR="0626AC4C" w:rsidRPr="001D07EE" w:rsidRDefault="0626AC4C" w:rsidP="00C639A0">
            <w:pPr>
              <w:spacing w:after="0"/>
              <w:jc w:val="center"/>
              <w:rPr>
                <w:rFonts w:ascii="Times New Roman" w:eastAsia="Times New Roman" w:hAnsi="Times New Roman" w:cs="Times New Roman"/>
                <w:noProof/>
              </w:rPr>
            </w:pPr>
            <w:r>
              <w:rPr>
                <w:rFonts w:ascii="Times New Roman" w:hAnsi="Times New Roman"/>
                <w:noProof/>
              </w:rPr>
              <w:t>ELER</w:t>
            </w:r>
          </w:p>
        </w:tc>
        <w:tc>
          <w:tcPr>
            <w:tcW w:w="1818" w:type="dxa"/>
            <w:tcBorders>
              <w:top w:val="single" w:sz="8" w:space="0" w:color="auto"/>
              <w:left w:val="single" w:sz="8" w:space="0" w:color="auto"/>
              <w:bottom w:val="single" w:sz="8" w:space="0" w:color="auto"/>
              <w:right w:val="single" w:sz="8" w:space="0" w:color="auto"/>
            </w:tcBorders>
            <w:vAlign w:val="center"/>
          </w:tcPr>
          <w:p w14:paraId="25000D3B" w14:textId="74990F6D"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Beschluss (EU) 2023/1036</w:t>
            </w:r>
          </w:p>
        </w:tc>
        <w:tc>
          <w:tcPr>
            <w:tcW w:w="1225" w:type="dxa"/>
            <w:tcBorders>
              <w:top w:val="single" w:sz="8" w:space="0" w:color="auto"/>
              <w:left w:val="single" w:sz="8" w:space="0" w:color="auto"/>
              <w:bottom w:val="single" w:sz="8" w:space="0" w:color="auto"/>
              <w:right w:val="single" w:sz="8" w:space="0" w:color="auto"/>
            </w:tcBorders>
            <w:vAlign w:val="center"/>
          </w:tcPr>
          <w:p w14:paraId="4FF77584" w14:textId="768A8476"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1B1C2D91" w14:textId="42E9E1DB"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3A3F3A56" w14:textId="646042DE" w:rsidR="0626AC4C" w:rsidRPr="001D07EE" w:rsidRDefault="0626AC4C" w:rsidP="00C639A0">
            <w:pPr>
              <w:spacing w:after="0"/>
              <w:jc w:val="center"/>
              <w:rPr>
                <w:rFonts w:ascii="Times New Roman" w:eastAsia="Times New Roman" w:hAnsi="Times New Roman" w:cs="Times New Roman"/>
                <w:noProof/>
              </w:rPr>
            </w:pPr>
            <w:r>
              <w:rPr>
                <w:rFonts w:ascii="Times New Roman" w:hAnsi="Times New Roman"/>
                <w:noProof/>
              </w:rPr>
              <w:t>14 925,45</w:t>
            </w:r>
          </w:p>
        </w:tc>
        <w:tc>
          <w:tcPr>
            <w:tcW w:w="1311" w:type="dxa"/>
            <w:tcBorders>
              <w:top w:val="single" w:sz="8" w:space="0" w:color="auto"/>
              <w:left w:val="single" w:sz="8" w:space="0" w:color="auto"/>
              <w:bottom w:val="single" w:sz="8" w:space="0" w:color="auto"/>
              <w:right w:val="single" w:sz="8" w:space="0" w:color="auto"/>
            </w:tcBorders>
            <w:vAlign w:val="center"/>
          </w:tcPr>
          <w:p w14:paraId="2EDA29B5" w14:textId="745076E7"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Alle ZS der Mitgliedstaaten </w:t>
            </w:r>
          </w:p>
        </w:tc>
      </w:tr>
      <w:tr w:rsidR="0626AC4C" w14:paraId="3BFDB84D" w14:textId="77777777" w:rsidTr="001D07EE">
        <w:trPr>
          <w:trHeight w:val="300"/>
        </w:trPr>
        <w:tc>
          <w:tcPr>
            <w:tcW w:w="1005" w:type="dxa"/>
            <w:tcBorders>
              <w:top w:val="single" w:sz="8" w:space="0" w:color="auto"/>
              <w:left w:val="single" w:sz="8" w:space="0" w:color="auto"/>
              <w:bottom w:val="single" w:sz="8" w:space="0" w:color="auto"/>
              <w:right w:val="single" w:sz="8" w:space="0" w:color="auto"/>
            </w:tcBorders>
            <w:vAlign w:val="center"/>
          </w:tcPr>
          <w:p w14:paraId="1CF9EED8" w14:textId="254FF00A" w:rsidR="0626AC4C" w:rsidRPr="001D07EE" w:rsidRDefault="0626AC4C" w:rsidP="00C639A0">
            <w:pPr>
              <w:spacing w:after="0"/>
              <w:jc w:val="center"/>
              <w:rPr>
                <w:rFonts w:ascii="Times New Roman" w:eastAsia="Times New Roman" w:hAnsi="Times New Roman" w:cs="Times New Roman"/>
                <w:noProof/>
              </w:rPr>
            </w:pPr>
            <w:r>
              <w:rPr>
                <w:rFonts w:ascii="Times New Roman" w:hAnsi="Times New Roman"/>
                <w:noProof/>
              </w:rPr>
              <w:t>ELER</w:t>
            </w:r>
          </w:p>
        </w:tc>
        <w:tc>
          <w:tcPr>
            <w:tcW w:w="1818" w:type="dxa"/>
            <w:tcBorders>
              <w:top w:val="single" w:sz="8" w:space="0" w:color="auto"/>
              <w:left w:val="single" w:sz="8" w:space="0" w:color="auto"/>
              <w:bottom w:val="single" w:sz="8" w:space="0" w:color="auto"/>
              <w:right w:val="single" w:sz="8" w:space="0" w:color="auto"/>
            </w:tcBorders>
            <w:vAlign w:val="center"/>
          </w:tcPr>
          <w:p w14:paraId="249ED3D1" w14:textId="374AA7B8"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Beschluss (EU) 2023/1038</w:t>
            </w:r>
          </w:p>
        </w:tc>
        <w:tc>
          <w:tcPr>
            <w:tcW w:w="1225" w:type="dxa"/>
            <w:tcBorders>
              <w:top w:val="single" w:sz="8" w:space="0" w:color="auto"/>
              <w:left w:val="single" w:sz="8" w:space="0" w:color="auto"/>
              <w:bottom w:val="single" w:sz="8" w:space="0" w:color="auto"/>
              <w:right w:val="single" w:sz="8" w:space="0" w:color="auto"/>
            </w:tcBorders>
            <w:vAlign w:val="center"/>
          </w:tcPr>
          <w:p w14:paraId="2FC5E0A1" w14:textId="4EA94552"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2B8CC5DC" w14:textId="7466073F"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0477D2EA" w14:textId="3BB09390" w:rsidR="0626AC4C" w:rsidRPr="001D07EE" w:rsidRDefault="0626AC4C" w:rsidP="00C639A0">
            <w:pPr>
              <w:spacing w:after="0"/>
              <w:jc w:val="center"/>
              <w:rPr>
                <w:rFonts w:ascii="Times New Roman" w:eastAsia="Times New Roman" w:hAnsi="Times New Roman" w:cs="Times New Roman"/>
                <w:noProof/>
              </w:rPr>
            </w:pPr>
            <w:r>
              <w:rPr>
                <w:rFonts w:ascii="Times New Roman" w:hAnsi="Times New Roman"/>
                <w:noProof/>
              </w:rPr>
              <w:t>475,19</w:t>
            </w:r>
          </w:p>
        </w:tc>
        <w:tc>
          <w:tcPr>
            <w:tcW w:w="1311" w:type="dxa"/>
            <w:tcBorders>
              <w:top w:val="single" w:sz="8" w:space="0" w:color="auto"/>
              <w:left w:val="single" w:sz="8" w:space="0" w:color="auto"/>
              <w:bottom w:val="single" w:sz="8" w:space="0" w:color="auto"/>
              <w:right w:val="single" w:sz="8" w:space="0" w:color="auto"/>
            </w:tcBorders>
            <w:vAlign w:val="center"/>
          </w:tcPr>
          <w:p w14:paraId="3BABAA17" w14:textId="61F685E1" w:rsidR="0626AC4C" w:rsidRDefault="0626AC4C" w:rsidP="00C639A0">
            <w:pPr>
              <w:spacing w:after="0"/>
              <w:jc w:val="center"/>
              <w:rPr>
                <w:rFonts w:ascii="Times New Roman" w:eastAsia="Times New Roman" w:hAnsi="Times New Roman" w:cs="Times New Roman"/>
                <w:noProof/>
              </w:rPr>
            </w:pPr>
            <w:r>
              <w:rPr>
                <w:rFonts w:ascii="Times New Roman" w:hAnsi="Times New Roman"/>
                <w:noProof/>
              </w:rPr>
              <w:t>4 ZS des Vereinigten Königreichs</w:t>
            </w:r>
          </w:p>
        </w:tc>
      </w:tr>
    </w:tbl>
    <w:p w14:paraId="5D2199B7" w14:textId="01328437" w:rsidR="5F84DB30" w:rsidRDefault="5F84DB30" w:rsidP="5F84DB30">
      <w:pPr>
        <w:pStyle w:val="Text1"/>
      </w:pPr>
    </w:p>
    <w:p w14:paraId="3C5E9B8D" w14:textId="1F29AE9E" w:rsidR="00A44A15" w:rsidRDefault="0003316B" w:rsidP="00A44A15">
      <w:pPr>
        <w:pStyle w:val="ManualHeading2"/>
        <w:rPr>
          <w:noProof/>
        </w:rPr>
      </w:pPr>
      <w:bookmarkStart w:id="86" w:name="_Toc322938654"/>
      <w:bookmarkStart w:id="87" w:name="_Toc102661890"/>
      <w:bookmarkStart w:id="88" w:name="_Toc139622289"/>
      <w:bookmarkStart w:id="89" w:name="_Toc175120264"/>
      <w:r>
        <w:rPr>
          <w:noProof/>
        </w:rPr>
        <w:t>5.3.</w:t>
      </w:r>
      <w:r>
        <w:rPr>
          <w:noProof/>
        </w:rPr>
        <w:tab/>
        <w:t>Beim Gerichtshof der Europäischen Union gegen Abschlussbeschlüsse eingelegte Beschwerden</w:t>
      </w:r>
      <w:bookmarkEnd w:id="85"/>
      <w:bookmarkEnd w:id="86"/>
      <w:bookmarkEnd w:id="87"/>
      <w:bookmarkEnd w:id="88"/>
      <w:bookmarkEnd w:id="89"/>
    </w:p>
    <w:p w14:paraId="148250A9" w14:textId="2E9A3226" w:rsidR="00330126" w:rsidRDefault="565F43CE" w:rsidP="004F4BB0">
      <w:pPr>
        <w:pStyle w:val="Text1"/>
        <w:ind w:left="851"/>
      </w:pPr>
      <w:r>
        <w:t xml:space="preserve">Anhang 19 enthält eine Zusammenfassung der </w:t>
      </w:r>
      <w:bookmarkStart w:id="90" w:name="_Toc322938655"/>
      <w:bookmarkStart w:id="91" w:name="_Toc102661891"/>
      <w:bookmarkStart w:id="92" w:name="_Toc105773245"/>
      <w:bookmarkStart w:id="93" w:name="_Toc322938656"/>
      <w:bookmarkEnd w:id="90"/>
      <w:bookmarkEnd w:id="91"/>
      <w:bookmarkEnd w:id="92"/>
      <w:r>
        <w:t>beim Gericht und beim Gerichtshof eingelegten Beschwerden.</w:t>
      </w:r>
      <w:bookmarkStart w:id="94" w:name="_Toc322938658"/>
      <w:bookmarkStart w:id="95" w:name="_Toc102661894"/>
      <w:bookmarkStart w:id="96" w:name="_Toc105773248"/>
      <w:bookmarkEnd w:id="93"/>
    </w:p>
    <w:p w14:paraId="665D0E1A" w14:textId="4349433A" w:rsidR="00A44A15" w:rsidRDefault="0003316B" w:rsidP="006827A2">
      <w:pPr>
        <w:pStyle w:val="ManualHeading1"/>
        <w:ind w:left="851" w:hanging="851"/>
        <w:jc w:val="left"/>
        <w:rPr>
          <w:noProof/>
        </w:rPr>
      </w:pPr>
      <w:bookmarkStart w:id="97" w:name="_Toc139622290"/>
      <w:bookmarkStart w:id="98" w:name="_Toc175120265"/>
      <w:r>
        <w:rPr>
          <w:noProof/>
        </w:rPr>
        <w:t>6.</w:t>
      </w:r>
      <w:r>
        <w:rPr>
          <w:noProof/>
        </w:rPr>
        <w:tab/>
        <w:t>BEZIEHUNGEN ZUM PARLAMENT UND ZUM EUROPÄISCHEN RECHNUNGSHOF</w:t>
      </w:r>
      <w:bookmarkEnd w:id="94"/>
      <w:bookmarkEnd w:id="95"/>
      <w:bookmarkEnd w:id="96"/>
      <w:bookmarkEnd w:id="97"/>
      <w:bookmarkEnd w:id="98"/>
      <w:r>
        <w:rPr>
          <w:noProof/>
        </w:rPr>
        <w:t xml:space="preserve"> </w:t>
      </w:r>
    </w:p>
    <w:p w14:paraId="1AF2E9D1" w14:textId="0BDD606F" w:rsidR="00A44A15" w:rsidRDefault="0003316B" w:rsidP="00A44A15">
      <w:pPr>
        <w:pStyle w:val="ManualHeading2"/>
        <w:rPr>
          <w:noProof/>
        </w:rPr>
      </w:pPr>
      <w:bookmarkStart w:id="99" w:name="_Toc322938659"/>
      <w:bookmarkStart w:id="100" w:name="_Toc102661895"/>
      <w:bookmarkStart w:id="101" w:name="_Toc105773249"/>
      <w:bookmarkStart w:id="102" w:name="_Toc139622291"/>
      <w:bookmarkStart w:id="103" w:name="_Toc175120266"/>
      <w:r>
        <w:rPr>
          <w:noProof/>
        </w:rPr>
        <w:t>6.1.</w:t>
      </w:r>
      <w:r>
        <w:rPr>
          <w:noProof/>
        </w:rPr>
        <w:tab/>
        <w:t>Beziehungen zum Parlament</w:t>
      </w:r>
      <w:bookmarkEnd w:id="99"/>
      <w:bookmarkEnd w:id="100"/>
      <w:bookmarkEnd w:id="101"/>
      <w:bookmarkEnd w:id="102"/>
      <w:bookmarkEnd w:id="103"/>
      <w:r>
        <w:rPr>
          <w:noProof/>
        </w:rPr>
        <w:t xml:space="preserve"> </w:t>
      </w:r>
    </w:p>
    <w:p w14:paraId="7400BFC1" w14:textId="1AE8B5FF" w:rsidR="00A44A15" w:rsidRDefault="1BFC6801" w:rsidP="00A44A15">
      <w:pPr>
        <w:pStyle w:val="Text1"/>
      </w:pPr>
      <w:r>
        <w:t>Das Europäische Parlament (EP) bildet zusammen mit dem Rat die Haushaltsbehörde der EU. Damit ist es einer der wichtigsten Gesprächspartner der Kommission in Haushaltsfragen und damit auch in Bezug auf den EGFL und den ELER.</w:t>
      </w:r>
    </w:p>
    <w:p w14:paraId="5BC93E3B" w14:textId="77777777" w:rsidR="00A44A15" w:rsidRDefault="00A44A15" w:rsidP="00A44A15">
      <w:pPr>
        <w:pStyle w:val="Text1"/>
      </w:pPr>
      <w:r>
        <w:t>Drei Ausschüsse des EP sind an den Diskussionen und der Vorbereitung von Plenarsitzungen zu Fragen des Agrarhaushalts beteiligt. Bei diesen Ausschüssen handelt es sich um den Ausschuss für Landwirtschaft und ländliche Entwicklung, den Haushaltsausschuss und den Haushaltskontrollausschuss.</w:t>
      </w:r>
    </w:p>
    <w:p w14:paraId="526545A8" w14:textId="77777777" w:rsidR="00A44A15" w:rsidRDefault="00A44A15" w:rsidP="00A44A15">
      <w:pPr>
        <w:pStyle w:val="Text1"/>
      </w:pPr>
      <w:r>
        <w:t>Seit 2014 legt der Ausschuss für Landwirtschaft und ländliche Entwicklung dem Haushaltskontrollausschuss eine Stellungnahme zum Entlastungsverfahren vor.</w:t>
      </w:r>
    </w:p>
    <w:p w14:paraId="122E3146" w14:textId="77777777" w:rsidR="00A44A15" w:rsidRDefault="00A44A15" w:rsidP="00A44A15">
      <w:pPr>
        <w:pStyle w:val="Text1"/>
      </w:pPr>
      <w:r>
        <w:t xml:space="preserve">Der Haushaltskontrollausschuss kontrolliert die ordnungsgemäße Ausführung des Haushaltsplans und verfasst den Bericht, in dem er dem Parlament die Erteilung der Entlastung vorschlägt und Empfehlungen an die Kommission oder die Mitgliedstaaten richtet. </w:t>
      </w:r>
    </w:p>
    <w:p w14:paraId="11250BD8" w14:textId="63D92950" w:rsidR="00A44A15" w:rsidRDefault="00A44A15" w:rsidP="00A44A15">
      <w:pPr>
        <w:pStyle w:val="Text1"/>
      </w:pPr>
      <w:r>
        <w:t>Das Europäische Parlament hat der Kommission am 11. April 2024 durch einen im Plenum angenommenen Parlamentsbeschluss Entlastung für die Ausführung des Gesamthaushaltsplans der Europäischen Union für das Haushaltsjahr 2023 erteilt.</w:t>
      </w:r>
    </w:p>
    <w:p w14:paraId="32951FB2" w14:textId="6E4CD038" w:rsidR="00A44A15" w:rsidRDefault="0003316B" w:rsidP="00A44A15">
      <w:pPr>
        <w:pStyle w:val="ManualHeading2"/>
        <w:rPr>
          <w:noProof/>
        </w:rPr>
      </w:pPr>
      <w:bookmarkStart w:id="104" w:name="_Toc322938660"/>
      <w:bookmarkStart w:id="105" w:name="_Toc102661896"/>
      <w:bookmarkStart w:id="106" w:name="_Toc105773250"/>
      <w:bookmarkStart w:id="107" w:name="_Toc139622292"/>
      <w:bookmarkStart w:id="108" w:name="_Toc175120267"/>
      <w:r>
        <w:rPr>
          <w:noProof/>
        </w:rPr>
        <w:t>6.2.</w:t>
      </w:r>
      <w:r>
        <w:rPr>
          <w:noProof/>
        </w:rPr>
        <w:tab/>
        <w:t>Beziehungen zum Europäischen Rechnungshof</w:t>
      </w:r>
      <w:bookmarkEnd w:id="104"/>
      <w:bookmarkEnd w:id="105"/>
      <w:bookmarkEnd w:id="106"/>
      <w:bookmarkEnd w:id="107"/>
      <w:bookmarkEnd w:id="108"/>
    </w:p>
    <w:p w14:paraId="373D7D44" w14:textId="77777777" w:rsidR="650879C5" w:rsidRDefault="650879C5" w:rsidP="5802674F">
      <w:pPr>
        <w:pStyle w:val="Text1"/>
      </w:pPr>
      <w:r>
        <w:t>Der Europäische Rechnungshof (EuRH) ist der externe unabhängige Prüfer der Europäischen Union. Eine Zusammenfassung der Ergebnisse und Schlussfolgerungen des EuRH für das Haushaltsjahr 2023 ist im jährlichen Tätigkeitsbericht unter Punkt 2.2.2 (Seite 76) enthalten.</w:t>
      </w:r>
      <w:bookmarkStart w:id="109" w:name="_Toc134214511"/>
      <w:bookmarkStart w:id="110" w:name="_Toc322938663"/>
      <w:bookmarkEnd w:id="109"/>
      <w:r>
        <w:t xml:space="preserve"> </w:t>
      </w:r>
      <w:bookmarkEnd w:id="110"/>
    </w:p>
    <w:p w14:paraId="4975CFAF" w14:textId="7FADEA19" w:rsidR="00A44A15" w:rsidRDefault="00A44A15" w:rsidP="00DB0987">
      <w:pPr>
        <w:pStyle w:val="ManualHeading1"/>
        <w:spacing w:before="0"/>
        <w:ind w:left="0" w:firstLine="0"/>
        <w:rPr>
          <w:noProof/>
        </w:rPr>
      </w:pPr>
    </w:p>
    <w:sectPr w:rsidR="00A44A15" w:rsidSect="00C441F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E246" w14:textId="77777777" w:rsidR="00B125E5" w:rsidRDefault="00B125E5" w:rsidP="00A44A15">
      <w:pPr>
        <w:spacing w:after="0" w:line="240" w:lineRule="auto"/>
      </w:pPr>
      <w:r>
        <w:separator/>
      </w:r>
    </w:p>
  </w:endnote>
  <w:endnote w:type="continuationSeparator" w:id="0">
    <w:p w14:paraId="75791AC7" w14:textId="77777777" w:rsidR="00B125E5" w:rsidRDefault="00B125E5" w:rsidP="00A44A15">
      <w:pPr>
        <w:spacing w:after="0" w:line="240" w:lineRule="auto"/>
      </w:pPr>
      <w:r>
        <w:continuationSeparator/>
      </w:r>
    </w:p>
  </w:endnote>
  <w:endnote w:type="continuationNotice" w:id="1">
    <w:p w14:paraId="60272230" w14:textId="77777777" w:rsidR="00B125E5" w:rsidRDefault="00B12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87BE1" w14:textId="0CC5612B" w:rsidR="00BB35FD" w:rsidRPr="00BB35FD" w:rsidRDefault="00BB35FD" w:rsidP="00BB35FD">
    <w:pPr>
      <w:pStyle w:val="FooterCoverPage"/>
      <w:rPr>
        <w:rFonts w:ascii="Arial" w:hAnsi="Arial" w:cs="Arial"/>
        <w:b/>
        <w:sz w:val="48"/>
      </w:rPr>
    </w:pPr>
    <w:r w:rsidRPr="00BB35FD">
      <w:rPr>
        <w:rFonts w:ascii="Arial" w:hAnsi="Arial" w:cs="Arial"/>
        <w:b/>
        <w:sz w:val="48"/>
      </w:rPr>
      <w:t>DE</w:t>
    </w:r>
    <w:r w:rsidRPr="00BB35FD">
      <w:rPr>
        <w:rFonts w:ascii="Arial" w:hAnsi="Arial" w:cs="Arial"/>
        <w:b/>
        <w:sz w:val="48"/>
      </w:rPr>
      <w:tab/>
    </w:r>
    <w:r w:rsidRPr="00BB35FD">
      <w:rPr>
        <w:rFonts w:ascii="Arial" w:hAnsi="Arial" w:cs="Arial"/>
        <w:b/>
        <w:sz w:val="48"/>
      </w:rPr>
      <w:tab/>
    </w:r>
    <w:r w:rsidRPr="00BB35FD">
      <w:tab/>
    </w:r>
    <w:r w:rsidRPr="00BB35FD">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AD37" w14:textId="5DED7EDC" w:rsidR="00BB35FD" w:rsidRPr="00BB35FD" w:rsidRDefault="00BB35FD" w:rsidP="00BB35FD">
    <w:pPr>
      <w:pStyle w:val="FooterCoverPage"/>
      <w:rPr>
        <w:rFonts w:ascii="Arial" w:hAnsi="Arial" w:cs="Arial"/>
        <w:b/>
        <w:sz w:val="48"/>
      </w:rPr>
    </w:pPr>
    <w:r w:rsidRPr="00BB35FD">
      <w:rPr>
        <w:rFonts w:ascii="Arial" w:hAnsi="Arial" w:cs="Arial"/>
        <w:b/>
        <w:sz w:val="48"/>
      </w:rPr>
      <w:t>DE</w:t>
    </w:r>
    <w:r w:rsidRPr="00BB35FD">
      <w:rPr>
        <w:rFonts w:ascii="Arial" w:hAnsi="Arial" w:cs="Arial"/>
        <w:b/>
        <w:sz w:val="48"/>
      </w:rPr>
      <w:tab/>
    </w:r>
    <w:r w:rsidRPr="00BB35FD">
      <w:rPr>
        <w:rFonts w:ascii="Arial" w:hAnsi="Arial" w:cs="Arial"/>
        <w:b/>
        <w:sz w:val="48"/>
      </w:rPr>
      <w:tab/>
    </w:r>
    <w:r w:rsidRPr="00BB35FD">
      <w:tab/>
    </w:r>
    <w:r w:rsidRPr="00BB35FD">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5309" w14:textId="77777777" w:rsidR="00BB35FD" w:rsidRPr="00BB35FD" w:rsidRDefault="00BB35FD" w:rsidP="00BB35F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3189" w14:textId="77777777" w:rsidR="00527CD2" w:rsidRDefault="00527C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1C14" w14:textId="050448C2" w:rsidR="00527CD2" w:rsidRDefault="00527CD2">
    <w:pPr>
      <w:pStyle w:val="Footer"/>
      <w:jc w:val="center"/>
    </w:pPr>
    <w:r>
      <w:fldChar w:fldCharType="begin"/>
    </w:r>
    <w:r>
      <w:instrText xml:space="preserve"> PAGE   \* MERGEFORMAT </w:instrText>
    </w:r>
    <w:r>
      <w:fldChar w:fldCharType="separate"/>
    </w:r>
    <w:r w:rsidR="00BB35FD">
      <w:rPr>
        <w:noProof/>
      </w:rPr>
      <w:t>1</w:t>
    </w:r>
    <w:r>
      <w:fldChar w:fldCharType="end"/>
    </w:r>
  </w:p>
  <w:p w14:paraId="6401EB7A" w14:textId="77777777" w:rsidR="00527CD2" w:rsidRDefault="00527C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9E8B" w14:textId="77777777" w:rsidR="00527CD2" w:rsidRDefault="00527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A068" w14:textId="77777777" w:rsidR="00484A3D" w:rsidRDefault="00484A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F889" w14:textId="586A119F" w:rsidR="00484A3D" w:rsidRDefault="00484A3D">
    <w:pPr>
      <w:pStyle w:val="Footer"/>
      <w:jc w:val="center"/>
    </w:pPr>
    <w:r>
      <w:fldChar w:fldCharType="begin"/>
    </w:r>
    <w:r>
      <w:instrText xml:space="preserve"> PAGE   \* MERGEFORMAT </w:instrText>
    </w:r>
    <w:r>
      <w:fldChar w:fldCharType="separate"/>
    </w:r>
    <w:r w:rsidR="00BB35FD">
      <w:rPr>
        <w:noProof/>
      </w:rPr>
      <w:t>2</w:t>
    </w:r>
    <w:r>
      <w:fldChar w:fldCharType="end"/>
    </w:r>
  </w:p>
  <w:p w14:paraId="737569A5" w14:textId="77777777" w:rsidR="00484A3D" w:rsidRDefault="00484A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0986" w14:textId="77777777" w:rsidR="00484A3D" w:rsidRDefault="0048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91E7A" w14:textId="77777777" w:rsidR="00B125E5" w:rsidRDefault="00B125E5" w:rsidP="00A44A15">
      <w:pPr>
        <w:spacing w:after="0" w:line="240" w:lineRule="auto"/>
      </w:pPr>
      <w:r>
        <w:separator/>
      </w:r>
    </w:p>
  </w:footnote>
  <w:footnote w:type="continuationSeparator" w:id="0">
    <w:p w14:paraId="0BEEB44B" w14:textId="77777777" w:rsidR="00B125E5" w:rsidRDefault="00B125E5" w:rsidP="00A44A15">
      <w:pPr>
        <w:spacing w:after="0" w:line="240" w:lineRule="auto"/>
      </w:pPr>
      <w:r>
        <w:continuationSeparator/>
      </w:r>
    </w:p>
  </w:footnote>
  <w:footnote w:type="continuationNotice" w:id="1">
    <w:p w14:paraId="64687EC9" w14:textId="77777777" w:rsidR="00B125E5" w:rsidRDefault="00B125E5">
      <w:pPr>
        <w:spacing w:after="0" w:line="240" w:lineRule="auto"/>
      </w:pPr>
    </w:p>
  </w:footnote>
  <w:footnote w:id="2">
    <w:p w14:paraId="393439C8" w14:textId="1CA0B706" w:rsidR="00527CD2" w:rsidRDefault="00527CD2" w:rsidP="00A44A15">
      <w:pPr>
        <w:pStyle w:val="FootnoteText"/>
      </w:pPr>
      <w:r>
        <w:rPr>
          <w:rStyle w:val="FootnoteReference"/>
        </w:rPr>
        <w:footnoteRef/>
      </w:r>
      <w:r>
        <w:tab/>
        <w:t>ABl. L 433I vom 22.12.2020, S. 11.</w:t>
      </w:r>
    </w:p>
  </w:footnote>
  <w:footnote w:id="3">
    <w:p w14:paraId="2B2DD12C" w14:textId="1DD27448" w:rsidR="00407ACD" w:rsidRPr="00FC6CD6" w:rsidRDefault="00407ACD" w:rsidP="00D35D06">
      <w:pPr>
        <w:pStyle w:val="FootnoteText"/>
      </w:pPr>
      <w:r>
        <w:rPr>
          <w:rStyle w:val="FootnoteReference"/>
        </w:rPr>
        <w:footnoteRef/>
      </w:r>
      <w:r>
        <w:tab/>
        <w:t xml:space="preserve">ABl. L, 2024/765, 29.2.2024, </w:t>
      </w:r>
      <w:r>
        <w:rPr>
          <w:i/>
          <w:iCs/>
        </w:rPr>
        <w:t>ELI:</w:t>
      </w:r>
      <w:r>
        <w:rPr>
          <w:i/>
        </w:rPr>
        <w:t> </w:t>
      </w:r>
      <w:hyperlink r:id="rId1" w:tgtFrame="_blank" w:tooltip="Ermöglicht den Zugriff auf dieses Dokument über die ELI-URI." w:history="1">
        <w:r>
          <w:rPr>
            <w:rStyle w:val="Hyperlink"/>
            <w:i/>
          </w:rPr>
          <w:t>http://data.europa.eu/eli/reg/2024/765/oj</w:t>
        </w:r>
      </w:hyperlink>
      <w:r>
        <w:t>.</w:t>
      </w:r>
    </w:p>
  </w:footnote>
  <w:footnote w:id="4">
    <w:p w14:paraId="23997178" w14:textId="77777777" w:rsidR="00527CD2" w:rsidRDefault="00527CD2" w:rsidP="00A44A15">
      <w:pPr>
        <w:pStyle w:val="FootnoteText"/>
      </w:pPr>
      <w:r>
        <w:rPr>
          <w:rStyle w:val="FootnoteReference"/>
        </w:rPr>
        <w:footnoteRef/>
      </w:r>
      <w:r>
        <w:tab/>
        <w:t>ABl. L 40 vom 4.2.2021, S. 8.</w:t>
      </w:r>
    </w:p>
  </w:footnote>
  <w:footnote w:id="5">
    <w:p w14:paraId="104C16BD" w14:textId="6FF02E5D" w:rsidR="008C4302" w:rsidRDefault="008C4302" w:rsidP="008C4302">
      <w:pPr>
        <w:pStyle w:val="FootnoteText"/>
      </w:pPr>
      <w:r>
        <w:rPr>
          <w:rStyle w:val="FootnoteReference"/>
        </w:rPr>
        <w:footnoteRef/>
      </w:r>
      <w:r>
        <w:tab/>
        <w:t>ABl. L 435 vom 6.12.2021, S. 187.</w:t>
      </w:r>
    </w:p>
  </w:footnote>
  <w:footnote w:id="6">
    <w:p w14:paraId="5210FD77" w14:textId="28C4EDCC" w:rsidR="00527CD2" w:rsidRDefault="00527CD2" w:rsidP="00A44A15">
      <w:pPr>
        <w:pStyle w:val="FootnoteText"/>
      </w:pPr>
      <w:r>
        <w:rPr>
          <w:rStyle w:val="FootnoteReference"/>
        </w:rPr>
        <w:footnoteRef/>
      </w:r>
      <w:r>
        <w:tab/>
        <w:t>Die Mitgliedstaaten übermitteln diese monatlichen Ausgabenerklärungen am 7. des Monats N+1.</w:t>
      </w:r>
    </w:p>
  </w:footnote>
  <w:footnote w:id="7">
    <w:p w14:paraId="6106A0F7" w14:textId="77777777" w:rsidR="006C1868" w:rsidRDefault="006C1868" w:rsidP="006C1868">
      <w:pPr>
        <w:pStyle w:val="FootnoteText"/>
      </w:pPr>
      <w:r>
        <w:rPr>
          <w:rStyle w:val="FootnoteReference"/>
        </w:rPr>
        <w:footnoteRef/>
      </w:r>
      <w:r>
        <w:tab/>
        <w:t>ABl. L 435 vom 6.12.2021, S. 187.</w:t>
      </w:r>
    </w:p>
  </w:footnote>
  <w:footnote w:id="8">
    <w:p w14:paraId="70D8AFE5" w14:textId="46BACDC7" w:rsidR="00527CD2" w:rsidRDefault="00527CD2" w:rsidP="00A44A15">
      <w:pPr>
        <w:pStyle w:val="FootnoteText"/>
      </w:pPr>
      <w:r>
        <w:rPr>
          <w:rStyle w:val="FootnoteReference"/>
        </w:rPr>
        <w:footnoteRef/>
      </w:r>
      <w:r>
        <w:tab/>
        <w:t xml:space="preserve">Dieser Betrag enthält die Erstattung im Rahmen der Haushaltsdisziplin im Zusammenhang mit der Reserve für Krisen im Agrarsektor, die aus dem Haushaltsjahr 2022 übertragen wurde. </w:t>
      </w:r>
    </w:p>
  </w:footnote>
  <w:footnote w:id="9">
    <w:p w14:paraId="08D7E46F" w14:textId="25E37344" w:rsidR="00EC65D2" w:rsidRPr="0089061A" w:rsidRDefault="00EC65D2" w:rsidP="00B429E0">
      <w:pPr>
        <w:pStyle w:val="FootnoteText"/>
        <w:ind w:left="0" w:firstLine="0"/>
      </w:pPr>
      <w:r>
        <w:rPr>
          <w:rStyle w:val="FootnoteReference"/>
        </w:rPr>
        <w:footnoteRef/>
      </w:r>
      <w:r>
        <w:tab/>
        <w:t>ABl. L 181 vom 20.6.2014, S. 48.</w:t>
      </w:r>
    </w:p>
  </w:footnote>
  <w:footnote w:id="10">
    <w:p w14:paraId="5D633ABB" w14:textId="77777777" w:rsidR="00756D7D" w:rsidRPr="00756D7D" w:rsidRDefault="00756D7D">
      <w:pPr>
        <w:pStyle w:val="FootnoteText"/>
      </w:pPr>
      <w:r>
        <w:rPr>
          <w:rStyle w:val="FootnoteReference"/>
        </w:rPr>
        <w:footnoteRef/>
      </w:r>
      <w:r>
        <w:tab/>
        <w:t>ABl. L 227 vom 31.7.2014, S. 69.</w:t>
      </w:r>
    </w:p>
  </w:footnote>
  <w:footnote w:id="11">
    <w:p w14:paraId="36FBBD40" w14:textId="504DF484" w:rsidR="00D060E5" w:rsidRDefault="00EC65D2" w:rsidP="00D060E5">
      <w:r>
        <w:rPr>
          <w:rStyle w:val="FootnoteReference"/>
        </w:rPr>
        <w:footnoteRef/>
      </w:r>
      <w:r>
        <w:tab/>
      </w:r>
      <w:r>
        <w:rPr>
          <w:rFonts w:ascii="Times New Roman" w:hAnsi="Times New Roman"/>
        </w:rPr>
        <w:t xml:space="preserve">Die jährlichen Tätigkeitsberichte der GD AGRI sind abrufbar unter: </w:t>
      </w:r>
      <w:hyperlink r:id="rId2" w:history="1">
        <w:r>
          <w:rPr>
            <w:rStyle w:val="Hyperlink"/>
          </w:rPr>
          <w:t>https://commission.europa.eu/publications/annual-activity-report-2023-agriculture-and-rural-development_en</w:t>
        </w:r>
      </w:hyperlink>
      <w:r>
        <w:t>.</w:t>
      </w:r>
    </w:p>
    <w:p w14:paraId="25E71AB1" w14:textId="77777777" w:rsidR="003B1662" w:rsidRDefault="003B1662" w:rsidP="00D060E5"/>
    <w:p w14:paraId="42D111EB" w14:textId="106B0565" w:rsidR="00EC65D2" w:rsidRDefault="00EC65D2" w:rsidP="00EC65D2">
      <w:pPr>
        <w:pStyle w:val="FootnoteText"/>
      </w:pPr>
    </w:p>
  </w:footnote>
  <w:footnote w:id="12">
    <w:p w14:paraId="680141EC" w14:textId="635A3191" w:rsidR="007F7E98" w:rsidRPr="0089061A" w:rsidRDefault="007F7E98">
      <w:pPr>
        <w:pStyle w:val="FootnoteText"/>
      </w:pPr>
      <w:r>
        <w:rPr>
          <w:rStyle w:val="FootnoteReference"/>
        </w:rPr>
        <w:footnoteRef/>
      </w:r>
      <w:r>
        <w:tab/>
        <w:t>Fälle von Unregelmäßigkeiten, für die die erste amtliche oder gerichtliche Feststellung nicht vor dem 16. Oktober 2014 getroffen wurde. Wurde die erste amtliche oder gerichtliche Feststellung vor diesem Datum getroffen, sind die Fälle als „alte Fälle“ einzustufen.</w:t>
      </w:r>
    </w:p>
  </w:footnote>
  <w:footnote w:id="13">
    <w:p w14:paraId="6FCA8883" w14:textId="15A72E9D" w:rsidR="006B103F" w:rsidRPr="0089061A" w:rsidRDefault="006B103F">
      <w:pPr>
        <w:pStyle w:val="FootnoteText"/>
      </w:pPr>
      <w:r>
        <w:rPr>
          <w:rStyle w:val="FootnoteReference"/>
        </w:rPr>
        <w:footnoteRef/>
      </w:r>
      <w:r>
        <w:tab/>
        <w:t>Fälle, die gemäß Artikel 54 Absatz 3 der Verordnung (EU) Nr. 1306/2013 für uneinziehbar erklärt wurden.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9B81" w14:textId="77777777" w:rsidR="00BB35FD" w:rsidRPr="00BB35FD" w:rsidRDefault="00BB35FD" w:rsidP="00BB35F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EC91" w14:textId="77777777" w:rsidR="00BB35FD" w:rsidRPr="00BB35FD" w:rsidRDefault="00BB35FD" w:rsidP="00BB35F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36CA" w14:textId="77777777" w:rsidR="00BB35FD" w:rsidRPr="00BB35FD" w:rsidRDefault="00BB35FD" w:rsidP="00BB35F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3D8A" w14:textId="77777777" w:rsidR="00527CD2" w:rsidRDefault="00527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3DBA" w14:textId="77777777" w:rsidR="00527CD2" w:rsidRDefault="00527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0777" w14:textId="77777777" w:rsidR="00527CD2" w:rsidRDefault="00527C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0816" w14:textId="77777777" w:rsidR="00484A3D" w:rsidRDefault="00484A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49C4" w14:textId="77777777" w:rsidR="00484A3D" w:rsidRDefault="00484A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BCB5" w14:textId="77777777" w:rsidR="00484A3D" w:rsidRDefault="0048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1274355"/>
    <w:multiLevelType w:val="hybridMultilevel"/>
    <w:tmpl w:val="BE903E60"/>
    <w:lvl w:ilvl="0" w:tplc="DF14A648">
      <w:start w:val="1"/>
      <w:numFmt w:val="decimal"/>
      <w:lvlText w:val="(%1)"/>
      <w:lvlJc w:val="left"/>
      <w:pPr>
        <w:ind w:left="1210" w:hanging="360"/>
      </w:pPr>
      <w:rPr>
        <w:rFonts w:cs="Times New Roman" w:hint="default"/>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6" w15:restartNumberingAfterBreak="0">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49674C4"/>
    <w:multiLevelType w:val="singleLevel"/>
    <w:tmpl w:val="1C5C3756"/>
    <w:name w:val="0,6340992"/>
    <w:lvl w:ilvl="0">
      <w:start w:val="1"/>
      <w:numFmt w:val="bullet"/>
      <w:lvlRestart w:val="0"/>
      <w:pStyle w:val="Tiret1"/>
      <w:lvlText w:val="–"/>
      <w:lvlJc w:val="left"/>
      <w:pPr>
        <w:tabs>
          <w:tab w:val="num" w:pos="1417"/>
        </w:tabs>
        <w:ind w:left="1417" w:hanging="567"/>
      </w:pPr>
    </w:lvl>
  </w:abstractNum>
  <w:abstractNum w:abstractNumId="8" w15:restartNumberingAfterBreak="0">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15:restartNumberingAfterBreak="0">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15:restartNumberingAfterBreak="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15:restartNumberingAfterBreak="0">
    <w:nsid w:val="30ED4279"/>
    <w:multiLevelType w:val="hybridMultilevel"/>
    <w:tmpl w:val="8228AC36"/>
    <w:lvl w:ilvl="0" w:tplc="7C6CAEFC">
      <w:start w:val="3"/>
      <w:numFmt w:val="bullet"/>
      <w:lvlText w:val="-"/>
      <w:lvlJc w:val="left"/>
      <w:pPr>
        <w:ind w:left="1211" w:hanging="360"/>
      </w:pPr>
      <w:rPr>
        <w:rFonts w:ascii="Times New Roman" w:eastAsia="MS PGothic" w:hAnsi="Times New Roman" w:cs="Times New Roman"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4" w15:restartNumberingAfterBreak="0">
    <w:nsid w:val="322F797B"/>
    <w:multiLevelType w:val="hybridMultilevel"/>
    <w:tmpl w:val="98EC018E"/>
    <w:lvl w:ilvl="0" w:tplc="E698F6CE">
      <w:start w:val="1"/>
      <w:numFmt w:val="bullet"/>
      <w:lvlText w:val="–"/>
      <w:lvlJc w:val="left"/>
      <w:pPr>
        <w:ind w:left="720" w:hanging="360"/>
      </w:pPr>
      <w:rPr>
        <w:rFonts w:ascii="Times New Roman" w:hAnsi="Times New Roman" w:hint="default"/>
      </w:rPr>
    </w:lvl>
    <w:lvl w:ilvl="1" w:tplc="DE90F62A">
      <w:start w:val="1"/>
      <w:numFmt w:val="bullet"/>
      <w:lvlText w:val="o"/>
      <w:lvlJc w:val="left"/>
      <w:pPr>
        <w:ind w:left="1440" w:hanging="360"/>
      </w:pPr>
      <w:rPr>
        <w:rFonts w:ascii="Courier New" w:hAnsi="Courier New" w:hint="default"/>
      </w:rPr>
    </w:lvl>
    <w:lvl w:ilvl="2" w:tplc="428A1ED8">
      <w:start w:val="1"/>
      <w:numFmt w:val="bullet"/>
      <w:lvlText w:val=""/>
      <w:lvlJc w:val="left"/>
      <w:pPr>
        <w:ind w:left="2160" w:hanging="360"/>
      </w:pPr>
      <w:rPr>
        <w:rFonts w:ascii="Wingdings" w:hAnsi="Wingdings" w:hint="default"/>
      </w:rPr>
    </w:lvl>
    <w:lvl w:ilvl="3" w:tplc="AC5E15D6">
      <w:start w:val="1"/>
      <w:numFmt w:val="bullet"/>
      <w:lvlText w:val=""/>
      <w:lvlJc w:val="left"/>
      <w:pPr>
        <w:ind w:left="2880" w:hanging="360"/>
      </w:pPr>
      <w:rPr>
        <w:rFonts w:ascii="Symbol" w:hAnsi="Symbol" w:hint="default"/>
      </w:rPr>
    </w:lvl>
    <w:lvl w:ilvl="4" w:tplc="0F14B35A">
      <w:start w:val="1"/>
      <w:numFmt w:val="bullet"/>
      <w:lvlText w:val="o"/>
      <w:lvlJc w:val="left"/>
      <w:pPr>
        <w:ind w:left="3600" w:hanging="360"/>
      </w:pPr>
      <w:rPr>
        <w:rFonts w:ascii="Courier New" w:hAnsi="Courier New" w:hint="default"/>
      </w:rPr>
    </w:lvl>
    <w:lvl w:ilvl="5" w:tplc="175C94B8">
      <w:start w:val="1"/>
      <w:numFmt w:val="bullet"/>
      <w:lvlText w:val=""/>
      <w:lvlJc w:val="left"/>
      <w:pPr>
        <w:ind w:left="4320" w:hanging="360"/>
      </w:pPr>
      <w:rPr>
        <w:rFonts w:ascii="Wingdings" w:hAnsi="Wingdings" w:hint="default"/>
      </w:rPr>
    </w:lvl>
    <w:lvl w:ilvl="6" w:tplc="F90490B4">
      <w:start w:val="1"/>
      <w:numFmt w:val="bullet"/>
      <w:lvlText w:val=""/>
      <w:lvlJc w:val="left"/>
      <w:pPr>
        <w:ind w:left="5040" w:hanging="360"/>
      </w:pPr>
      <w:rPr>
        <w:rFonts w:ascii="Symbol" w:hAnsi="Symbol" w:hint="default"/>
      </w:rPr>
    </w:lvl>
    <w:lvl w:ilvl="7" w:tplc="AC1C242E">
      <w:start w:val="1"/>
      <w:numFmt w:val="bullet"/>
      <w:lvlText w:val="o"/>
      <w:lvlJc w:val="left"/>
      <w:pPr>
        <w:ind w:left="5760" w:hanging="360"/>
      </w:pPr>
      <w:rPr>
        <w:rFonts w:ascii="Courier New" w:hAnsi="Courier New" w:hint="default"/>
      </w:rPr>
    </w:lvl>
    <w:lvl w:ilvl="8" w:tplc="7CC04884">
      <w:start w:val="1"/>
      <w:numFmt w:val="bullet"/>
      <w:lvlText w:val=""/>
      <w:lvlJc w:val="left"/>
      <w:pPr>
        <w:ind w:left="6480" w:hanging="360"/>
      </w:pPr>
      <w:rPr>
        <w:rFonts w:ascii="Wingdings" w:hAnsi="Wingdings" w:hint="default"/>
      </w:rPr>
    </w:lvl>
  </w:abstractNum>
  <w:abstractNum w:abstractNumId="15"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6"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FE679FC"/>
    <w:multiLevelType w:val="hybridMultilevel"/>
    <w:tmpl w:val="3578ABC2"/>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0" w15:restartNumberingAfterBreak="0">
    <w:nsid w:val="57C85C6C"/>
    <w:multiLevelType w:val="hybridMultilevel"/>
    <w:tmpl w:val="721C3FF6"/>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1" w15:restartNumberingAfterBreak="0">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12064BE"/>
    <w:multiLevelType w:val="hybridMultilevel"/>
    <w:tmpl w:val="CE22AD48"/>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4" w15:restartNumberingAfterBreak="0">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15:restartNumberingAfterBreak="0">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6" w15:restartNumberingAfterBreak="0">
    <w:nsid w:val="64304DA4"/>
    <w:multiLevelType w:val="hybridMultilevel"/>
    <w:tmpl w:val="AFAA88F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15:restartNumberingAfterBreak="0">
    <w:nsid w:val="65221EBE"/>
    <w:multiLevelType w:val="hybridMultilevel"/>
    <w:tmpl w:val="EC7AB760"/>
    <w:lvl w:ilvl="0" w:tplc="51409574">
      <w:start w:val="3"/>
      <w:numFmt w:val="bullet"/>
      <w:lvlText w:val="-"/>
      <w:lvlJc w:val="left"/>
      <w:pPr>
        <w:ind w:left="1211" w:hanging="360"/>
      </w:pPr>
      <w:rPr>
        <w:rFonts w:ascii="Times New Roman" w:eastAsia="MS PGothic" w:hAnsi="Times New Roman" w:cs="Times New Roman"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8" w15:restartNumberingAfterBreak="0">
    <w:nsid w:val="67917F1D"/>
    <w:multiLevelType w:val="hybridMultilevel"/>
    <w:tmpl w:val="4B6495F6"/>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9" w15:restartNumberingAfterBreak="0">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15:restartNumberingAfterBreak="0">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1" w15:restartNumberingAfterBreak="0">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15:restartNumberingAfterBreak="0">
    <w:nsid w:val="70542883"/>
    <w:multiLevelType w:val="hybridMultilevel"/>
    <w:tmpl w:val="EA78B5D2"/>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33" w15:restartNumberingAfterBreak="0">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34" w15:restartNumberingAfterBreak="0">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15:restartNumberingAfterBreak="0">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3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15:restartNumberingAfterBreak="0">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40" w15:restartNumberingAfterBreak="0">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4"/>
  </w:num>
  <w:num w:numId="2">
    <w:abstractNumId w:val="1"/>
  </w:num>
  <w:num w:numId="3">
    <w:abstractNumId w:val="0"/>
  </w:num>
  <w:num w:numId="4">
    <w:abstractNumId w:val="39"/>
  </w:num>
  <w:num w:numId="5">
    <w:abstractNumId w:val="7"/>
  </w:num>
  <w:num w:numId="6">
    <w:abstractNumId w:val="10"/>
  </w:num>
  <w:num w:numId="7">
    <w:abstractNumId w:val="33"/>
  </w:num>
  <w:num w:numId="8">
    <w:abstractNumId w:val="37"/>
  </w:num>
  <w:num w:numId="9">
    <w:abstractNumId w:val="4"/>
  </w:num>
  <w:num w:numId="10">
    <w:abstractNumId w:val="12"/>
  </w:num>
  <w:num w:numId="11">
    <w:abstractNumId w:val="8"/>
  </w:num>
  <w:num w:numId="12">
    <w:abstractNumId w:val="17"/>
  </w:num>
  <w:num w:numId="13">
    <w:abstractNumId w:val="9"/>
  </w:num>
  <w:num w:numId="14">
    <w:abstractNumId w:val="34"/>
  </w:num>
  <w:num w:numId="15">
    <w:abstractNumId w:val="31"/>
  </w:num>
  <w:num w:numId="16">
    <w:abstractNumId w:val="25"/>
  </w:num>
  <w:num w:numId="17">
    <w:abstractNumId w:val="18"/>
  </w:num>
  <w:num w:numId="18">
    <w:abstractNumId w:val="22"/>
  </w:num>
  <w:num w:numId="19">
    <w:abstractNumId w:val="36"/>
  </w:num>
  <w:num w:numId="20">
    <w:abstractNumId w:val="11"/>
  </w:num>
  <w:num w:numId="21">
    <w:abstractNumId w:val="3"/>
  </w:num>
  <w:num w:numId="22">
    <w:abstractNumId w:val="2"/>
  </w:num>
  <w:num w:numId="23">
    <w:abstractNumId w:val="30"/>
  </w:num>
  <w:num w:numId="24">
    <w:abstractNumId w:val="29"/>
  </w:num>
  <w:num w:numId="25">
    <w:abstractNumId w:val="6"/>
  </w:num>
  <w:num w:numId="26">
    <w:abstractNumId w:val="15"/>
  </w:num>
  <w:num w:numId="27">
    <w:abstractNumId w:val="40"/>
  </w:num>
  <w:num w:numId="28">
    <w:abstractNumId w:val="16"/>
  </w:num>
  <w:num w:numId="29">
    <w:abstractNumId w:val="24"/>
  </w:num>
  <w:num w:numId="30">
    <w:abstractNumId w:val="21"/>
  </w:num>
  <w:num w:numId="31">
    <w:abstractNumId w:val="35"/>
  </w:num>
  <w:num w:numId="32">
    <w:abstractNumId w:val="38"/>
  </w:num>
  <w:num w:numId="33">
    <w:abstractNumId w:val="26"/>
  </w:num>
  <w:num w:numId="34">
    <w:abstractNumId w:val="5"/>
  </w:num>
  <w:num w:numId="35">
    <w:abstractNumId w:val="19"/>
  </w:num>
  <w:num w:numId="36">
    <w:abstractNumId w:val="32"/>
  </w:num>
  <w:num w:numId="37">
    <w:abstractNumId w:val="23"/>
  </w:num>
  <w:num w:numId="38">
    <w:abstractNumId w:val="20"/>
  </w:num>
  <w:num w:numId="39">
    <w:abstractNumId w:val="28"/>
  </w:num>
  <w:num w:numId="40">
    <w:abstractNumId w:val="13"/>
  </w:num>
  <w:num w:numId="41">
    <w:abstractNumId w:val="2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9A46E55-FBBA-4E0F-9E94-4E09E09E7AE2"/>
    <w:docVar w:name="LW_COVERPAGE_TYPE" w:val="1"/>
    <w:docVar w:name="LW_CROSSREFERENCE" w:val="&lt;UNUSED&gt;"/>
    <w:docVar w:name="LW_DocType" w:val="NORMAL"/>
    <w:docVar w:name="LW_EMISSION" w:val="26.9.2024"/>
    <w:docVar w:name="LW_EMISSION_ISODATE" w:val="2024-09-26"/>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41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NANZBERICHT DER KOMMISSION AN DAS EUROPÄISCHE PARLAMENT UND DEN RAT ÜBER DEN EUROPÄISCHEN GARANTIEFONDS FÜR DIE LANDWIRTSCHAFT UND DEN EUROPÄISCHEN LANDWIRTSCHAFTSFONDS FÜR DIE ENTWICKLUNG DES LÄNDLICHEN RAUMS_x000b__x000d__x000d__x000b_HAUSHALTSJAHR 2023_x000d__x000d__x000d__x000d__x000d__x000d__x000d__x000d__x000d__x000d__x000d__x000b_"/>
    <w:docVar w:name="LW_TYPE.DOC.CP" w:val="BERICHT DER KOMMISSION AN DAS EUROPÄISCHE PARLAMENT UND DEN RAT"/>
    <w:docVar w:name="LwApiVersions" w:val="LW4CoDe 1.24.5.0; LW 9.0, Build 20240221"/>
  </w:docVars>
  <w:rsids>
    <w:rsidRoot w:val="00A44A15"/>
    <w:rsid w:val="00000C87"/>
    <w:rsid w:val="00002DE4"/>
    <w:rsid w:val="00003FB4"/>
    <w:rsid w:val="00005E87"/>
    <w:rsid w:val="0000BAFB"/>
    <w:rsid w:val="00010D4E"/>
    <w:rsid w:val="000113F6"/>
    <w:rsid w:val="00011868"/>
    <w:rsid w:val="00011D4A"/>
    <w:rsid w:val="00011DF5"/>
    <w:rsid w:val="0001239F"/>
    <w:rsid w:val="000153C1"/>
    <w:rsid w:val="00015C4D"/>
    <w:rsid w:val="00016647"/>
    <w:rsid w:val="000170BC"/>
    <w:rsid w:val="00017132"/>
    <w:rsid w:val="000174DB"/>
    <w:rsid w:val="00017A09"/>
    <w:rsid w:val="00021458"/>
    <w:rsid w:val="00021B55"/>
    <w:rsid w:val="00021CC9"/>
    <w:rsid w:val="000231CC"/>
    <w:rsid w:val="0003042A"/>
    <w:rsid w:val="0003227B"/>
    <w:rsid w:val="00032316"/>
    <w:rsid w:val="00032DF6"/>
    <w:rsid w:val="0003316B"/>
    <w:rsid w:val="000334E1"/>
    <w:rsid w:val="0003407F"/>
    <w:rsid w:val="00034566"/>
    <w:rsid w:val="0003538C"/>
    <w:rsid w:val="00035EA1"/>
    <w:rsid w:val="000367A4"/>
    <w:rsid w:val="00037B3E"/>
    <w:rsid w:val="00037D30"/>
    <w:rsid w:val="00040EAD"/>
    <w:rsid w:val="00041249"/>
    <w:rsid w:val="00041A6B"/>
    <w:rsid w:val="00042578"/>
    <w:rsid w:val="00042871"/>
    <w:rsid w:val="00042903"/>
    <w:rsid w:val="00044276"/>
    <w:rsid w:val="000448A6"/>
    <w:rsid w:val="00044FD9"/>
    <w:rsid w:val="00045C26"/>
    <w:rsid w:val="000475CA"/>
    <w:rsid w:val="00047831"/>
    <w:rsid w:val="000500C1"/>
    <w:rsid w:val="00050101"/>
    <w:rsid w:val="00050340"/>
    <w:rsid w:val="00050998"/>
    <w:rsid w:val="0005188B"/>
    <w:rsid w:val="0005257E"/>
    <w:rsid w:val="00055281"/>
    <w:rsid w:val="00055C92"/>
    <w:rsid w:val="000604C0"/>
    <w:rsid w:val="000620CF"/>
    <w:rsid w:val="000622D6"/>
    <w:rsid w:val="00063279"/>
    <w:rsid w:val="0006328F"/>
    <w:rsid w:val="0006417D"/>
    <w:rsid w:val="000642D8"/>
    <w:rsid w:val="000647DE"/>
    <w:rsid w:val="00064C31"/>
    <w:rsid w:val="000664D4"/>
    <w:rsid w:val="00073FE9"/>
    <w:rsid w:val="00074B84"/>
    <w:rsid w:val="00075CDF"/>
    <w:rsid w:val="000763C9"/>
    <w:rsid w:val="000765EE"/>
    <w:rsid w:val="0007663F"/>
    <w:rsid w:val="00076CC6"/>
    <w:rsid w:val="00076EE4"/>
    <w:rsid w:val="000778D2"/>
    <w:rsid w:val="00080B9D"/>
    <w:rsid w:val="00080FC5"/>
    <w:rsid w:val="00081945"/>
    <w:rsid w:val="0008198C"/>
    <w:rsid w:val="000825FE"/>
    <w:rsid w:val="00083118"/>
    <w:rsid w:val="000857C3"/>
    <w:rsid w:val="00087DDF"/>
    <w:rsid w:val="00090020"/>
    <w:rsid w:val="000913C7"/>
    <w:rsid w:val="00091F8E"/>
    <w:rsid w:val="0009522F"/>
    <w:rsid w:val="00095948"/>
    <w:rsid w:val="00095C3A"/>
    <w:rsid w:val="00095E20"/>
    <w:rsid w:val="000A072C"/>
    <w:rsid w:val="000A2350"/>
    <w:rsid w:val="000A2E72"/>
    <w:rsid w:val="000A3695"/>
    <w:rsid w:val="000A46C1"/>
    <w:rsid w:val="000A4CAD"/>
    <w:rsid w:val="000A5CE3"/>
    <w:rsid w:val="000A5DB8"/>
    <w:rsid w:val="000A67E6"/>
    <w:rsid w:val="000B22D7"/>
    <w:rsid w:val="000B543C"/>
    <w:rsid w:val="000B592B"/>
    <w:rsid w:val="000B6385"/>
    <w:rsid w:val="000B6BB6"/>
    <w:rsid w:val="000B71F2"/>
    <w:rsid w:val="000C01BD"/>
    <w:rsid w:val="000C2802"/>
    <w:rsid w:val="000C41F0"/>
    <w:rsid w:val="000C4A02"/>
    <w:rsid w:val="000C4D1E"/>
    <w:rsid w:val="000C5A99"/>
    <w:rsid w:val="000D038E"/>
    <w:rsid w:val="000D13E0"/>
    <w:rsid w:val="000D1700"/>
    <w:rsid w:val="000D1955"/>
    <w:rsid w:val="000D1FC7"/>
    <w:rsid w:val="000D23D7"/>
    <w:rsid w:val="000D588F"/>
    <w:rsid w:val="000D5FFC"/>
    <w:rsid w:val="000D6F18"/>
    <w:rsid w:val="000D7B5D"/>
    <w:rsid w:val="000E0D27"/>
    <w:rsid w:val="000E19F6"/>
    <w:rsid w:val="000E2F2A"/>
    <w:rsid w:val="000E37CA"/>
    <w:rsid w:val="000E3BA6"/>
    <w:rsid w:val="000E4208"/>
    <w:rsid w:val="000E48D5"/>
    <w:rsid w:val="000E4C4F"/>
    <w:rsid w:val="000E7A0D"/>
    <w:rsid w:val="000F017E"/>
    <w:rsid w:val="000F088E"/>
    <w:rsid w:val="000F3B95"/>
    <w:rsid w:val="000F3C71"/>
    <w:rsid w:val="000F3F19"/>
    <w:rsid w:val="000F3FD7"/>
    <w:rsid w:val="000F45D3"/>
    <w:rsid w:val="000F4A2A"/>
    <w:rsid w:val="000F72AD"/>
    <w:rsid w:val="00100D52"/>
    <w:rsid w:val="0010145A"/>
    <w:rsid w:val="00101AC9"/>
    <w:rsid w:val="00101F8B"/>
    <w:rsid w:val="00102BE2"/>
    <w:rsid w:val="00102F4F"/>
    <w:rsid w:val="001031BE"/>
    <w:rsid w:val="00103C49"/>
    <w:rsid w:val="001055B3"/>
    <w:rsid w:val="0010584F"/>
    <w:rsid w:val="00105B09"/>
    <w:rsid w:val="00106A63"/>
    <w:rsid w:val="00112E24"/>
    <w:rsid w:val="00115339"/>
    <w:rsid w:val="0011546A"/>
    <w:rsid w:val="0012273F"/>
    <w:rsid w:val="00123ADA"/>
    <w:rsid w:val="00125163"/>
    <w:rsid w:val="001259C1"/>
    <w:rsid w:val="001259FC"/>
    <w:rsid w:val="0012618E"/>
    <w:rsid w:val="00126F91"/>
    <w:rsid w:val="00127769"/>
    <w:rsid w:val="00127E0A"/>
    <w:rsid w:val="001310EB"/>
    <w:rsid w:val="001318FE"/>
    <w:rsid w:val="001331D2"/>
    <w:rsid w:val="00133F3A"/>
    <w:rsid w:val="00135A9A"/>
    <w:rsid w:val="00135FE3"/>
    <w:rsid w:val="0013627E"/>
    <w:rsid w:val="00137CBE"/>
    <w:rsid w:val="00142527"/>
    <w:rsid w:val="00142A92"/>
    <w:rsid w:val="00142BFD"/>
    <w:rsid w:val="001431A8"/>
    <w:rsid w:val="00146A38"/>
    <w:rsid w:val="00146AFC"/>
    <w:rsid w:val="001500DA"/>
    <w:rsid w:val="00150BFE"/>
    <w:rsid w:val="00151873"/>
    <w:rsid w:val="001521AE"/>
    <w:rsid w:val="00153B3B"/>
    <w:rsid w:val="00155986"/>
    <w:rsid w:val="00156994"/>
    <w:rsid w:val="00156F3F"/>
    <w:rsid w:val="00157C0B"/>
    <w:rsid w:val="001636F2"/>
    <w:rsid w:val="001645E9"/>
    <w:rsid w:val="00165BC3"/>
    <w:rsid w:val="001665B5"/>
    <w:rsid w:val="00166E78"/>
    <w:rsid w:val="00167931"/>
    <w:rsid w:val="001701C9"/>
    <w:rsid w:val="001720E8"/>
    <w:rsid w:val="0017309A"/>
    <w:rsid w:val="00174687"/>
    <w:rsid w:val="001750DE"/>
    <w:rsid w:val="00177195"/>
    <w:rsid w:val="00177C3A"/>
    <w:rsid w:val="00180D8C"/>
    <w:rsid w:val="001830CF"/>
    <w:rsid w:val="00183BD0"/>
    <w:rsid w:val="00183FEE"/>
    <w:rsid w:val="00184087"/>
    <w:rsid w:val="00184372"/>
    <w:rsid w:val="00184553"/>
    <w:rsid w:val="00184862"/>
    <w:rsid w:val="00184AD3"/>
    <w:rsid w:val="00186093"/>
    <w:rsid w:val="00192D63"/>
    <w:rsid w:val="001931AD"/>
    <w:rsid w:val="00194843"/>
    <w:rsid w:val="001972E2"/>
    <w:rsid w:val="00197970"/>
    <w:rsid w:val="001A08EC"/>
    <w:rsid w:val="001A345A"/>
    <w:rsid w:val="001A3C03"/>
    <w:rsid w:val="001B039C"/>
    <w:rsid w:val="001B0520"/>
    <w:rsid w:val="001B14F9"/>
    <w:rsid w:val="001B55BC"/>
    <w:rsid w:val="001B5861"/>
    <w:rsid w:val="001B5CDE"/>
    <w:rsid w:val="001B6043"/>
    <w:rsid w:val="001C1B70"/>
    <w:rsid w:val="001C3DB5"/>
    <w:rsid w:val="001C4ACF"/>
    <w:rsid w:val="001C5269"/>
    <w:rsid w:val="001C5AB4"/>
    <w:rsid w:val="001C679C"/>
    <w:rsid w:val="001C6BF7"/>
    <w:rsid w:val="001C6C3D"/>
    <w:rsid w:val="001C758A"/>
    <w:rsid w:val="001C7C41"/>
    <w:rsid w:val="001D05C3"/>
    <w:rsid w:val="001D07EE"/>
    <w:rsid w:val="001D1284"/>
    <w:rsid w:val="001D3D49"/>
    <w:rsid w:val="001D4474"/>
    <w:rsid w:val="001D5253"/>
    <w:rsid w:val="001D5442"/>
    <w:rsid w:val="001D6763"/>
    <w:rsid w:val="001E034B"/>
    <w:rsid w:val="001E084E"/>
    <w:rsid w:val="001E0D2E"/>
    <w:rsid w:val="001E156C"/>
    <w:rsid w:val="001E2DAE"/>
    <w:rsid w:val="001E35B8"/>
    <w:rsid w:val="001E46AD"/>
    <w:rsid w:val="001E5EB4"/>
    <w:rsid w:val="001E67AC"/>
    <w:rsid w:val="001E7CD7"/>
    <w:rsid w:val="001F0B86"/>
    <w:rsid w:val="001F2AB3"/>
    <w:rsid w:val="001F3641"/>
    <w:rsid w:val="001F3826"/>
    <w:rsid w:val="001F437C"/>
    <w:rsid w:val="001F465C"/>
    <w:rsid w:val="001F5018"/>
    <w:rsid w:val="001F552C"/>
    <w:rsid w:val="001F5539"/>
    <w:rsid w:val="001F5B2C"/>
    <w:rsid w:val="001F7117"/>
    <w:rsid w:val="002011A5"/>
    <w:rsid w:val="0020137B"/>
    <w:rsid w:val="0020169D"/>
    <w:rsid w:val="00201DB1"/>
    <w:rsid w:val="00201DED"/>
    <w:rsid w:val="002025A7"/>
    <w:rsid w:val="00202E39"/>
    <w:rsid w:val="00203451"/>
    <w:rsid w:val="00203E28"/>
    <w:rsid w:val="00204BB5"/>
    <w:rsid w:val="00204F06"/>
    <w:rsid w:val="00205386"/>
    <w:rsid w:val="002065CE"/>
    <w:rsid w:val="00210A9F"/>
    <w:rsid w:val="00210D14"/>
    <w:rsid w:val="002144F5"/>
    <w:rsid w:val="00215762"/>
    <w:rsid w:val="00215771"/>
    <w:rsid w:val="00217274"/>
    <w:rsid w:val="002178C7"/>
    <w:rsid w:val="002202BC"/>
    <w:rsid w:val="00222817"/>
    <w:rsid w:val="0022472C"/>
    <w:rsid w:val="00226591"/>
    <w:rsid w:val="00230683"/>
    <w:rsid w:val="002332A2"/>
    <w:rsid w:val="0023639C"/>
    <w:rsid w:val="002366B2"/>
    <w:rsid w:val="00236D02"/>
    <w:rsid w:val="002372E9"/>
    <w:rsid w:val="00237493"/>
    <w:rsid w:val="002401C3"/>
    <w:rsid w:val="00240473"/>
    <w:rsid w:val="00240829"/>
    <w:rsid w:val="00241814"/>
    <w:rsid w:val="00242C80"/>
    <w:rsid w:val="0024366A"/>
    <w:rsid w:val="00243673"/>
    <w:rsid w:val="00243A73"/>
    <w:rsid w:val="00244269"/>
    <w:rsid w:val="0024482C"/>
    <w:rsid w:val="00245EDF"/>
    <w:rsid w:val="00245FCD"/>
    <w:rsid w:val="002554BF"/>
    <w:rsid w:val="00257AF4"/>
    <w:rsid w:val="00260643"/>
    <w:rsid w:val="002637FF"/>
    <w:rsid w:val="00263FD9"/>
    <w:rsid w:val="0026508C"/>
    <w:rsid w:val="002700BF"/>
    <w:rsid w:val="002703BC"/>
    <w:rsid w:val="00271E97"/>
    <w:rsid w:val="00274813"/>
    <w:rsid w:val="002755C8"/>
    <w:rsid w:val="00275F0E"/>
    <w:rsid w:val="002768C7"/>
    <w:rsid w:val="002817F7"/>
    <w:rsid w:val="00282DD0"/>
    <w:rsid w:val="002839A2"/>
    <w:rsid w:val="00283E1B"/>
    <w:rsid w:val="002861B9"/>
    <w:rsid w:val="002905B0"/>
    <w:rsid w:val="00292B86"/>
    <w:rsid w:val="00293CF2"/>
    <w:rsid w:val="00295C74"/>
    <w:rsid w:val="00295E17"/>
    <w:rsid w:val="00295EA2"/>
    <w:rsid w:val="002975CB"/>
    <w:rsid w:val="002976D3"/>
    <w:rsid w:val="00297DA6"/>
    <w:rsid w:val="002A02A8"/>
    <w:rsid w:val="002A0328"/>
    <w:rsid w:val="002A0AA1"/>
    <w:rsid w:val="002A1051"/>
    <w:rsid w:val="002A1EF0"/>
    <w:rsid w:val="002A22A9"/>
    <w:rsid w:val="002A28E8"/>
    <w:rsid w:val="002A3941"/>
    <w:rsid w:val="002A3D02"/>
    <w:rsid w:val="002A4E76"/>
    <w:rsid w:val="002A50C1"/>
    <w:rsid w:val="002A618F"/>
    <w:rsid w:val="002A7A51"/>
    <w:rsid w:val="002B0A10"/>
    <w:rsid w:val="002B0D36"/>
    <w:rsid w:val="002B11E3"/>
    <w:rsid w:val="002B1CE3"/>
    <w:rsid w:val="002B236F"/>
    <w:rsid w:val="002B24DD"/>
    <w:rsid w:val="002B2D7A"/>
    <w:rsid w:val="002B3935"/>
    <w:rsid w:val="002B44EE"/>
    <w:rsid w:val="002B4523"/>
    <w:rsid w:val="002B5206"/>
    <w:rsid w:val="002B6B16"/>
    <w:rsid w:val="002C0802"/>
    <w:rsid w:val="002C2527"/>
    <w:rsid w:val="002C34CA"/>
    <w:rsid w:val="002C352B"/>
    <w:rsid w:val="002C383C"/>
    <w:rsid w:val="002C4AA8"/>
    <w:rsid w:val="002C5B17"/>
    <w:rsid w:val="002C73C3"/>
    <w:rsid w:val="002D0327"/>
    <w:rsid w:val="002D05BA"/>
    <w:rsid w:val="002D0BF6"/>
    <w:rsid w:val="002D1BC0"/>
    <w:rsid w:val="002D28F4"/>
    <w:rsid w:val="002D3A88"/>
    <w:rsid w:val="002D4F60"/>
    <w:rsid w:val="002D4F79"/>
    <w:rsid w:val="002D5426"/>
    <w:rsid w:val="002D6D83"/>
    <w:rsid w:val="002D6FF8"/>
    <w:rsid w:val="002D7574"/>
    <w:rsid w:val="002E0121"/>
    <w:rsid w:val="002E1611"/>
    <w:rsid w:val="002E1E8F"/>
    <w:rsid w:val="002E1FE9"/>
    <w:rsid w:val="002E58A6"/>
    <w:rsid w:val="002E59D4"/>
    <w:rsid w:val="002F0CB2"/>
    <w:rsid w:val="002F1E36"/>
    <w:rsid w:val="002F30F2"/>
    <w:rsid w:val="002F3A7F"/>
    <w:rsid w:val="002F46C6"/>
    <w:rsid w:val="002F53B1"/>
    <w:rsid w:val="002F6C1B"/>
    <w:rsid w:val="002F7D89"/>
    <w:rsid w:val="003002BA"/>
    <w:rsid w:val="00300BD2"/>
    <w:rsid w:val="003013DF"/>
    <w:rsid w:val="0030209A"/>
    <w:rsid w:val="0030264A"/>
    <w:rsid w:val="00302E92"/>
    <w:rsid w:val="0030358A"/>
    <w:rsid w:val="0030429E"/>
    <w:rsid w:val="0030496E"/>
    <w:rsid w:val="003052DB"/>
    <w:rsid w:val="00305DC5"/>
    <w:rsid w:val="0030650C"/>
    <w:rsid w:val="00307026"/>
    <w:rsid w:val="0030733B"/>
    <w:rsid w:val="00312F9A"/>
    <w:rsid w:val="00313350"/>
    <w:rsid w:val="00313BF5"/>
    <w:rsid w:val="00313ED4"/>
    <w:rsid w:val="0031574A"/>
    <w:rsid w:val="003200D5"/>
    <w:rsid w:val="003206BF"/>
    <w:rsid w:val="00321565"/>
    <w:rsid w:val="0032185B"/>
    <w:rsid w:val="00321861"/>
    <w:rsid w:val="003230D9"/>
    <w:rsid w:val="0032427C"/>
    <w:rsid w:val="00326608"/>
    <w:rsid w:val="00327C6F"/>
    <w:rsid w:val="00327D51"/>
    <w:rsid w:val="00330126"/>
    <w:rsid w:val="00331A18"/>
    <w:rsid w:val="0033224E"/>
    <w:rsid w:val="00332E54"/>
    <w:rsid w:val="003333E3"/>
    <w:rsid w:val="00334190"/>
    <w:rsid w:val="00334D7F"/>
    <w:rsid w:val="00335519"/>
    <w:rsid w:val="00335D5E"/>
    <w:rsid w:val="003366F9"/>
    <w:rsid w:val="00337B32"/>
    <w:rsid w:val="00341327"/>
    <w:rsid w:val="003413CC"/>
    <w:rsid w:val="00344527"/>
    <w:rsid w:val="0034536E"/>
    <w:rsid w:val="00345481"/>
    <w:rsid w:val="0034565E"/>
    <w:rsid w:val="00346A0F"/>
    <w:rsid w:val="00347A80"/>
    <w:rsid w:val="00350C28"/>
    <w:rsid w:val="00352FAB"/>
    <w:rsid w:val="00354CFA"/>
    <w:rsid w:val="00355437"/>
    <w:rsid w:val="00356F32"/>
    <w:rsid w:val="003579C0"/>
    <w:rsid w:val="003602E5"/>
    <w:rsid w:val="003604C8"/>
    <w:rsid w:val="003616E9"/>
    <w:rsid w:val="00361867"/>
    <w:rsid w:val="00361883"/>
    <w:rsid w:val="00361D37"/>
    <w:rsid w:val="00362360"/>
    <w:rsid w:val="0036364D"/>
    <w:rsid w:val="00367251"/>
    <w:rsid w:val="003705B6"/>
    <w:rsid w:val="003705E8"/>
    <w:rsid w:val="00371BF6"/>
    <w:rsid w:val="003742A7"/>
    <w:rsid w:val="00376DFC"/>
    <w:rsid w:val="00380A18"/>
    <w:rsid w:val="00382331"/>
    <w:rsid w:val="00384438"/>
    <w:rsid w:val="00387780"/>
    <w:rsid w:val="00387960"/>
    <w:rsid w:val="00390D68"/>
    <w:rsid w:val="003910EA"/>
    <w:rsid w:val="00392050"/>
    <w:rsid w:val="00392B1A"/>
    <w:rsid w:val="00395F72"/>
    <w:rsid w:val="00397F13"/>
    <w:rsid w:val="003A0ED5"/>
    <w:rsid w:val="003A1681"/>
    <w:rsid w:val="003A27AF"/>
    <w:rsid w:val="003A3F9C"/>
    <w:rsid w:val="003A5009"/>
    <w:rsid w:val="003A6127"/>
    <w:rsid w:val="003A619C"/>
    <w:rsid w:val="003A7FF0"/>
    <w:rsid w:val="003B0090"/>
    <w:rsid w:val="003B05F8"/>
    <w:rsid w:val="003B1477"/>
    <w:rsid w:val="003B1662"/>
    <w:rsid w:val="003B29AB"/>
    <w:rsid w:val="003B30A6"/>
    <w:rsid w:val="003B46A9"/>
    <w:rsid w:val="003B62A7"/>
    <w:rsid w:val="003B653A"/>
    <w:rsid w:val="003C0824"/>
    <w:rsid w:val="003C0B12"/>
    <w:rsid w:val="003C1183"/>
    <w:rsid w:val="003C12ED"/>
    <w:rsid w:val="003C25FA"/>
    <w:rsid w:val="003C2CB8"/>
    <w:rsid w:val="003C2EC4"/>
    <w:rsid w:val="003C3575"/>
    <w:rsid w:val="003C39D9"/>
    <w:rsid w:val="003C3E96"/>
    <w:rsid w:val="003C4B23"/>
    <w:rsid w:val="003C6572"/>
    <w:rsid w:val="003C65A3"/>
    <w:rsid w:val="003C77E9"/>
    <w:rsid w:val="003C7D7E"/>
    <w:rsid w:val="003C7E77"/>
    <w:rsid w:val="003D188E"/>
    <w:rsid w:val="003D2572"/>
    <w:rsid w:val="003D342C"/>
    <w:rsid w:val="003D3766"/>
    <w:rsid w:val="003D4125"/>
    <w:rsid w:val="003D4249"/>
    <w:rsid w:val="003D4264"/>
    <w:rsid w:val="003D61DA"/>
    <w:rsid w:val="003D6B10"/>
    <w:rsid w:val="003D6D88"/>
    <w:rsid w:val="003E296A"/>
    <w:rsid w:val="003E313A"/>
    <w:rsid w:val="003E369C"/>
    <w:rsid w:val="003E3A95"/>
    <w:rsid w:val="003E67F3"/>
    <w:rsid w:val="003E7EED"/>
    <w:rsid w:val="003F07E1"/>
    <w:rsid w:val="003F25C0"/>
    <w:rsid w:val="003F30C6"/>
    <w:rsid w:val="003F3ABA"/>
    <w:rsid w:val="003F3CCC"/>
    <w:rsid w:val="003F4485"/>
    <w:rsid w:val="003F5350"/>
    <w:rsid w:val="003F6232"/>
    <w:rsid w:val="003F65AD"/>
    <w:rsid w:val="003F6C2F"/>
    <w:rsid w:val="0040015C"/>
    <w:rsid w:val="004002B3"/>
    <w:rsid w:val="00402E8C"/>
    <w:rsid w:val="00404F84"/>
    <w:rsid w:val="00405E30"/>
    <w:rsid w:val="0040625D"/>
    <w:rsid w:val="00407ACD"/>
    <w:rsid w:val="00410DE1"/>
    <w:rsid w:val="00411786"/>
    <w:rsid w:val="00412A3E"/>
    <w:rsid w:val="004141C2"/>
    <w:rsid w:val="004142C2"/>
    <w:rsid w:val="00414ECA"/>
    <w:rsid w:val="00415D7A"/>
    <w:rsid w:val="00420206"/>
    <w:rsid w:val="0042082E"/>
    <w:rsid w:val="00421B55"/>
    <w:rsid w:val="00421CE3"/>
    <w:rsid w:val="00422D45"/>
    <w:rsid w:val="00423A61"/>
    <w:rsid w:val="00424875"/>
    <w:rsid w:val="00424941"/>
    <w:rsid w:val="0042522F"/>
    <w:rsid w:val="004264CE"/>
    <w:rsid w:val="00430704"/>
    <w:rsid w:val="00430BF2"/>
    <w:rsid w:val="00431006"/>
    <w:rsid w:val="00431130"/>
    <w:rsid w:val="00432150"/>
    <w:rsid w:val="00432275"/>
    <w:rsid w:val="004334B3"/>
    <w:rsid w:val="004335CF"/>
    <w:rsid w:val="00433869"/>
    <w:rsid w:val="00434176"/>
    <w:rsid w:val="00436C21"/>
    <w:rsid w:val="004376F1"/>
    <w:rsid w:val="00437D2D"/>
    <w:rsid w:val="00440920"/>
    <w:rsid w:val="0044102F"/>
    <w:rsid w:val="0044222A"/>
    <w:rsid w:val="00442310"/>
    <w:rsid w:val="00442DCA"/>
    <w:rsid w:val="00443049"/>
    <w:rsid w:val="00444D1A"/>
    <w:rsid w:val="00447052"/>
    <w:rsid w:val="00447B3C"/>
    <w:rsid w:val="00447D74"/>
    <w:rsid w:val="004506FE"/>
    <w:rsid w:val="004515E5"/>
    <w:rsid w:val="00453242"/>
    <w:rsid w:val="00453636"/>
    <w:rsid w:val="00455B69"/>
    <w:rsid w:val="004560E8"/>
    <w:rsid w:val="004564E0"/>
    <w:rsid w:val="004609EB"/>
    <w:rsid w:val="0046137F"/>
    <w:rsid w:val="00464448"/>
    <w:rsid w:val="00465233"/>
    <w:rsid w:val="00465C5D"/>
    <w:rsid w:val="004676DD"/>
    <w:rsid w:val="00467829"/>
    <w:rsid w:val="00470386"/>
    <w:rsid w:val="00471F12"/>
    <w:rsid w:val="004723B3"/>
    <w:rsid w:val="004729B0"/>
    <w:rsid w:val="00472A13"/>
    <w:rsid w:val="004732B8"/>
    <w:rsid w:val="0047346C"/>
    <w:rsid w:val="00474081"/>
    <w:rsid w:val="0047646B"/>
    <w:rsid w:val="00477026"/>
    <w:rsid w:val="00477138"/>
    <w:rsid w:val="004774DD"/>
    <w:rsid w:val="004778DA"/>
    <w:rsid w:val="00477C48"/>
    <w:rsid w:val="00481A50"/>
    <w:rsid w:val="00482759"/>
    <w:rsid w:val="00482A5E"/>
    <w:rsid w:val="004835D8"/>
    <w:rsid w:val="00483CCB"/>
    <w:rsid w:val="00484A3D"/>
    <w:rsid w:val="00491E2B"/>
    <w:rsid w:val="004928C0"/>
    <w:rsid w:val="004929CE"/>
    <w:rsid w:val="0049380C"/>
    <w:rsid w:val="00493EE4"/>
    <w:rsid w:val="00494ED0"/>
    <w:rsid w:val="00495ECB"/>
    <w:rsid w:val="004960B0"/>
    <w:rsid w:val="004975DD"/>
    <w:rsid w:val="004A131B"/>
    <w:rsid w:val="004A138B"/>
    <w:rsid w:val="004A14FB"/>
    <w:rsid w:val="004A1F50"/>
    <w:rsid w:val="004A3D63"/>
    <w:rsid w:val="004A5ADA"/>
    <w:rsid w:val="004A5EE7"/>
    <w:rsid w:val="004A6D99"/>
    <w:rsid w:val="004A7498"/>
    <w:rsid w:val="004A7943"/>
    <w:rsid w:val="004A7F3D"/>
    <w:rsid w:val="004B00E5"/>
    <w:rsid w:val="004B0390"/>
    <w:rsid w:val="004B0D2D"/>
    <w:rsid w:val="004B0ECB"/>
    <w:rsid w:val="004B3B5B"/>
    <w:rsid w:val="004B432E"/>
    <w:rsid w:val="004B4825"/>
    <w:rsid w:val="004B63F5"/>
    <w:rsid w:val="004B723C"/>
    <w:rsid w:val="004C0DA2"/>
    <w:rsid w:val="004C14C4"/>
    <w:rsid w:val="004C1AAF"/>
    <w:rsid w:val="004C23A2"/>
    <w:rsid w:val="004C28FD"/>
    <w:rsid w:val="004C4BA1"/>
    <w:rsid w:val="004C4EAE"/>
    <w:rsid w:val="004C6AC3"/>
    <w:rsid w:val="004C6E44"/>
    <w:rsid w:val="004C7443"/>
    <w:rsid w:val="004D0E1B"/>
    <w:rsid w:val="004D1392"/>
    <w:rsid w:val="004D160A"/>
    <w:rsid w:val="004D1BD7"/>
    <w:rsid w:val="004D1DD7"/>
    <w:rsid w:val="004D252A"/>
    <w:rsid w:val="004D48D0"/>
    <w:rsid w:val="004D4DE8"/>
    <w:rsid w:val="004D702B"/>
    <w:rsid w:val="004D72D9"/>
    <w:rsid w:val="004E05E8"/>
    <w:rsid w:val="004E0886"/>
    <w:rsid w:val="004E2FD4"/>
    <w:rsid w:val="004E4A25"/>
    <w:rsid w:val="004F07EA"/>
    <w:rsid w:val="004F0E3A"/>
    <w:rsid w:val="004F12CF"/>
    <w:rsid w:val="004F23AC"/>
    <w:rsid w:val="004F27F6"/>
    <w:rsid w:val="004F2942"/>
    <w:rsid w:val="004F29C3"/>
    <w:rsid w:val="004F392F"/>
    <w:rsid w:val="004F433D"/>
    <w:rsid w:val="004F4BB0"/>
    <w:rsid w:val="004F54FE"/>
    <w:rsid w:val="004F6840"/>
    <w:rsid w:val="004F7211"/>
    <w:rsid w:val="004F7CF9"/>
    <w:rsid w:val="004F7D99"/>
    <w:rsid w:val="00501417"/>
    <w:rsid w:val="00503CFE"/>
    <w:rsid w:val="00505AB7"/>
    <w:rsid w:val="00506D1D"/>
    <w:rsid w:val="00510416"/>
    <w:rsid w:val="00510422"/>
    <w:rsid w:val="00510678"/>
    <w:rsid w:val="00510C8B"/>
    <w:rsid w:val="00511588"/>
    <w:rsid w:val="0051337D"/>
    <w:rsid w:val="00516766"/>
    <w:rsid w:val="005179F2"/>
    <w:rsid w:val="00521702"/>
    <w:rsid w:val="0052170A"/>
    <w:rsid w:val="00521C8E"/>
    <w:rsid w:val="00522348"/>
    <w:rsid w:val="0052244B"/>
    <w:rsid w:val="00522BFE"/>
    <w:rsid w:val="00522E54"/>
    <w:rsid w:val="0052399F"/>
    <w:rsid w:val="00523F2F"/>
    <w:rsid w:val="00524FEF"/>
    <w:rsid w:val="0052509C"/>
    <w:rsid w:val="00525DBE"/>
    <w:rsid w:val="00527B2A"/>
    <w:rsid w:val="00527CD2"/>
    <w:rsid w:val="00531CCE"/>
    <w:rsid w:val="00531F63"/>
    <w:rsid w:val="00532006"/>
    <w:rsid w:val="005341C4"/>
    <w:rsid w:val="005379B7"/>
    <w:rsid w:val="00541B7E"/>
    <w:rsid w:val="00542E7D"/>
    <w:rsid w:val="005446CD"/>
    <w:rsid w:val="00544BBE"/>
    <w:rsid w:val="00547119"/>
    <w:rsid w:val="005522F8"/>
    <w:rsid w:val="00552DEE"/>
    <w:rsid w:val="00554662"/>
    <w:rsid w:val="0055597E"/>
    <w:rsid w:val="0055623D"/>
    <w:rsid w:val="00556669"/>
    <w:rsid w:val="005569C0"/>
    <w:rsid w:val="00556EDE"/>
    <w:rsid w:val="0056024E"/>
    <w:rsid w:val="005602A3"/>
    <w:rsid w:val="00562A3A"/>
    <w:rsid w:val="005640F2"/>
    <w:rsid w:val="00564FC5"/>
    <w:rsid w:val="00565908"/>
    <w:rsid w:val="0056717D"/>
    <w:rsid w:val="00567583"/>
    <w:rsid w:val="005677C6"/>
    <w:rsid w:val="00571107"/>
    <w:rsid w:val="005711B7"/>
    <w:rsid w:val="00573C8A"/>
    <w:rsid w:val="00573F60"/>
    <w:rsid w:val="005746B1"/>
    <w:rsid w:val="00574996"/>
    <w:rsid w:val="00574F5A"/>
    <w:rsid w:val="00574F81"/>
    <w:rsid w:val="005751B9"/>
    <w:rsid w:val="00575244"/>
    <w:rsid w:val="005753CD"/>
    <w:rsid w:val="00575D1A"/>
    <w:rsid w:val="00576327"/>
    <w:rsid w:val="00576AE1"/>
    <w:rsid w:val="00576BFE"/>
    <w:rsid w:val="005774BB"/>
    <w:rsid w:val="005804CE"/>
    <w:rsid w:val="00580528"/>
    <w:rsid w:val="00581EFB"/>
    <w:rsid w:val="00582F6A"/>
    <w:rsid w:val="0058479D"/>
    <w:rsid w:val="00586808"/>
    <w:rsid w:val="005871D6"/>
    <w:rsid w:val="0058729B"/>
    <w:rsid w:val="00590C3F"/>
    <w:rsid w:val="005911F1"/>
    <w:rsid w:val="00591754"/>
    <w:rsid w:val="00592F77"/>
    <w:rsid w:val="0059467F"/>
    <w:rsid w:val="00595037"/>
    <w:rsid w:val="00596304"/>
    <w:rsid w:val="0059663D"/>
    <w:rsid w:val="00596D7A"/>
    <w:rsid w:val="005A06ED"/>
    <w:rsid w:val="005A07CC"/>
    <w:rsid w:val="005A213B"/>
    <w:rsid w:val="005A2A77"/>
    <w:rsid w:val="005A2E46"/>
    <w:rsid w:val="005A3641"/>
    <w:rsid w:val="005A3CE0"/>
    <w:rsid w:val="005A6905"/>
    <w:rsid w:val="005A7427"/>
    <w:rsid w:val="005A7D0B"/>
    <w:rsid w:val="005B20A8"/>
    <w:rsid w:val="005B2135"/>
    <w:rsid w:val="005B38F6"/>
    <w:rsid w:val="005B4ECD"/>
    <w:rsid w:val="005B576C"/>
    <w:rsid w:val="005B6958"/>
    <w:rsid w:val="005B764D"/>
    <w:rsid w:val="005C0329"/>
    <w:rsid w:val="005C162D"/>
    <w:rsid w:val="005C41B9"/>
    <w:rsid w:val="005C498F"/>
    <w:rsid w:val="005D027B"/>
    <w:rsid w:val="005D05EB"/>
    <w:rsid w:val="005D0C55"/>
    <w:rsid w:val="005D38E8"/>
    <w:rsid w:val="005D55BE"/>
    <w:rsid w:val="005E1694"/>
    <w:rsid w:val="005E20F8"/>
    <w:rsid w:val="005E2E88"/>
    <w:rsid w:val="005E3307"/>
    <w:rsid w:val="005E3916"/>
    <w:rsid w:val="005E3A2E"/>
    <w:rsid w:val="005E3DA7"/>
    <w:rsid w:val="005E4699"/>
    <w:rsid w:val="005E52B0"/>
    <w:rsid w:val="005E6508"/>
    <w:rsid w:val="005F19D3"/>
    <w:rsid w:val="005F2799"/>
    <w:rsid w:val="005F4BE4"/>
    <w:rsid w:val="005F5462"/>
    <w:rsid w:val="005F63AB"/>
    <w:rsid w:val="005F6469"/>
    <w:rsid w:val="005F654A"/>
    <w:rsid w:val="005F6D71"/>
    <w:rsid w:val="005F7AFC"/>
    <w:rsid w:val="00600371"/>
    <w:rsid w:val="006015D0"/>
    <w:rsid w:val="006036E1"/>
    <w:rsid w:val="00604BBD"/>
    <w:rsid w:val="006073A0"/>
    <w:rsid w:val="00607CF4"/>
    <w:rsid w:val="0061016D"/>
    <w:rsid w:val="0061077A"/>
    <w:rsid w:val="00610A69"/>
    <w:rsid w:val="00614750"/>
    <w:rsid w:val="00617D55"/>
    <w:rsid w:val="00621A44"/>
    <w:rsid w:val="0062266F"/>
    <w:rsid w:val="00622EFA"/>
    <w:rsid w:val="00623E46"/>
    <w:rsid w:val="0062424F"/>
    <w:rsid w:val="006243A1"/>
    <w:rsid w:val="0062473A"/>
    <w:rsid w:val="00624BD6"/>
    <w:rsid w:val="0062662D"/>
    <w:rsid w:val="00627A94"/>
    <w:rsid w:val="00630148"/>
    <w:rsid w:val="00630755"/>
    <w:rsid w:val="00633706"/>
    <w:rsid w:val="006340ED"/>
    <w:rsid w:val="00634C49"/>
    <w:rsid w:val="0063511E"/>
    <w:rsid w:val="00636666"/>
    <w:rsid w:val="00641733"/>
    <w:rsid w:val="0064419D"/>
    <w:rsid w:val="00644EB3"/>
    <w:rsid w:val="0064569C"/>
    <w:rsid w:val="00645938"/>
    <w:rsid w:val="00645D5A"/>
    <w:rsid w:val="00645EC5"/>
    <w:rsid w:val="0064759E"/>
    <w:rsid w:val="0065044D"/>
    <w:rsid w:val="00650D30"/>
    <w:rsid w:val="00652B88"/>
    <w:rsid w:val="0065380E"/>
    <w:rsid w:val="006555D7"/>
    <w:rsid w:val="006569CC"/>
    <w:rsid w:val="00656EFF"/>
    <w:rsid w:val="00657349"/>
    <w:rsid w:val="00657E36"/>
    <w:rsid w:val="006613CD"/>
    <w:rsid w:val="00664027"/>
    <w:rsid w:val="00664DDA"/>
    <w:rsid w:val="0066524A"/>
    <w:rsid w:val="006655AE"/>
    <w:rsid w:val="00666251"/>
    <w:rsid w:val="00667D7F"/>
    <w:rsid w:val="0067027E"/>
    <w:rsid w:val="0067165D"/>
    <w:rsid w:val="00674071"/>
    <w:rsid w:val="00676BA5"/>
    <w:rsid w:val="00677058"/>
    <w:rsid w:val="006770E6"/>
    <w:rsid w:val="006771C5"/>
    <w:rsid w:val="00677BF6"/>
    <w:rsid w:val="00680014"/>
    <w:rsid w:val="006808B6"/>
    <w:rsid w:val="00681033"/>
    <w:rsid w:val="00681AEE"/>
    <w:rsid w:val="006827A2"/>
    <w:rsid w:val="00685BE4"/>
    <w:rsid w:val="00685D1A"/>
    <w:rsid w:val="00686BE5"/>
    <w:rsid w:val="00687990"/>
    <w:rsid w:val="00694181"/>
    <w:rsid w:val="006941BD"/>
    <w:rsid w:val="00694A58"/>
    <w:rsid w:val="00694DA5"/>
    <w:rsid w:val="0069521A"/>
    <w:rsid w:val="00696119"/>
    <w:rsid w:val="00696124"/>
    <w:rsid w:val="006962D9"/>
    <w:rsid w:val="00696749"/>
    <w:rsid w:val="00697046"/>
    <w:rsid w:val="00697350"/>
    <w:rsid w:val="00697B20"/>
    <w:rsid w:val="006A1EF1"/>
    <w:rsid w:val="006A2753"/>
    <w:rsid w:val="006A40FD"/>
    <w:rsid w:val="006B0D2C"/>
    <w:rsid w:val="006B103F"/>
    <w:rsid w:val="006B3B01"/>
    <w:rsid w:val="006B63A2"/>
    <w:rsid w:val="006B7288"/>
    <w:rsid w:val="006B7513"/>
    <w:rsid w:val="006B7642"/>
    <w:rsid w:val="006C110B"/>
    <w:rsid w:val="006C1543"/>
    <w:rsid w:val="006C15A4"/>
    <w:rsid w:val="006C1868"/>
    <w:rsid w:val="006C34BF"/>
    <w:rsid w:val="006C3922"/>
    <w:rsid w:val="006C5092"/>
    <w:rsid w:val="006C7DBE"/>
    <w:rsid w:val="006D2A67"/>
    <w:rsid w:val="006D47DE"/>
    <w:rsid w:val="006D6462"/>
    <w:rsid w:val="006D7E27"/>
    <w:rsid w:val="006D7FE3"/>
    <w:rsid w:val="006E0E10"/>
    <w:rsid w:val="006E1C5A"/>
    <w:rsid w:val="006E1DE6"/>
    <w:rsid w:val="006E235F"/>
    <w:rsid w:val="006E2EBF"/>
    <w:rsid w:val="006E5237"/>
    <w:rsid w:val="006E63B3"/>
    <w:rsid w:val="006E7F52"/>
    <w:rsid w:val="006F0A9D"/>
    <w:rsid w:val="006F0F56"/>
    <w:rsid w:val="006F13F8"/>
    <w:rsid w:val="006F2865"/>
    <w:rsid w:val="006F2F50"/>
    <w:rsid w:val="006F3202"/>
    <w:rsid w:val="006F6463"/>
    <w:rsid w:val="00700CE7"/>
    <w:rsid w:val="00702C93"/>
    <w:rsid w:val="007042ED"/>
    <w:rsid w:val="00707498"/>
    <w:rsid w:val="0071011E"/>
    <w:rsid w:val="007101C9"/>
    <w:rsid w:val="00710F8B"/>
    <w:rsid w:val="00710FFB"/>
    <w:rsid w:val="00712336"/>
    <w:rsid w:val="0071368D"/>
    <w:rsid w:val="00713E18"/>
    <w:rsid w:val="00717399"/>
    <w:rsid w:val="00717795"/>
    <w:rsid w:val="0072049D"/>
    <w:rsid w:val="00720EA9"/>
    <w:rsid w:val="0072169B"/>
    <w:rsid w:val="007221F6"/>
    <w:rsid w:val="007223AA"/>
    <w:rsid w:val="00723500"/>
    <w:rsid w:val="00724349"/>
    <w:rsid w:val="007257F3"/>
    <w:rsid w:val="00726633"/>
    <w:rsid w:val="007272C4"/>
    <w:rsid w:val="0073018C"/>
    <w:rsid w:val="00732ACF"/>
    <w:rsid w:val="00732EA4"/>
    <w:rsid w:val="00732FD1"/>
    <w:rsid w:val="0073544C"/>
    <w:rsid w:val="00736441"/>
    <w:rsid w:val="00736C78"/>
    <w:rsid w:val="0073724D"/>
    <w:rsid w:val="0073732B"/>
    <w:rsid w:val="00737B85"/>
    <w:rsid w:val="00741EFC"/>
    <w:rsid w:val="00744187"/>
    <w:rsid w:val="00744678"/>
    <w:rsid w:val="00744C9B"/>
    <w:rsid w:val="00746D75"/>
    <w:rsid w:val="00747B2E"/>
    <w:rsid w:val="007529B3"/>
    <w:rsid w:val="007537FB"/>
    <w:rsid w:val="00753FC6"/>
    <w:rsid w:val="00755B4E"/>
    <w:rsid w:val="00755FA0"/>
    <w:rsid w:val="007563E1"/>
    <w:rsid w:val="00756989"/>
    <w:rsid w:val="00756AA0"/>
    <w:rsid w:val="00756B0E"/>
    <w:rsid w:val="00756D7D"/>
    <w:rsid w:val="00757920"/>
    <w:rsid w:val="00757EEE"/>
    <w:rsid w:val="007609F6"/>
    <w:rsid w:val="007634A3"/>
    <w:rsid w:val="0076361A"/>
    <w:rsid w:val="00765450"/>
    <w:rsid w:val="00767D16"/>
    <w:rsid w:val="00767E7C"/>
    <w:rsid w:val="007702B4"/>
    <w:rsid w:val="00770A43"/>
    <w:rsid w:val="00772191"/>
    <w:rsid w:val="00774AC2"/>
    <w:rsid w:val="00777576"/>
    <w:rsid w:val="00777659"/>
    <w:rsid w:val="00780291"/>
    <w:rsid w:val="00781337"/>
    <w:rsid w:val="0078352B"/>
    <w:rsid w:val="007838DD"/>
    <w:rsid w:val="00783DE4"/>
    <w:rsid w:val="00783EEE"/>
    <w:rsid w:val="00783F35"/>
    <w:rsid w:val="00784B69"/>
    <w:rsid w:val="00784CB7"/>
    <w:rsid w:val="00784DAE"/>
    <w:rsid w:val="00786D11"/>
    <w:rsid w:val="00790B0E"/>
    <w:rsid w:val="00790F49"/>
    <w:rsid w:val="00791FF3"/>
    <w:rsid w:val="00792EE3"/>
    <w:rsid w:val="007938DC"/>
    <w:rsid w:val="0079391A"/>
    <w:rsid w:val="00793F85"/>
    <w:rsid w:val="0079487B"/>
    <w:rsid w:val="00795544"/>
    <w:rsid w:val="007A146E"/>
    <w:rsid w:val="007A14A2"/>
    <w:rsid w:val="007A617B"/>
    <w:rsid w:val="007A6433"/>
    <w:rsid w:val="007B04A6"/>
    <w:rsid w:val="007B1A56"/>
    <w:rsid w:val="007B1F8A"/>
    <w:rsid w:val="007B2D28"/>
    <w:rsid w:val="007B5A01"/>
    <w:rsid w:val="007B6669"/>
    <w:rsid w:val="007C1663"/>
    <w:rsid w:val="007C184B"/>
    <w:rsid w:val="007C26FC"/>
    <w:rsid w:val="007C2AF3"/>
    <w:rsid w:val="007C5507"/>
    <w:rsid w:val="007C6D86"/>
    <w:rsid w:val="007C6E26"/>
    <w:rsid w:val="007C7B97"/>
    <w:rsid w:val="007D38E1"/>
    <w:rsid w:val="007D40D3"/>
    <w:rsid w:val="007D7FB2"/>
    <w:rsid w:val="007E0E8A"/>
    <w:rsid w:val="007E52E5"/>
    <w:rsid w:val="007E52FD"/>
    <w:rsid w:val="007E74C7"/>
    <w:rsid w:val="007F0172"/>
    <w:rsid w:val="007F06F1"/>
    <w:rsid w:val="007F24C2"/>
    <w:rsid w:val="007F3A90"/>
    <w:rsid w:val="007F674D"/>
    <w:rsid w:val="007F7764"/>
    <w:rsid w:val="007F7E98"/>
    <w:rsid w:val="0080014C"/>
    <w:rsid w:val="00801173"/>
    <w:rsid w:val="00801DBF"/>
    <w:rsid w:val="008021B5"/>
    <w:rsid w:val="00802AA8"/>
    <w:rsid w:val="00802CE0"/>
    <w:rsid w:val="008049BF"/>
    <w:rsid w:val="00804C3B"/>
    <w:rsid w:val="0080537E"/>
    <w:rsid w:val="00806DFF"/>
    <w:rsid w:val="0080741F"/>
    <w:rsid w:val="00807811"/>
    <w:rsid w:val="00807B6C"/>
    <w:rsid w:val="008101E5"/>
    <w:rsid w:val="00810479"/>
    <w:rsid w:val="00810D99"/>
    <w:rsid w:val="00810DFA"/>
    <w:rsid w:val="008110E3"/>
    <w:rsid w:val="0081132B"/>
    <w:rsid w:val="00812A08"/>
    <w:rsid w:val="008138B4"/>
    <w:rsid w:val="008141A5"/>
    <w:rsid w:val="008147F1"/>
    <w:rsid w:val="008154A0"/>
    <w:rsid w:val="00816559"/>
    <w:rsid w:val="0081757F"/>
    <w:rsid w:val="00817C6A"/>
    <w:rsid w:val="008225DC"/>
    <w:rsid w:val="00822C66"/>
    <w:rsid w:val="00822EE4"/>
    <w:rsid w:val="00822F73"/>
    <w:rsid w:val="008230E4"/>
    <w:rsid w:val="00823475"/>
    <w:rsid w:val="00825A93"/>
    <w:rsid w:val="0082740F"/>
    <w:rsid w:val="00827480"/>
    <w:rsid w:val="00830F77"/>
    <w:rsid w:val="00831AC6"/>
    <w:rsid w:val="00832599"/>
    <w:rsid w:val="008327AA"/>
    <w:rsid w:val="0083335A"/>
    <w:rsid w:val="0083453B"/>
    <w:rsid w:val="008354B4"/>
    <w:rsid w:val="008362CE"/>
    <w:rsid w:val="0083700E"/>
    <w:rsid w:val="00840A68"/>
    <w:rsid w:val="00840A9D"/>
    <w:rsid w:val="00841604"/>
    <w:rsid w:val="0084737F"/>
    <w:rsid w:val="00847AAA"/>
    <w:rsid w:val="00850E65"/>
    <w:rsid w:val="00851FA8"/>
    <w:rsid w:val="0085267C"/>
    <w:rsid w:val="008530DC"/>
    <w:rsid w:val="00853755"/>
    <w:rsid w:val="00853EC1"/>
    <w:rsid w:val="00854159"/>
    <w:rsid w:val="00855008"/>
    <w:rsid w:val="00855BA6"/>
    <w:rsid w:val="00856440"/>
    <w:rsid w:val="00856F3B"/>
    <w:rsid w:val="00860A4E"/>
    <w:rsid w:val="008611C6"/>
    <w:rsid w:val="008612CC"/>
    <w:rsid w:val="008649C8"/>
    <w:rsid w:val="0086684B"/>
    <w:rsid w:val="0087012C"/>
    <w:rsid w:val="00870FE2"/>
    <w:rsid w:val="00871A1D"/>
    <w:rsid w:val="00872DFA"/>
    <w:rsid w:val="00874481"/>
    <w:rsid w:val="00874E40"/>
    <w:rsid w:val="008753B2"/>
    <w:rsid w:val="00875D67"/>
    <w:rsid w:val="008765F9"/>
    <w:rsid w:val="008809A2"/>
    <w:rsid w:val="00881A07"/>
    <w:rsid w:val="00884D59"/>
    <w:rsid w:val="00885309"/>
    <w:rsid w:val="008861D0"/>
    <w:rsid w:val="0089061A"/>
    <w:rsid w:val="00892C6A"/>
    <w:rsid w:val="00893533"/>
    <w:rsid w:val="008939C0"/>
    <w:rsid w:val="00894ED8"/>
    <w:rsid w:val="00894F73"/>
    <w:rsid w:val="00895135"/>
    <w:rsid w:val="00896343"/>
    <w:rsid w:val="00896A41"/>
    <w:rsid w:val="00897858"/>
    <w:rsid w:val="008979D4"/>
    <w:rsid w:val="008A18BC"/>
    <w:rsid w:val="008A23B3"/>
    <w:rsid w:val="008A290D"/>
    <w:rsid w:val="008A2C14"/>
    <w:rsid w:val="008A30A9"/>
    <w:rsid w:val="008A50BE"/>
    <w:rsid w:val="008A74A6"/>
    <w:rsid w:val="008A7C76"/>
    <w:rsid w:val="008B05C1"/>
    <w:rsid w:val="008B0F5D"/>
    <w:rsid w:val="008B1EEB"/>
    <w:rsid w:val="008B22FE"/>
    <w:rsid w:val="008B281E"/>
    <w:rsid w:val="008B41DA"/>
    <w:rsid w:val="008B71CF"/>
    <w:rsid w:val="008B73A9"/>
    <w:rsid w:val="008B7B4E"/>
    <w:rsid w:val="008B7CE6"/>
    <w:rsid w:val="008C3B85"/>
    <w:rsid w:val="008C4302"/>
    <w:rsid w:val="008C4636"/>
    <w:rsid w:val="008C5F90"/>
    <w:rsid w:val="008C6062"/>
    <w:rsid w:val="008C7CDF"/>
    <w:rsid w:val="008D10CD"/>
    <w:rsid w:val="008D1E9F"/>
    <w:rsid w:val="008D27E2"/>
    <w:rsid w:val="008D2886"/>
    <w:rsid w:val="008D4244"/>
    <w:rsid w:val="008D4447"/>
    <w:rsid w:val="008D4DC6"/>
    <w:rsid w:val="008D6AEA"/>
    <w:rsid w:val="008D78E6"/>
    <w:rsid w:val="008E1262"/>
    <w:rsid w:val="008E1E8A"/>
    <w:rsid w:val="008E4165"/>
    <w:rsid w:val="008E464F"/>
    <w:rsid w:val="008E6020"/>
    <w:rsid w:val="008E6995"/>
    <w:rsid w:val="008E7657"/>
    <w:rsid w:val="008F055C"/>
    <w:rsid w:val="008F22C3"/>
    <w:rsid w:val="008F38B4"/>
    <w:rsid w:val="008F43CE"/>
    <w:rsid w:val="008F536B"/>
    <w:rsid w:val="008F53AD"/>
    <w:rsid w:val="008F551E"/>
    <w:rsid w:val="008F6D1F"/>
    <w:rsid w:val="008F75FE"/>
    <w:rsid w:val="00900C5E"/>
    <w:rsid w:val="00901006"/>
    <w:rsid w:val="00903269"/>
    <w:rsid w:val="009033D2"/>
    <w:rsid w:val="00903E62"/>
    <w:rsid w:val="00904280"/>
    <w:rsid w:val="00904C97"/>
    <w:rsid w:val="00906FB1"/>
    <w:rsid w:val="00911CDF"/>
    <w:rsid w:val="00911DEC"/>
    <w:rsid w:val="00912715"/>
    <w:rsid w:val="00912944"/>
    <w:rsid w:val="00914464"/>
    <w:rsid w:val="009151D5"/>
    <w:rsid w:val="00915A03"/>
    <w:rsid w:val="00917DA7"/>
    <w:rsid w:val="00920525"/>
    <w:rsid w:val="00920952"/>
    <w:rsid w:val="00921081"/>
    <w:rsid w:val="0092311F"/>
    <w:rsid w:val="0092565F"/>
    <w:rsid w:val="009269CD"/>
    <w:rsid w:val="00927244"/>
    <w:rsid w:val="00927A58"/>
    <w:rsid w:val="00930A9E"/>
    <w:rsid w:val="009315A6"/>
    <w:rsid w:val="00931646"/>
    <w:rsid w:val="009322EF"/>
    <w:rsid w:val="00933DDD"/>
    <w:rsid w:val="009347B5"/>
    <w:rsid w:val="00934EDA"/>
    <w:rsid w:val="00934FAA"/>
    <w:rsid w:val="009352E7"/>
    <w:rsid w:val="00941E65"/>
    <w:rsid w:val="009426A6"/>
    <w:rsid w:val="0094274E"/>
    <w:rsid w:val="00942A00"/>
    <w:rsid w:val="00943512"/>
    <w:rsid w:val="00943CED"/>
    <w:rsid w:val="009440D2"/>
    <w:rsid w:val="009441D2"/>
    <w:rsid w:val="00944922"/>
    <w:rsid w:val="009460EB"/>
    <w:rsid w:val="00946612"/>
    <w:rsid w:val="0094669D"/>
    <w:rsid w:val="00947B0C"/>
    <w:rsid w:val="0094C503"/>
    <w:rsid w:val="0095145E"/>
    <w:rsid w:val="0095147F"/>
    <w:rsid w:val="00951A49"/>
    <w:rsid w:val="00951CC4"/>
    <w:rsid w:val="00952D03"/>
    <w:rsid w:val="00953397"/>
    <w:rsid w:val="009535C1"/>
    <w:rsid w:val="00954C03"/>
    <w:rsid w:val="00955460"/>
    <w:rsid w:val="009576C5"/>
    <w:rsid w:val="00962621"/>
    <w:rsid w:val="00963B53"/>
    <w:rsid w:val="009649E5"/>
    <w:rsid w:val="00966DB6"/>
    <w:rsid w:val="009670C1"/>
    <w:rsid w:val="00967284"/>
    <w:rsid w:val="0096764E"/>
    <w:rsid w:val="009676B0"/>
    <w:rsid w:val="009702CD"/>
    <w:rsid w:val="00972003"/>
    <w:rsid w:val="00972338"/>
    <w:rsid w:val="00973374"/>
    <w:rsid w:val="00973713"/>
    <w:rsid w:val="00975DF9"/>
    <w:rsid w:val="009801CF"/>
    <w:rsid w:val="0098024C"/>
    <w:rsid w:val="00980B51"/>
    <w:rsid w:val="00981595"/>
    <w:rsid w:val="00981856"/>
    <w:rsid w:val="00982716"/>
    <w:rsid w:val="00984B91"/>
    <w:rsid w:val="0098560D"/>
    <w:rsid w:val="009872FC"/>
    <w:rsid w:val="00990270"/>
    <w:rsid w:val="00992655"/>
    <w:rsid w:val="009929FE"/>
    <w:rsid w:val="009942A7"/>
    <w:rsid w:val="00994F5D"/>
    <w:rsid w:val="009964AB"/>
    <w:rsid w:val="00996F63"/>
    <w:rsid w:val="009A0353"/>
    <w:rsid w:val="009A0D57"/>
    <w:rsid w:val="009A0F11"/>
    <w:rsid w:val="009A3052"/>
    <w:rsid w:val="009A3141"/>
    <w:rsid w:val="009A5021"/>
    <w:rsid w:val="009A64C8"/>
    <w:rsid w:val="009A6DE2"/>
    <w:rsid w:val="009A79F5"/>
    <w:rsid w:val="009B15A7"/>
    <w:rsid w:val="009B1AC0"/>
    <w:rsid w:val="009B2821"/>
    <w:rsid w:val="009B4384"/>
    <w:rsid w:val="009B44A1"/>
    <w:rsid w:val="009B5240"/>
    <w:rsid w:val="009B6318"/>
    <w:rsid w:val="009B6668"/>
    <w:rsid w:val="009B6DE7"/>
    <w:rsid w:val="009C2A6C"/>
    <w:rsid w:val="009C43B0"/>
    <w:rsid w:val="009C516C"/>
    <w:rsid w:val="009C79C9"/>
    <w:rsid w:val="009D0AE0"/>
    <w:rsid w:val="009D2B61"/>
    <w:rsid w:val="009D3C07"/>
    <w:rsid w:val="009D40E5"/>
    <w:rsid w:val="009D483F"/>
    <w:rsid w:val="009D5C40"/>
    <w:rsid w:val="009D5E75"/>
    <w:rsid w:val="009D5F51"/>
    <w:rsid w:val="009D65D7"/>
    <w:rsid w:val="009D6756"/>
    <w:rsid w:val="009E07C4"/>
    <w:rsid w:val="009E0909"/>
    <w:rsid w:val="009F0FD4"/>
    <w:rsid w:val="009F20B4"/>
    <w:rsid w:val="009F4538"/>
    <w:rsid w:val="009F4DFE"/>
    <w:rsid w:val="009F6406"/>
    <w:rsid w:val="009F6B83"/>
    <w:rsid w:val="009F7856"/>
    <w:rsid w:val="009F7F77"/>
    <w:rsid w:val="00A01287"/>
    <w:rsid w:val="00A015DF"/>
    <w:rsid w:val="00A0339E"/>
    <w:rsid w:val="00A03C49"/>
    <w:rsid w:val="00A03E9E"/>
    <w:rsid w:val="00A051B7"/>
    <w:rsid w:val="00A052BE"/>
    <w:rsid w:val="00A054AE"/>
    <w:rsid w:val="00A05E48"/>
    <w:rsid w:val="00A060CB"/>
    <w:rsid w:val="00A068FF"/>
    <w:rsid w:val="00A06FE2"/>
    <w:rsid w:val="00A10E32"/>
    <w:rsid w:val="00A1187A"/>
    <w:rsid w:val="00A1202F"/>
    <w:rsid w:val="00A12E57"/>
    <w:rsid w:val="00A147A2"/>
    <w:rsid w:val="00A1480F"/>
    <w:rsid w:val="00A14C10"/>
    <w:rsid w:val="00A15668"/>
    <w:rsid w:val="00A15AE9"/>
    <w:rsid w:val="00A1604F"/>
    <w:rsid w:val="00A172F0"/>
    <w:rsid w:val="00A20696"/>
    <w:rsid w:val="00A20BC6"/>
    <w:rsid w:val="00A2319D"/>
    <w:rsid w:val="00A23CFB"/>
    <w:rsid w:val="00A254D0"/>
    <w:rsid w:val="00A25A29"/>
    <w:rsid w:val="00A26B2D"/>
    <w:rsid w:val="00A30ACC"/>
    <w:rsid w:val="00A30FDC"/>
    <w:rsid w:val="00A31794"/>
    <w:rsid w:val="00A322B6"/>
    <w:rsid w:val="00A32C01"/>
    <w:rsid w:val="00A32D79"/>
    <w:rsid w:val="00A35FCB"/>
    <w:rsid w:val="00A42282"/>
    <w:rsid w:val="00A42569"/>
    <w:rsid w:val="00A434AB"/>
    <w:rsid w:val="00A44165"/>
    <w:rsid w:val="00A44A15"/>
    <w:rsid w:val="00A44B68"/>
    <w:rsid w:val="00A45B7F"/>
    <w:rsid w:val="00A46144"/>
    <w:rsid w:val="00A51AB6"/>
    <w:rsid w:val="00A535C8"/>
    <w:rsid w:val="00A5389B"/>
    <w:rsid w:val="00A53BA7"/>
    <w:rsid w:val="00A54B80"/>
    <w:rsid w:val="00A55446"/>
    <w:rsid w:val="00A60192"/>
    <w:rsid w:val="00A60C3F"/>
    <w:rsid w:val="00A64004"/>
    <w:rsid w:val="00A647A1"/>
    <w:rsid w:val="00A64F34"/>
    <w:rsid w:val="00A65870"/>
    <w:rsid w:val="00A65C2E"/>
    <w:rsid w:val="00A65FED"/>
    <w:rsid w:val="00A663CD"/>
    <w:rsid w:val="00A67855"/>
    <w:rsid w:val="00A710BC"/>
    <w:rsid w:val="00A71882"/>
    <w:rsid w:val="00A71B25"/>
    <w:rsid w:val="00A73719"/>
    <w:rsid w:val="00A738FA"/>
    <w:rsid w:val="00A74BD4"/>
    <w:rsid w:val="00A75B7C"/>
    <w:rsid w:val="00A76EEB"/>
    <w:rsid w:val="00A822EF"/>
    <w:rsid w:val="00A829F8"/>
    <w:rsid w:val="00A84247"/>
    <w:rsid w:val="00A8441A"/>
    <w:rsid w:val="00A84C15"/>
    <w:rsid w:val="00A862AB"/>
    <w:rsid w:val="00A867CF"/>
    <w:rsid w:val="00A8682E"/>
    <w:rsid w:val="00A8723E"/>
    <w:rsid w:val="00A87B50"/>
    <w:rsid w:val="00A87C5A"/>
    <w:rsid w:val="00A912D4"/>
    <w:rsid w:val="00A91828"/>
    <w:rsid w:val="00A91D2B"/>
    <w:rsid w:val="00A92311"/>
    <w:rsid w:val="00A93A3E"/>
    <w:rsid w:val="00A93FDC"/>
    <w:rsid w:val="00A94CC4"/>
    <w:rsid w:val="00A95CBC"/>
    <w:rsid w:val="00A96782"/>
    <w:rsid w:val="00A96CE9"/>
    <w:rsid w:val="00A9793A"/>
    <w:rsid w:val="00A97B15"/>
    <w:rsid w:val="00AA003B"/>
    <w:rsid w:val="00AA132B"/>
    <w:rsid w:val="00AA14B1"/>
    <w:rsid w:val="00AA178A"/>
    <w:rsid w:val="00AA3C83"/>
    <w:rsid w:val="00AA3DDE"/>
    <w:rsid w:val="00AA52E4"/>
    <w:rsid w:val="00AA5A03"/>
    <w:rsid w:val="00AA6351"/>
    <w:rsid w:val="00AA6B58"/>
    <w:rsid w:val="00AA755A"/>
    <w:rsid w:val="00AB0188"/>
    <w:rsid w:val="00AB1AE7"/>
    <w:rsid w:val="00AB229E"/>
    <w:rsid w:val="00AB3114"/>
    <w:rsid w:val="00AB4DB3"/>
    <w:rsid w:val="00AB5FC3"/>
    <w:rsid w:val="00AB7D51"/>
    <w:rsid w:val="00AC2A73"/>
    <w:rsid w:val="00AC62FD"/>
    <w:rsid w:val="00AC646A"/>
    <w:rsid w:val="00AC751E"/>
    <w:rsid w:val="00AD2146"/>
    <w:rsid w:val="00AD2989"/>
    <w:rsid w:val="00AD49A7"/>
    <w:rsid w:val="00AD68BB"/>
    <w:rsid w:val="00AD7912"/>
    <w:rsid w:val="00AD7F8E"/>
    <w:rsid w:val="00AE07BC"/>
    <w:rsid w:val="00AE2193"/>
    <w:rsid w:val="00AE3FA1"/>
    <w:rsid w:val="00AE5A8D"/>
    <w:rsid w:val="00AF01F6"/>
    <w:rsid w:val="00AF0AED"/>
    <w:rsid w:val="00AF2247"/>
    <w:rsid w:val="00AF4140"/>
    <w:rsid w:val="00AF4E33"/>
    <w:rsid w:val="00AF528A"/>
    <w:rsid w:val="00AF5A5D"/>
    <w:rsid w:val="00AF6B29"/>
    <w:rsid w:val="00AF6B8F"/>
    <w:rsid w:val="00AF71C8"/>
    <w:rsid w:val="00AF74A9"/>
    <w:rsid w:val="00AF7F7D"/>
    <w:rsid w:val="00B00F09"/>
    <w:rsid w:val="00B01466"/>
    <w:rsid w:val="00B01601"/>
    <w:rsid w:val="00B03079"/>
    <w:rsid w:val="00B04271"/>
    <w:rsid w:val="00B04443"/>
    <w:rsid w:val="00B04FCB"/>
    <w:rsid w:val="00B05B94"/>
    <w:rsid w:val="00B060BD"/>
    <w:rsid w:val="00B07099"/>
    <w:rsid w:val="00B07D1D"/>
    <w:rsid w:val="00B07FB8"/>
    <w:rsid w:val="00B11016"/>
    <w:rsid w:val="00B111A4"/>
    <w:rsid w:val="00B11C12"/>
    <w:rsid w:val="00B11CAB"/>
    <w:rsid w:val="00B121D0"/>
    <w:rsid w:val="00B125E5"/>
    <w:rsid w:val="00B13D41"/>
    <w:rsid w:val="00B1680D"/>
    <w:rsid w:val="00B17485"/>
    <w:rsid w:val="00B17E58"/>
    <w:rsid w:val="00B22994"/>
    <w:rsid w:val="00B23282"/>
    <w:rsid w:val="00B24B14"/>
    <w:rsid w:val="00B253F6"/>
    <w:rsid w:val="00B26AF5"/>
    <w:rsid w:val="00B27052"/>
    <w:rsid w:val="00B2785E"/>
    <w:rsid w:val="00B30905"/>
    <w:rsid w:val="00B30ADB"/>
    <w:rsid w:val="00B31644"/>
    <w:rsid w:val="00B324C6"/>
    <w:rsid w:val="00B32C2F"/>
    <w:rsid w:val="00B33653"/>
    <w:rsid w:val="00B3377A"/>
    <w:rsid w:val="00B347C0"/>
    <w:rsid w:val="00B3515A"/>
    <w:rsid w:val="00B3523C"/>
    <w:rsid w:val="00B3550A"/>
    <w:rsid w:val="00B35BFF"/>
    <w:rsid w:val="00B35C4D"/>
    <w:rsid w:val="00B36033"/>
    <w:rsid w:val="00B367F2"/>
    <w:rsid w:val="00B36C1F"/>
    <w:rsid w:val="00B36E2E"/>
    <w:rsid w:val="00B3738C"/>
    <w:rsid w:val="00B37BC8"/>
    <w:rsid w:val="00B40587"/>
    <w:rsid w:val="00B40A1A"/>
    <w:rsid w:val="00B41C92"/>
    <w:rsid w:val="00B429E0"/>
    <w:rsid w:val="00B430F3"/>
    <w:rsid w:val="00B43F3F"/>
    <w:rsid w:val="00B449D0"/>
    <w:rsid w:val="00B461D3"/>
    <w:rsid w:val="00B46485"/>
    <w:rsid w:val="00B46516"/>
    <w:rsid w:val="00B46C1D"/>
    <w:rsid w:val="00B46DD7"/>
    <w:rsid w:val="00B51F5A"/>
    <w:rsid w:val="00B523B5"/>
    <w:rsid w:val="00B53A7B"/>
    <w:rsid w:val="00B53D95"/>
    <w:rsid w:val="00B53F54"/>
    <w:rsid w:val="00B54543"/>
    <w:rsid w:val="00B54802"/>
    <w:rsid w:val="00B553CD"/>
    <w:rsid w:val="00B555DD"/>
    <w:rsid w:val="00B5573E"/>
    <w:rsid w:val="00B56168"/>
    <w:rsid w:val="00B562A7"/>
    <w:rsid w:val="00B56D59"/>
    <w:rsid w:val="00B5713A"/>
    <w:rsid w:val="00B5FF65"/>
    <w:rsid w:val="00B615BF"/>
    <w:rsid w:val="00B61CB4"/>
    <w:rsid w:val="00B62CEC"/>
    <w:rsid w:val="00B62D2D"/>
    <w:rsid w:val="00B63B62"/>
    <w:rsid w:val="00B641AD"/>
    <w:rsid w:val="00B651A2"/>
    <w:rsid w:val="00B67443"/>
    <w:rsid w:val="00B676F8"/>
    <w:rsid w:val="00B679F5"/>
    <w:rsid w:val="00B67D9F"/>
    <w:rsid w:val="00B67E8B"/>
    <w:rsid w:val="00B71366"/>
    <w:rsid w:val="00B71BDC"/>
    <w:rsid w:val="00B727A7"/>
    <w:rsid w:val="00B72A04"/>
    <w:rsid w:val="00B7342E"/>
    <w:rsid w:val="00B740BF"/>
    <w:rsid w:val="00B74FDC"/>
    <w:rsid w:val="00B76BF9"/>
    <w:rsid w:val="00B8045B"/>
    <w:rsid w:val="00B80E0C"/>
    <w:rsid w:val="00B82DEA"/>
    <w:rsid w:val="00B830CC"/>
    <w:rsid w:val="00B83687"/>
    <w:rsid w:val="00B85127"/>
    <w:rsid w:val="00B8768B"/>
    <w:rsid w:val="00B901C4"/>
    <w:rsid w:val="00B913FD"/>
    <w:rsid w:val="00B91756"/>
    <w:rsid w:val="00B92928"/>
    <w:rsid w:val="00B93FA7"/>
    <w:rsid w:val="00B95301"/>
    <w:rsid w:val="00BA0AA3"/>
    <w:rsid w:val="00BA19FF"/>
    <w:rsid w:val="00BA3EC6"/>
    <w:rsid w:val="00BA40F0"/>
    <w:rsid w:val="00BA4E6D"/>
    <w:rsid w:val="00BA5C47"/>
    <w:rsid w:val="00BA5D49"/>
    <w:rsid w:val="00BA5EAE"/>
    <w:rsid w:val="00BA77E5"/>
    <w:rsid w:val="00BB0B1E"/>
    <w:rsid w:val="00BB107F"/>
    <w:rsid w:val="00BB19C6"/>
    <w:rsid w:val="00BB1A4B"/>
    <w:rsid w:val="00BB25C3"/>
    <w:rsid w:val="00BB2727"/>
    <w:rsid w:val="00BB35FD"/>
    <w:rsid w:val="00BB35FE"/>
    <w:rsid w:val="00BB3A04"/>
    <w:rsid w:val="00BB3B62"/>
    <w:rsid w:val="00BB4639"/>
    <w:rsid w:val="00BB7DA0"/>
    <w:rsid w:val="00BB7DC5"/>
    <w:rsid w:val="00BC2758"/>
    <w:rsid w:val="00BC2DA2"/>
    <w:rsid w:val="00BC2EDB"/>
    <w:rsid w:val="00BC4ACA"/>
    <w:rsid w:val="00BC57A9"/>
    <w:rsid w:val="00BC76A1"/>
    <w:rsid w:val="00BD15BD"/>
    <w:rsid w:val="00BD4999"/>
    <w:rsid w:val="00BD4CC2"/>
    <w:rsid w:val="00BE0B5A"/>
    <w:rsid w:val="00BE1229"/>
    <w:rsid w:val="00BE21CB"/>
    <w:rsid w:val="00BE3CEB"/>
    <w:rsid w:val="00BE57F8"/>
    <w:rsid w:val="00BE5AD9"/>
    <w:rsid w:val="00BE5C5A"/>
    <w:rsid w:val="00BE6744"/>
    <w:rsid w:val="00BF064C"/>
    <w:rsid w:val="00BF0C5E"/>
    <w:rsid w:val="00BF27F3"/>
    <w:rsid w:val="00BF3305"/>
    <w:rsid w:val="00BF3380"/>
    <w:rsid w:val="00BF3807"/>
    <w:rsid w:val="00BF48F9"/>
    <w:rsid w:val="00BF4E7A"/>
    <w:rsid w:val="00BF5331"/>
    <w:rsid w:val="00BF7102"/>
    <w:rsid w:val="00C02055"/>
    <w:rsid w:val="00C02BD9"/>
    <w:rsid w:val="00C02EB5"/>
    <w:rsid w:val="00C03E98"/>
    <w:rsid w:val="00C04D6A"/>
    <w:rsid w:val="00C05356"/>
    <w:rsid w:val="00C0595D"/>
    <w:rsid w:val="00C0664D"/>
    <w:rsid w:val="00C06BB2"/>
    <w:rsid w:val="00C06E30"/>
    <w:rsid w:val="00C06EEE"/>
    <w:rsid w:val="00C07FE5"/>
    <w:rsid w:val="00C10553"/>
    <w:rsid w:val="00C1085B"/>
    <w:rsid w:val="00C131C0"/>
    <w:rsid w:val="00C144B4"/>
    <w:rsid w:val="00C16542"/>
    <w:rsid w:val="00C205C1"/>
    <w:rsid w:val="00C211C5"/>
    <w:rsid w:val="00C22C75"/>
    <w:rsid w:val="00C22E17"/>
    <w:rsid w:val="00C23262"/>
    <w:rsid w:val="00C244E1"/>
    <w:rsid w:val="00C24CC7"/>
    <w:rsid w:val="00C25174"/>
    <w:rsid w:val="00C26325"/>
    <w:rsid w:val="00C26598"/>
    <w:rsid w:val="00C26E42"/>
    <w:rsid w:val="00C27CB0"/>
    <w:rsid w:val="00C33B41"/>
    <w:rsid w:val="00C34573"/>
    <w:rsid w:val="00C34D2F"/>
    <w:rsid w:val="00C36525"/>
    <w:rsid w:val="00C37271"/>
    <w:rsid w:val="00C40B64"/>
    <w:rsid w:val="00C4132F"/>
    <w:rsid w:val="00C43DA2"/>
    <w:rsid w:val="00C441FB"/>
    <w:rsid w:val="00C44812"/>
    <w:rsid w:val="00C448E3"/>
    <w:rsid w:val="00C4626D"/>
    <w:rsid w:val="00C46607"/>
    <w:rsid w:val="00C46BD5"/>
    <w:rsid w:val="00C46ED0"/>
    <w:rsid w:val="00C502D4"/>
    <w:rsid w:val="00C50376"/>
    <w:rsid w:val="00C503DE"/>
    <w:rsid w:val="00C54406"/>
    <w:rsid w:val="00C54F93"/>
    <w:rsid w:val="00C55308"/>
    <w:rsid w:val="00C5613E"/>
    <w:rsid w:val="00C576C0"/>
    <w:rsid w:val="00C60270"/>
    <w:rsid w:val="00C616EC"/>
    <w:rsid w:val="00C61F2A"/>
    <w:rsid w:val="00C6298C"/>
    <w:rsid w:val="00C639A0"/>
    <w:rsid w:val="00C64B22"/>
    <w:rsid w:val="00C65F54"/>
    <w:rsid w:val="00C707AD"/>
    <w:rsid w:val="00C72795"/>
    <w:rsid w:val="00C72B96"/>
    <w:rsid w:val="00C75D4B"/>
    <w:rsid w:val="00C761FF"/>
    <w:rsid w:val="00C76491"/>
    <w:rsid w:val="00C76E6D"/>
    <w:rsid w:val="00C77C9A"/>
    <w:rsid w:val="00C81B14"/>
    <w:rsid w:val="00C821DE"/>
    <w:rsid w:val="00C835EF"/>
    <w:rsid w:val="00C84E21"/>
    <w:rsid w:val="00C87A41"/>
    <w:rsid w:val="00C902BC"/>
    <w:rsid w:val="00C91624"/>
    <w:rsid w:val="00C916DB"/>
    <w:rsid w:val="00C920F4"/>
    <w:rsid w:val="00C92452"/>
    <w:rsid w:val="00C955E2"/>
    <w:rsid w:val="00C95EE7"/>
    <w:rsid w:val="00CA086D"/>
    <w:rsid w:val="00CA228C"/>
    <w:rsid w:val="00CA29C7"/>
    <w:rsid w:val="00CA4126"/>
    <w:rsid w:val="00CA513B"/>
    <w:rsid w:val="00CA5FA9"/>
    <w:rsid w:val="00CB22D8"/>
    <w:rsid w:val="00CB2D77"/>
    <w:rsid w:val="00CB4026"/>
    <w:rsid w:val="00CB4DBB"/>
    <w:rsid w:val="00CB603C"/>
    <w:rsid w:val="00CB6A19"/>
    <w:rsid w:val="00CB6A31"/>
    <w:rsid w:val="00CB7ABB"/>
    <w:rsid w:val="00CC0640"/>
    <w:rsid w:val="00CC0912"/>
    <w:rsid w:val="00CC0ACC"/>
    <w:rsid w:val="00CC1CE1"/>
    <w:rsid w:val="00CC2973"/>
    <w:rsid w:val="00CC29D1"/>
    <w:rsid w:val="00CC3914"/>
    <w:rsid w:val="00CC4B2B"/>
    <w:rsid w:val="00CC5B11"/>
    <w:rsid w:val="00CC6700"/>
    <w:rsid w:val="00CC725C"/>
    <w:rsid w:val="00CC7D63"/>
    <w:rsid w:val="00CD07CA"/>
    <w:rsid w:val="00CD0C1E"/>
    <w:rsid w:val="00CD2743"/>
    <w:rsid w:val="00CD3A78"/>
    <w:rsid w:val="00CD57CB"/>
    <w:rsid w:val="00CD660A"/>
    <w:rsid w:val="00CD6687"/>
    <w:rsid w:val="00CE235B"/>
    <w:rsid w:val="00CE379D"/>
    <w:rsid w:val="00CE6EDE"/>
    <w:rsid w:val="00CE7C94"/>
    <w:rsid w:val="00CF4749"/>
    <w:rsid w:val="00CF5929"/>
    <w:rsid w:val="00CF68F4"/>
    <w:rsid w:val="00D006F7"/>
    <w:rsid w:val="00D028A5"/>
    <w:rsid w:val="00D02C9B"/>
    <w:rsid w:val="00D03AAF"/>
    <w:rsid w:val="00D05615"/>
    <w:rsid w:val="00D05B1F"/>
    <w:rsid w:val="00D06040"/>
    <w:rsid w:val="00D060E5"/>
    <w:rsid w:val="00D07D99"/>
    <w:rsid w:val="00D07FFC"/>
    <w:rsid w:val="00D10C48"/>
    <w:rsid w:val="00D10E6F"/>
    <w:rsid w:val="00D12B1A"/>
    <w:rsid w:val="00D13774"/>
    <w:rsid w:val="00D13E9E"/>
    <w:rsid w:val="00D14562"/>
    <w:rsid w:val="00D14AFF"/>
    <w:rsid w:val="00D14EA2"/>
    <w:rsid w:val="00D15984"/>
    <w:rsid w:val="00D1655B"/>
    <w:rsid w:val="00D201B1"/>
    <w:rsid w:val="00D201E6"/>
    <w:rsid w:val="00D20771"/>
    <w:rsid w:val="00D21407"/>
    <w:rsid w:val="00D22B2E"/>
    <w:rsid w:val="00D22CB3"/>
    <w:rsid w:val="00D22EB7"/>
    <w:rsid w:val="00D23917"/>
    <w:rsid w:val="00D266C0"/>
    <w:rsid w:val="00D30D9E"/>
    <w:rsid w:val="00D324F3"/>
    <w:rsid w:val="00D336BB"/>
    <w:rsid w:val="00D34BBF"/>
    <w:rsid w:val="00D355B1"/>
    <w:rsid w:val="00D35D06"/>
    <w:rsid w:val="00D36238"/>
    <w:rsid w:val="00D369E5"/>
    <w:rsid w:val="00D36D35"/>
    <w:rsid w:val="00D36F23"/>
    <w:rsid w:val="00D3753B"/>
    <w:rsid w:val="00D37849"/>
    <w:rsid w:val="00D408FE"/>
    <w:rsid w:val="00D40E11"/>
    <w:rsid w:val="00D410A2"/>
    <w:rsid w:val="00D41385"/>
    <w:rsid w:val="00D41915"/>
    <w:rsid w:val="00D41981"/>
    <w:rsid w:val="00D41D33"/>
    <w:rsid w:val="00D4450C"/>
    <w:rsid w:val="00D44AF6"/>
    <w:rsid w:val="00D455C3"/>
    <w:rsid w:val="00D503B2"/>
    <w:rsid w:val="00D50684"/>
    <w:rsid w:val="00D50C6E"/>
    <w:rsid w:val="00D51119"/>
    <w:rsid w:val="00D51F74"/>
    <w:rsid w:val="00D52DC0"/>
    <w:rsid w:val="00D541B9"/>
    <w:rsid w:val="00D60265"/>
    <w:rsid w:val="00D612AF"/>
    <w:rsid w:val="00D630C9"/>
    <w:rsid w:val="00D64F4E"/>
    <w:rsid w:val="00D6508C"/>
    <w:rsid w:val="00D65796"/>
    <w:rsid w:val="00D660C2"/>
    <w:rsid w:val="00D667D3"/>
    <w:rsid w:val="00D66C8D"/>
    <w:rsid w:val="00D67967"/>
    <w:rsid w:val="00D704E3"/>
    <w:rsid w:val="00D71272"/>
    <w:rsid w:val="00D7169C"/>
    <w:rsid w:val="00D725DA"/>
    <w:rsid w:val="00D7410F"/>
    <w:rsid w:val="00D76312"/>
    <w:rsid w:val="00D815BD"/>
    <w:rsid w:val="00D83914"/>
    <w:rsid w:val="00D83A40"/>
    <w:rsid w:val="00D8403C"/>
    <w:rsid w:val="00D850DF"/>
    <w:rsid w:val="00D85144"/>
    <w:rsid w:val="00D85A04"/>
    <w:rsid w:val="00D85BF7"/>
    <w:rsid w:val="00D9282C"/>
    <w:rsid w:val="00D9445F"/>
    <w:rsid w:val="00D95F3A"/>
    <w:rsid w:val="00D96495"/>
    <w:rsid w:val="00D96AF4"/>
    <w:rsid w:val="00D97243"/>
    <w:rsid w:val="00DA048B"/>
    <w:rsid w:val="00DA089F"/>
    <w:rsid w:val="00DA38D7"/>
    <w:rsid w:val="00DB00D7"/>
    <w:rsid w:val="00DB00FD"/>
    <w:rsid w:val="00DB0987"/>
    <w:rsid w:val="00DB11EE"/>
    <w:rsid w:val="00DB2EE3"/>
    <w:rsid w:val="00DB34A2"/>
    <w:rsid w:val="00DB41AC"/>
    <w:rsid w:val="00DB4545"/>
    <w:rsid w:val="00DB4E73"/>
    <w:rsid w:val="00DB53B3"/>
    <w:rsid w:val="00DB5D31"/>
    <w:rsid w:val="00DB5D77"/>
    <w:rsid w:val="00DB6CEE"/>
    <w:rsid w:val="00DB7396"/>
    <w:rsid w:val="00DB7980"/>
    <w:rsid w:val="00DC0076"/>
    <w:rsid w:val="00DC2470"/>
    <w:rsid w:val="00DC25B3"/>
    <w:rsid w:val="00DC36C7"/>
    <w:rsid w:val="00DC4AF4"/>
    <w:rsid w:val="00DC4BC2"/>
    <w:rsid w:val="00DC5AB6"/>
    <w:rsid w:val="00DC5D6F"/>
    <w:rsid w:val="00DC6180"/>
    <w:rsid w:val="00DC6C5C"/>
    <w:rsid w:val="00DC7803"/>
    <w:rsid w:val="00DC7F48"/>
    <w:rsid w:val="00DD2B2A"/>
    <w:rsid w:val="00DD44A3"/>
    <w:rsid w:val="00DE0DF1"/>
    <w:rsid w:val="00DE1613"/>
    <w:rsid w:val="00DE522F"/>
    <w:rsid w:val="00DE5B44"/>
    <w:rsid w:val="00DF006C"/>
    <w:rsid w:val="00DF09F0"/>
    <w:rsid w:val="00DF2C07"/>
    <w:rsid w:val="00DF32A4"/>
    <w:rsid w:val="00DF46CD"/>
    <w:rsid w:val="00DF4E73"/>
    <w:rsid w:val="00DF771B"/>
    <w:rsid w:val="00E02268"/>
    <w:rsid w:val="00E0251E"/>
    <w:rsid w:val="00E02A5F"/>
    <w:rsid w:val="00E034AB"/>
    <w:rsid w:val="00E04E6E"/>
    <w:rsid w:val="00E07131"/>
    <w:rsid w:val="00E07A95"/>
    <w:rsid w:val="00E107B6"/>
    <w:rsid w:val="00E11352"/>
    <w:rsid w:val="00E115C1"/>
    <w:rsid w:val="00E116D8"/>
    <w:rsid w:val="00E13660"/>
    <w:rsid w:val="00E1529E"/>
    <w:rsid w:val="00E17E33"/>
    <w:rsid w:val="00E21456"/>
    <w:rsid w:val="00E21FB9"/>
    <w:rsid w:val="00E2224C"/>
    <w:rsid w:val="00E24524"/>
    <w:rsid w:val="00E247FF"/>
    <w:rsid w:val="00E2665F"/>
    <w:rsid w:val="00E2677F"/>
    <w:rsid w:val="00E27118"/>
    <w:rsid w:val="00E31F41"/>
    <w:rsid w:val="00E31F4C"/>
    <w:rsid w:val="00E327B2"/>
    <w:rsid w:val="00E33BA0"/>
    <w:rsid w:val="00E342F3"/>
    <w:rsid w:val="00E345AB"/>
    <w:rsid w:val="00E35F60"/>
    <w:rsid w:val="00E36C75"/>
    <w:rsid w:val="00E401B7"/>
    <w:rsid w:val="00E402F2"/>
    <w:rsid w:val="00E40447"/>
    <w:rsid w:val="00E43C0A"/>
    <w:rsid w:val="00E45493"/>
    <w:rsid w:val="00E461AF"/>
    <w:rsid w:val="00E463B3"/>
    <w:rsid w:val="00E46952"/>
    <w:rsid w:val="00E5007A"/>
    <w:rsid w:val="00E5079D"/>
    <w:rsid w:val="00E52C09"/>
    <w:rsid w:val="00E52CBC"/>
    <w:rsid w:val="00E5373A"/>
    <w:rsid w:val="00E5446F"/>
    <w:rsid w:val="00E546BA"/>
    <w:rsid w:val="00E54A90"/>
    <w:rsid w:val="00E578AF"/>
    <w:rsid w:val="00E60B49"/>
    <w:rsid w:val="00E63761"/>
    <w:rsid w:val="00E671B6"/>
    <w:rsid w:val="00E672CC"/>
    <w:rsid w:val="00E70506"/>
    <w:rsid w:val="00E70F6F"/>
    <w:rsid w:val="00E71831"/>
    <w:rsid w:val="00E732AC"/>
    <w:rsid w:val="00E73C14"/>
    <w:rsid w:val="00E74C4F"/>
    <w:rsid w:val="00E75D95"/>
    <w:rsid w:val="00E80808"/>
    <w:rsid w:val="00E83638"/>
    <w:rsid w:val="00E83B66"/>
    <w:rsid w:val="00E8469A"/>
    <w:rsid w:val="00E84996"/>
    <w:rsid w:val="00E84CD1"/>
    <w:rsid w:val="00E86806"/>
    <w:rsid w:val="00E87C66"/>
    <w:rsid w:val="00E87E28"/>
    <w:rsid w:val="00E901F5"/>
    <w:rsid w:val="00E9155D"/>
    <w:rsid w:val="00E91C24"/>
    <w:rsid w:val="00E93D8C"/>
    <w:rsid w:val="00E945A2"/>
    <w:rsid w:val="00E94DC5"/>
    <w:rsid w:val="00E96C44"/>
    <w:rsid w:val="00E970D9"/>
    <w:rsid w:val="00E9765B"/>
    <w:rsid w:val="00EA00CB"/>
    <w:rsid w:val="00EA0192"/>
    <w:rsid w:val="00EA0D7F"/>
    <w:rsid w:val="00EA1794"/>
    <w:rsid w:val="00EA2A2C"/>
    <w:rsid w:val="00EA43D5"/>
    <w:rsid w:val="00EA5F28"/>
    <w:rsid w:val="00EA7FC8"/>
    <w:rsid w:val="00EB0BD5"/>
    <w:rsid w:val="00EB3D16"/>
    <w:rsid w:val="00EB5638"/>
    <w:rsid w:val="00EB5B72"/>
    <w:rsid w:val="00EB5F43"/>
    <w:rsid w:val="00EB6DA3"/>
    <w:rsid w:val="00EB7BB1"/>
    <w:rsid w:val="00EC1115"/>
    <w:rsid w:val="00EC163D"/>
    <w:rsid w:val="00EC1B77"/>
    <w:rsid w:val="00EC3DFB"/>
    <w:rsid w:val="00EC425F"/>
    <w:rsid w:val="00EC4968"/>
    <w:rsid w:val="00EC59DB"/>
    <w:rsid w:val="00EC65D2"/>
    <w:rsid w:val="00EC7513"/>
    <w:rsid w:val="00EC79EE"/>
    <w:rsid w:val="00ED0BA2"/>
    <w:rsid w:val="00ED1419"/>
    <w:rsid w:val="00ED533B"/>
    <w:rsid w:val="00ED654B"/>
    <w:rsid w:val="00ED794D"/>
    <w:rsid w:val="00ED7C86"/>
    <w:rsid w:val="00EE00D3"/>
    <w:rsid w:val="00EE0F14"/>
    <w:rsid w:val="00EE224C"/>
    <w:rsid w:val="00EE367B"/>
    <w:rsid w:val="00EE37C4"/>
    <w:rsid w:val="00EE3E31"/>
    <w:rsid w:val="00EE40CD"/>
    <w:rsid w:val="00EE4279"/>
    <w:rsid w:val="00EE4576"/>
    <w:rsid w:val="00EE5918"/>
    <w:rsid w:val="00EE7A0D"/>
    <w:rsid w:val="00EF1096"/>
    <w:rsid w:val="00EF13FF"/>
    <w:rsid w:val="00EF21E3"/>
    <w:rsid w:val="00EF3A53"/>
    <w:rsid w:val="00EF4336"/>
    <w:rsid w:val="00EF5207"/>
    <w:rsid w:val="00EF590F"/>
    <w:rsid w:val="00EF6DC1"/>
    <w:rsid w:val="00EF73DD"/>
    <w:rsid w:val="00F00AE7"/>
    <w:rsid w:val="00F02388"/>
    <w:rsid w:val="00F02ADA"/>
    <w:rsid w:val="00F03221"/>
    <w:rsid w:val="00F04A58"/>
    <w:rsid w:val="00F10B4E"/>
    <w:rsid w:val="00F114CE"/>
    <w:rsid w:val="00F131D3"/>
    <w:rsid w:val="00F13842"/>
    <w:rsid w:val="00F144CA"/>
    <w:rsid w:val="00F1619B"/>
    <w:rsid w:val="00F17151"/>
    <w:rsid w:val="00F1728D"/>
    <w:rsid w:val="00F200FD"/>
    <w:rsid w:val="00F20BAC"/>
    <w:rsid w:val="00F22803"/>
    <w:rsid w:val="00F24B99"/>
    <w:rsid w:val="00F25B27"/>
    <w:rsid w:val="00F27ACB"/>
    <w:rsid w:val="00F30123"/>
    <w:rsid w:val="00F31CE0"/>
    <w:rsid w:val="00F33C29"/>
    <w:rsid w:val="00F33CBB"/>
    <w:rsid w:val="00F3420C"/>
    <w:rsid w:val="00F34DA5"/>
    <w:rsid w:val="00F36A2D"/>
    <w:rsid w:val="00F40C45"/>
    <w:rsid w:val="00F43387"/>
    <w:rsid w:val="00F43F19"/>
    <w:rsid w:val="00F44E5E"/>
    <w:rsid w:val="00F4724C"/>
    <w:rsid w:val="00F51CA7"/>
    <w:rsid w:val="00F51DF7"/>
    <w:rsid w:val="00F53146"/>
    <w:rsid w:val="00F5348B"/>
    <w:rsid w:val="00F541E0"/>
    <w:rsid w:val="00F5467D"/>
    <w:rsid w:val="00F5730E"/>
    <w:rsid w:val="00F57E5E"/>
    <w:rsid w:val="00F60B94"/>
    <w:rsid w:val="00F61261"/>
    <w:rsid w:val="00F6164C"/>
    <w:rsid w:val="00F61686"/>
    <w:rsid w:val="00F61A71"/>
    <w:rsid w:val="00F65F73"/>
    <w:rsid w:val="00F65FB3"/>
    <w:rsid w:val="00F66040"/>
    <w:rsid w:val="00F66A03"/>
    <w:rsid w:val="00F66B43"/>
    <w:rsid w:val="00F71EDC"/>
    <w:rsid w:val="00F72197"/>
    <w:rsid w:val="00F72B4E"/>
    <w:rsid w:val="00F739FA"/>
    <w:rsid w:val="00F73ED7"/>
    <w:rsid w:val="00F764F6"/>
    <w:rsid w:val="00F7745F"/>
    <w:rsid w:val="00F775BA"/>
    <w:rsid w:val="00F822AF"/>
    <w:rsid w:val="00F82515"/>
    <w:rsid w:val="00F82774"/>
    <w:rsid w:val="00F82A4A"/>
    <w:rsid w:val="00F834A4"/>
    <w:rsid w:val="00F84686"/>
    <w:rsid w:val="00F8572E"/>
    <w:rsid w:val="00F85AC4"/>
    <w:rsid w:val="00F85CF0"/>
    <w:rsid w:val="00F8772D"/>
    <w:rsid w:val="00F90A38"/>
    <w:rsid w:val="00F91D4C"/>
    <w:rsid w:val="00F922A5"/>
    <w:rsid w:val="00F923AF"/>
    <w:rsid w:val="00F932F8"/>
    <w:rsid w:val="00F9385A"/>
    <w:rsid w:val="00F93976"/>
    <w:rsid w:val="00F95DFD"/>
    <w:rsid w:val="00F96747"/>
    <w:rsid w:val="00F97E03"/>
    <w:rsid w:val="00FA020F"/>
    <w:rsid w:val="00FA0D1A"/>
    <w:rsid w:val="00FA1496"/>
    <w:rsid w:val="00FA1731"/>
    <w:rsid w:val="00FA2DF2"/>
    <w:rsid w:val="00FA5AE3"/>
    <w:rsid w:val="00FA6220"/>
    <w:rsid w:val="00FA65A2"/>
    <w:rsid w:val="00FA7D71"/>
    <w:rsid w:val="00FA7F95"/>
    <w:rsid w:val="00FB0845"/>
    <w:rsid w:val="00FB0F24"/>
    <w:rsid w:val="00FB406A"/>
    <w:rsid w:val="00FB41E3"/>
    <w:rsid w:val="00FB46BA"/>
    <w:rsid w:val="00FB4700"/>
    <w:rsid w:val="00FB4789"/>
    <w:rsid w:val="00FB67DE"/>
    <w:rsid w:val="00FC0A09"/>
    <w:rsid w:val="00FC158C"/>
    <w:rsid w:val="00FC374E"/>
    <w:rsid w:val="00FC3E46"/>
    <w:rsid w:val="00FC4292"/>
    <w:rsid w:val="00FC453B"/>
    <w:rsid w:val="00FC477B"/>
    <w:rsid w:val="00FC56BC"/>
    <w:rsid w:val="00FC5BE4"/>
    <w:rsid w:val="00FC65E8"/>
    <w:rsid w:val="00FC6624"/>
    <w:rsid w:val="00FC6CD6"/>
    <w:rsid w:val="00FD1D16"/>
    <w:rsid w:val="00FD43AB"/>
    <w:rsid w:val="00FD585F"/>
    <w:rsid w:val="00FD750D"/>
    <w:rsid w:val="00FD79CC"/>
    <w:rsid w:val="00FD7CDA"/>
    <w:rsid w:val="00FE06E8"/>
    <w:rsid w:val="00FE263D"/>
    <w:rsid w:val="00FE3248"/>
    <w:rsid w:val="00FE3618"/>
    <w:rsid w:val="00FE665D"/>
    <w:rsid w:val="00FE7516"/>
    <w:rsid w:val="00FE7699"/>
    <w:rsid w:val="00FE7749"/>
    <w:rsid w:val="00FE7A04"/>
    <w:rsid w:val="00FF0822"/>
    <w:rsid w:val="00FF085A"/>
    <w:rsid w:val="00FF0AC4"/>
    <w:rsid w:val="00FF19BF"/>
    <w:rsid w:val="00FF2165"/>
    <w:rsid w:val="00FF3016"/>
    <w:rsid w:val="00FF55F7"/>
    <w:rsid w:val="0135C10F"/>
    <w:rsid w:val="013B24A3"/>
    <w:rsid w:val="018C3584"/>
    <w:rsid w:val="01C69AE3"/>
    <w:rsid w:val="021523D1"/>
    <w:rsid w:val="027C41D3"/>
    <w:rsid w:val="02A285C0"/>
    <w:rsid w:val="02E3A8CE"/>
    <w:rsid w:val="02F19B37"/>
    <w:rsid w:val="03421F95"/>
    <w:rsid w:val="036A3873"/>
    <w:rsid w:val="036CC540"/>
    <w:rsid w:val="0379E662"/>
    <w:rsid w:val="03F67779"/>
    <w:rsid w:val="04386BC7"/>
    <w:rsid w:val="043AC21C"/>
    <w:rsid w:val="04748FAB"/>
    <w:rsid w:val="04B81075"/>
    <w:rsid w:val="0502DAA1"/>
    <w:rsid w:val="051A1AD2"/>
    <w:rsid w:val="053117F4"/>
    <w:rsid w:val="05481CA7"/>
    <w:rsid w:val="055BDFFD"/>
    <w:rsid w:val="0563448F"/>
    <w:rsid w:val="0566D46E"/>
    <w:rsid w:val="056C0109"/>
    <w:rsid w:val="05793F29"/>
    <w:rsid w:val="057DAB74"/>
    <w:rsid w:val="058119F3"/>
    <w:rsid w:val="05860249"/>
    <w:rsid w:val="05A33EA4"/>
    <w:rsid w:val="05DEEAB7"/>
    <w:rsid w:val="05EB467E"/>
    <w:rsid w:val="05EB4E10"/>
    <w:rsid w:val="0626AC4C"/>
    <w:rsid w:val="0637640D"/>
    <w:rsid w:val="063A5732"/>
    <w:rsid w:val="063AB10F"/>
    <w:rsid w:val="065033B8"/>
    <w:rsid w:val="065DE4C3"/>
    <w:rsid w:val="0678675E"/>
    <w:rsid w:val="07071885"/>
    <w:rsid w:val="071B336C"/>
    <w:rsid w:val="07322F4F"/>
    <w:rsid w:val="07550F1E"/>
    <w:rsid w:val="075BCE61"/>
    <w:rsid w:val="07BB874F"/>
    <w:rsid w:val="07C171C8"/>
    <w:rsid w:val="07D82116"/>
    <w:rsid w:val="0869DBEB"/>
    <w:rsid w:val="086E8A44"/>
    <w:rsid w:val="0872F0AF"/>
    <w:rsid w:val="08D5F1E8"/>
    <w:rsid w:val="08EC4DA0"/>
    <w:rsid w:val="092652D6"/>
    <w:rsid w:val="0948560D"/>
    <w:rsid w:val="09730EBE"/>
    <w:rsid w:val="09837C4D"/>
    <w:rsid w:val="0986D177"/>
    <w:rsid w:val="09A0995F"/>
    <w:rsid w:val="09A2C7BB"/>
    <w:rsid w:val="09B255E5"/>
    <w:rsid w:val="09C3F0F6"/>
    <w:rsid w:val="09C8A98A"/>
    <w:rsid w:val="09D20FB5"/>
    <w:rsid w:val="0A416C5D"/>
    <w:rsid w:val="0A462831"/>
    <w:rsid w:val="0A731F5B"/>
    <w:rsid w:val="0A780E28"/>
    <w:rsid w:val="0A9842F7"/>
    <w:rsid w:val="0AC993C5"/>
    <w:rsid w:val="0AFC43AA"/>
    <w:rsid w:val="0B3202FB"/>
    <w:rsid w:val="0B6D8D25"/>
    <w:rsid w:val="0B7D2DC4"/>
    <w:rsid w:val="0B86E1D8"/>
    <w:rsid w:val="0B999C97"/>
    <w:rsid w:val="0BAB4B7D"/>
    <w:rsid w:val="0BB0F3FD"/>
    <w:rsid w:val="0C15DCBB"/>
    <w:rsid w:val="0C3AFBBF"/>
    <w:rsid w:val="0C52E2CF"/>
    <w:rsid w:val="0C546180"/>
    <w:rsid w:val="0C87A221"/>
    <w:rsid w:val="0CF16A94"/>
    <w:rsid w:val="0CF1FCA6"/>
    <w:rsid w:val="0DB099FD"/>
    <w:rsid w:val="0DB9FE4E"/>
    <w:rsid w:val="0DDC0C2C"/>
    <w:rsid w:val="0E4D6706"/>
    <w:rsid w:val="0E67E7CA"/>
    <w:rsid w:val="0EB06D08"/>
    <w:rsid w:val="0EDD5FF7"/>
    <w:rsid w:val="0F04DEFE"/>
    <w:rsid w:val="0F0CCFB3"/>
    <w:rsid w:val="0F6D4BCD"/>
    <w:rsid w:val="0FCE5CA5"/>
    <w:rsid w:val="1059DC9B"/>
    <w:rsid w:val="10C2A65A"/>
    <w:rsid w:val="10D09D11"/>
    <w:rsid w:val="112DB7ED"/>
    <w:rsid w:val="114DA138"/>
    <w:rsid w:val="11520A15"/>
    <w:rsid w:val="11CB82F1"/>
    <w:rsid w:val="11D99DCA"/>
    <w:rsid w:val="11E1B6FF"/>
    <w:rsid w:val="1205ED1E"/>
    <w:rsid w:val="123243E3"/>
    <w:rsid w:val="1246626E"/>
    <w:rsid w:val="12468673"/>
    <w:rsid w:val="1248786E"/>
    <w:rsid w:val="125FA772"/>
    <w:rsid w:val="126928F2"/>
    <w:rsid w:val="1287E8D2"/>
    <w:rsid w:val="12E05CF1"/>
    <w:rsid w:val="12E9699D"/>
    <w:rsid w:val="12F8D0F8"/>
    <w:rsid w:val="13224524"/>
    <w:rsid w:val="1369FC4B"/>
    <w:rsid w:val="139DBEE5"/>
    <w:rsid w:val="13F7BEA0"/>
    <w:rsid w:val="14234940"/>
    <w:rsid w:val="14460EBB"/>
    <w:rsid w:val="144F9FB5"/>
    <w:rsid w:val="1499F60C"/>
    <w:rsid w:val="14B7457E"/>
    <w:rsid w:val="14F241FD"/>
    <w:rsid w:val="1588E168"/>
    <w:rsid w:val="159EA38E"/>
    <w:rsid w:val="15D0E1DE"/>
    <w:rsid w:val="15D5F1F3"/>
    <w:rsid w:val="161EE0B1"/>
    <w:rsid w:val="16507370"/>
    <w:rsid w:val="166B8160"/>
    <w:rsid w:val="16718E6F"/>
    <w:rsid w:val="16A11B67"/>
    <w:rsid w:val="16AAF02F"/>
    <w:rsid w:val="16AAFCE6"/>
    <w:rsid w:val="16D7B53F"/>
    <w:rsid w:val="16EA34EB"/>
    <w:rsid w:val="1720EFB0"/>
    <w:rsid w:val="17384A37"/>
    <w:rsid w:val="175A179B"/>
    <w:rsid w:val="1777F9B0"/>
    <w:rsid w:val="17832E1B"/>
    <w:rsid w:val="18945020"/>
    <w:rsid w:val="18EE983A"/>
    <w:rsid w:val="18F0398C"/>
    <w:rsid w:val="1913F144"/>
    <w:rsid w:val="19DDD6DF"/>
    <w:rsid w:val="19F7639F"/>
    <w:rsid w:val="19FD30A3"/>
    <w:rsid w:val="1A7ABF84"/>
    <w:rsid w:val="1A83AF36"/>
    <w:rsid w:val="1A919409"/>
    <w:rsid w:val="1ACE4115"/>
    <w:rsid w:val="1AD03673"/>
    <w:rsid w:val="1B1E3E95"/>
    <w:rsid w:val="1B285450"/>
    <w:rsid w:val="1B7F7ADF"/>
    <w:rsid w:val="1B91C498"/>
    <w:rsid w:val="1BEBFAC9"/>
    <w:rsid w:val="1BFC6801"/>
    <w:rsid w:val="1C36706F"/>
    <w:rsid w:val="1C6D9B73"/>
    <w:rsid w:val="1C7FDD01"/>
    <w:rsid w:val="1C9032F9"/>
    <w:rsid w:val="1CD68854"/>
    <w:rsid w:val="1D377802"/>
    <w:rsid w:val="1D68D566"/>
    <w:rsid w:val="1DC21745"/>
    <w:rsid w:val="1DF1048F"/>
    <w:rsid w:val="1E3A0658"/>
    <w:rsid w:val="1E5E385B"/>
    <w:rsid w:val="1E5E9C96"/>
    <w:rsid w:val="1E72A853"/>
    <w:rsid w:val="1EC4BA48"/>
    <w:rsid w:val="1EF5D6EC"/>
    <w:rsid w:val="1F2BB288"/>
    <w:rsid w:val="1F587ABE"/>
    <w:rsid w:val="1FA4A5BE"/>
    <w:rsid w:val="1FBF9D88"/>
    <w:rsid w:val="1FF4211B"/>
    <w:rsid w:val="1FF4E1F9"/>
    <w:rsid w:val="200B02D3"/>
    <w:rsid w:val="2032CA44"/>
    <w:rsid w:val="20F1E825"/>
    <w:rsid w:val="2125CA8C"/>
    <w:rsid w:val="214D444B"/>
    <w:rsid w:val="2185ECA3"/>
    <w:rsid w:val="2188A4F6"/>
    <w:rsid w:val="219D0B6C"/>
    <w:rsid w:val="21B303E2"/>
    <w:rsid w:val="21D7E13E"/>
    <w:rsid w:val="21DF3440"/>
    <w:rsid w:val="21F50BAB"/>
    <w:rsid w:val="21F59EC4"/>
    <w:rsid w:val="21FF0806"/>
    <w:rsid w:val="2286B689"/>
    <w:rsid w:val="231477DF"/>
    <w:rsid w:val="234C0311"/>
    <w:rsid w:val="23522700"/>
    <w:rsid w:val="2360A9D6"/>
    <w:rsid w:val="2365C6CD"/>
    <w:rsid w:val="239B3A0B"/>
    <w:rsid w:val="24B6D064"/>
    <w:rsid w:val="24C45D69"/>
    <w:rsid w:val="24DD09C8"/>
    <w:rsid w:val="25A4EBBE"/>
    <w:rsid w:val="25F3239C"/>
    <w:rsid w:val="25F755E4"/>
    <w:rsid w:val="26011EA0"/>
    <w:rsid w:val="2601A73E"/>
    <w:rsid w:val="265AC6D9"/>
    <w:rsid w:val="265B3710"/>
    <w:rsid w:val="268C507A"/>
    <w:rsid w:val="26AE1F3C"/>
    <w:rsid w:val="26DC3AD0"/>
    <w:rsid w:val="2728C5EB"/>
    <w:rsid w:val="276BD5AB"/>
    <w:rsid w:val="27814272"/>
    <w:rsid w:val="27953549"/>
    <w:rsid w:val="27ACC27E"/>
    <w:rsid w:val="27C18F46"/>
    <w:rsid w:val="27D1374B"/>
    <w:rsid w:val="27DF5CE9"/>
    <w:rsid w:val="282C3C0A"/>
    <w:rsid w:val="2847D600"/>
    <w:rsid w:val="28754D23"/>
    <w:rsid w:val="288A9EF2"/>
    <w:rsid w:val="288DEFAC"/>
    <w:rsid w:val="28E1E6C1"/>
    <w:rsid w:val="28E9CA27"/>
    <w:rsid w:val="28EB85ED"/>
    <w:rsid w:val="29504D58"/>
    <w:rsid w:val="2953EF27"/>
    <w:rsid w:val="295D8DF4"/>
    <w:rsid w:val="296D07AC"/>
    <w:rsid w:val="299966BB"/>
    <w:rsid w:val="29CBD5A6"/>
    <w:rsid w:val="29EE60E4"/>
    <w:rsid w:val="2A2D77A7"/>
    <w:rsid w:val="2A477E56"/>
    <w:rsid w:val="2A7C4EE6"/>
    <w:rsid w:val="2A84665B"/>
    <w:rsid w:val="2AE10D03"/>
    <w:rsid w:val="2AE4D85A"/>
    <w:rsid w:val="2B4C6B79"/>
    <w:rsid w:val="2B62D311"/>
    <w:rsid w:val="2BAA9302"/>
    <w:rsid w:val="2BBEB21A"/>
    <w:rsid w:val="2C5C06C6"/>
    <w:rsid w:val="2C5F8A6E"/>
    <w:rsid w:val="2C9185BB"/>
    <w:rsid w:val="2D0055B1"/>
    <w:rsid w:val="2D1203EB"/>
    <w:rsid w:val="2D1513B5"/>
    <w:rsid w:val="2D417F8B"/>
    <w:rsid w:val="2DD671E2"/>
    <w:rsid w:val="2E3DC063"/>
    <w:rsid w:val="2E8CDA06"/>
    <w:rsid w:val="2EAAC246"/>
    <w:rsid w:val="2F123C63"/>
    <w:rsid w:val="2F1481F2"/>
    <w:rsid w:val="2F6592E0"/>
    <w:rsid w:val="2FF94553"/>
    <w:rsid w:val="304CE61D"/>
    <w:rsid w:val="3054B7F7"/>
    <w:rsid w:val="30AEF640"/>
    <w:rsid w:val="30D767C0"/>
    <w:rsid w:val="3125D938"/>
    <w:rsid w:val="318F0EF9"/>
    <w:rsid w:val="31BCE8F2"/>
    <w:rsid w:val="31C24578"/>
    <w:rsid w:val="31DE49A6"/>
    <w:rsid w:val="31F2651F"/>
    <w:rsid w:val="32550CDE"/>
    <w:rsid w:val="32853A35"/>
    <w:rsid w:val="32BDB098"/>
    <w:rsid w:val="32C29D2A"/>
    <w:rsid w:val="32E483F8"/>
    <w:rsid w:val="33122A05"/>
    <w:rsid w:val="33435DFE"/>
    <w:rsid w:val="3355FDD6"/>
    <w:rsid w:val="33850896"/>
    <w:rsid w:val="33AE8B7B"/>
    <w:rsid w:val="33F5B854"/>
    <w:rsid w:val="34018AAA"/>
    <w:rsid w:val="3407F22F"/>
    <w:rsid w:val="3415AB59"/>
    <w:rsid w:val="343D99E8"/>
    <w:rsid w:val="3456E66D"/>
    <w:rsid w:val="349535DD"/>
    <w:rsid w:val="34C79B78"/>
    <w:rsid w:val="34EC69EE"/>
    <w:rsid w:val="34EFB370"/>
    <w:rsid w:val="3547F4A9"/>
    <w:rsid w:val="3556907D"/>
    <w:rsid w:val="358C71C5"/>
    <w:rsid w:val="359C1E85"/>
    <w:rsid w:val="35AA677D"/>
    <w:rsid w:val="35AD2125"/>
    <w:rsid w:val="35D7327F"/>
    <w:rsid w:val="36D9A993"/>
    <w:rsid w:val="36F16358"/>
    <w:rsid w:val="37324300"/>
    <w:rsid w:val="37564520"/>
    <w:rsid w:val="37B4BD88"/>
    <w:rsid w:val="37F9B1D5"/>
    <w:rsid w:val="380A0896"/>
    <w:rsid w:val="385A7927"/>
    <w:rsid w:val="3867B4FA"/>
    <w:rsid w:val="3882B16B"/>
    <w:rsid w:val="388E601E"/>
    <w:rsid w:val="389B13B4"/>
    <w:rsid w:val="38BE5F5B"/>
    <w:rsid w:val="38C45189"/>
    <w:rsid w:val="38D93F73"/>
    <w:rsid w:val="38E8CA5A"/>
    <w:rsid w:val="39DE448B"/>
    <w:rsid w:val="3A2253B8"/>
    <w:rsid w:val="3A26B2B3"/>
    <w:rsid w:val="3A481629"/>
    <w:rsid w:val="3A6E6FE6"/>
    <w:rsid w:val="3A95FE9C"/>
    <w:rsid w:val="3AC58803"/>
    <w:rsid w:val="3ADC6BAF"/>
    <w:rsid w:val="3AFDF767"/>
    <w:rsid w:val="3B0963C8"/>
    <w:rsid w:val="3B469FC1"/>
    <w:rsid w:val="3B6C840C"/>
    <w:rsid w:val="3B9DB2F2"/>
    <w:rsid w:val="3B9EE69F"/>
    <w:rsid w:val="3B9FD25A"/>
    <w:rsid w:val="3BC3A2C7"/>
    <w:rsid w:val="3BDF692B"/>
    <w:rsid w:val="3BF20B04"/>
    <w:rsid w:val="3C1ADA58"/>
    <w:rsid w:val="3C760BB5"/>
    <w:rsid w:val="3C84265B"/>
    <w:rsid w:val="3C98207A"/>
    <w:rsid w:val="3CF25B94"/>
    <w:rsid w:val="3D11F3E5"/>
    <w:rsid w:val="3D37A94A"/>
    <w:rsid w:val="3D5A173D"/>
    <w:rsid w:val="3D951EFE"/>
    <w:rsid w:val="3DDDA53B"/>
    <w:rsid w:val="3DE02E6D"/>
    <w:rsid w:val="3E56B379"/>
    <w:rsid w:val="3E5EBC7A"/>
    <w:rsid w:val="3E7B736B"/>
    <w:rsid w:val="3E9E41F5"/>
    <w:rsid w:val="3EA47AFA"/>
    <w:rsid w:val="3F2150EF"/>
    <w:rsid w:val="3FB2803E"/>
    <w:rsid w:val="3FCD0196"/>
    <w:rsid w:val="3FEE94D1"/>
    <w:rsid w:val="402FC95F"/>
    <w:rsid w:val="404BF43A"/>
    <w:rsid w:val="40515499"/>
    <w:rsid w:val="40562E9F"/>
    <w:rsid w:val="40BF4CD1"/>
    <w:rsid w:val="412228A6"/>
    <w:rsid w:val="41307DFA"/>
    <w:rsid w:val="413ABADF"/>
    <w:rsid w:val="413E8C26"/>
    <w:rsid w:val="414185EE"/>
    <w:rsid w:val="41656326"/>
    <w:rsid w:val="419D32DD"/>
    <w:rsid w:val="421B2542"/>
    <w:rsid w:val="42258E42"/>
    <w:rsid w:val="4232667F"/>
    <w:rsid w:val="42A28CB5"/>
    <w:rsid w:val="42B2B66D"/>
    <w:rsid w:val="42E2AC1E"/>
    <w:rsid w:val="434CC6AF"/>
    <w:rsid w:val="435B14FC"/>
    <w:rsid w:val="436EC533"/>
    <w:rsid w:val="43B65CAE"/>
    <w:rsid w:val="4404A852"/>
    <w:rsid w:val="4412CDF0"/>
    <w:rsid w:val="4456C75A"/>
    <w:rsid w:val="44A3232F"/>
    <w:rsid w:val="44CBA393"/>
    <w:rsid w:val="44D618B5"/>
    <w:rsid w:val="4519CCCF"/>
    <w:rsid w:val="4549A51A"/>
    <w:rsid w:val="455368E3"/>
    <w:rsid w:val="456C83AB"/>
    <w:rsid w:val="45FA73B7"/>
    <w:rsid w:val="45FA9A57"/>
    <w:rsid w:val="45FC9D88"/>
    <w:rsid w:val="47B734F8"/>
    <w:rsid w:val="47B7DC65"/>
    <w:rsid w:val="4812AEAB"/>
    <w:rsid w:val="482589F9"/>
    <w:rsid w:val="483814ED"/>
    <w:rsid w:val="48816E99"/>
    <w:rsid w:val="4881AEBF"/>
    <w:rsid w:val="48CD16B6"/>
    <w:rsid w:val="48D6E971"/>
    <w:rsid w:val="48F100C4"/>
    <w:rsid w:val="4900EC21"/>
    <w:rsid w:val="4926740E"/>
    <w:rsid w:val="49291BC6"/>
    <w:rsid w:val="495EFF5D"/>
    <w:rsid w:val="4974E116"/>
    <w:rsid w:val="4996F462"/>
    <w:rsid w:val="49E10B03"/>
    <w:rsid w:val="4A061B81"/>
    <w:rsid w:val="4A5BFA36"/>
    <w:rsid w:val="4A63364F"/>
    <w:rsid w:val="4A804922"/>
    <w:rsid w:val="4A9CA4A8"/>
    <w:rsid w:val="4AA4A128"/>
    <w:rsid w:val="4AD35879"/>
    <w:rsid w:val="4B42AA14"/>
    <w:rsid w:val="4BF33E42"/>
    <w:rsid w:val="4BF8F881"/>
    <w:rsid w:val="4C544FFD"/>
    <w:rsid w:val="4C69AD5E"/>
    <w:rsid w:val="4C9861A8"/>
    <w:rsid w:val="4CBD5854"/>
    <w:rsid w:val="4CC1EB23"/>
    <w:rsid w:val="4CEC134F"/>
    <w:rsid w:val="4CF0AA53"/>
    <w:rsid w:val="4D855188"/>
    <w:rsid w:val="4DFE9288"/>
    <w:rsid w:val="4E1F7B8A"/>
    <w:rsid w:val="4E430B94"/>
    <w:rsid w:val="4E4C53C1"/>
    <w:rsid w:val="4E500ADF"/>
    <w:rsid w:val="4E8CC118"/>
    <w:rsid w:val="4EFC4F59"/>
    <w:rsid w:val="4F56FB30"/>
    <w:rsid w:val="4FBFC9CA"/>
    <w:rsid w:val="4FECC580"/>
    <w:rsid w:val="4FFF0988"/>
    <w:rsid w:val="50061796"/>
    <w:rsid w:val="50096D1A"/>
    <w:rsid w:val="501584F8"/>
    <w:rsid w:val="50419056"/>
    <w:rsid w:val="506F80D0"/>
    <w:rsid w:val="50826216"/>
    <w:rsid w:val="50A29EC9"/>
    <w:rsid w:val="50CBE336"/>
    <w:rsid w:val="50FEF022"/>
    <w:rsid w:val="5118F90F"/>
    <w:rsid w:val="5140920C"/>
    <w:rsid w:val="51A8B9F5"/>
    <w:rsid w:val="51D10869"/>
    <w:rsid w:val="51DBA326"/>
    <w:rsid w:val="51EC093F"/>
    <w:rsid w:val="51F22978"/>
    <w:rsid w:val="52173FE1"/>
    <w:rsid w:val="5217BAD5"/>
    <w:rsid w:val="52207C1E"/>
    <w:rsid w:val="5238DF13"/>
    <w:rsid w:val="52E0ECC0"/>
    <w:rsid w:val="530DD3A2"/>
    <w:rsid w:val="5339C0E8"/>
    <w:rsid w:val="5347C2B5"/>
    <w:rsid w:val="538B4BCA"/>
    <w:rsid w:val="53CBD84C"/>
    <w:rsid w:val="5419D86C"/>
    <w:rsid w:val="541DF441"/>
    <w:rsid w:val="54220FC0"/>
    <w:rsid w:val="544A8FB5"/>
    <w:rsid w:val="545789B1"/>
    <w:rsid w:val="545C38C2"/>
    <w:rsid w:val="54870009"/>
    <w:rsid w:val="54CC68E9"/>
    <w:rsid w:val="54CF9E6C"/>
    <w:rsid w:val="54F612B6"/>
    <w:rsid w:val="55242382"/>
    <w:rsid w:val="5579D31B"/>
    <w:rsid w:val="55A3FC70"/>
    <w:rsid w:val="55B2397B"/>
    <w:rsid w:val="55DC6E6E"/>
    <w:rsid w:val="55DEA108"/>
    <w:rsid w:val="55E6DCE5"/>
    <w:rsid w:val="561C6DC0"/>
    <w:rsid w:val="565EE57A"/>
    <w:rsid w:val="565F43CE"/>
    <w:rsid w:val="5666EA63"/>
    <w:rsid w:val="56A1BD6F"/>
    <w:rsid w:val="56D761F7"/>
    <w:rsid w:val="57278427"/>
    <w:rsid w:val="57A0F33C"/>
    <w:rsid w:val="57DE3101"/>
    <w:rsid w:val="5802674F"/>
    <w:rsid w:val="58088CAD"/>
    <w:rsid w:val="583C6188"/>
    <w:rsid w:val="58403835"/>
    <w:rsid w:val="58596FC1"/>
    <w:rsid w:val="586EA959"/>
    <w:rsid w:val="58ADA540"/>
    <w:rsid w:val="58B16025"/>
    <w:rsid w:val="58B9F9AD"/>
    <w:rsid w:val="58CEC691"/>
    <w:rsid w:val="58E1963F"/>
    <w:rsid w:val="58EEF51E"/>
    <w:rsid w:val="5A03DFAF"/>
    <w:rsid w:val="5A70EAB9"/>
    <w:rsid w:val="5AEBF9A8"/>
    <w:rsid w:val="5B0CAC87"/>
    <w:rsid w:val="5B14A882"/>
    <w:rsid w:val="5BB1E4CB"/>
    <w:rsid w:val="5BE96B41"/>
    <w:rsid w:val="5BEA6D30"/>
    <w:rsid w:val="5C0F60E4"/>
    <w:rsid w:val="5C1AE4C8"/>
    <w:rsid w:val="5C398458"/>
    <w:rsid w:val="5C47A21F"/>
    <w:rsid w:val="5C497770"/>
    <w:rsid w:val="5C7A2ADE"/>
    <w:rsid w:val="5D08F29E"/>
    <w:rsid w:val="5D374981"/>
    <w:rsid w:val="5D41918E"/>
    <w:rsid w:val="5D56AED6"/>
    <w:rsid w:val="5D791FE5"/>
    <w:rsid w:val="5E017ECB"/>
    <w:rsid w:val="5E4D93ED"/>
    <w:rsid w:val="5EB5C447"/>
    <w:rsid w:val="5EF08F11"/>
    <w:rsid w:val="5F62DD20"/>
    <w:rsid w:val="5F65F82C"/>
    <w:rsid w:val="5F81721D"/>
    <w:rsid w:val="5F84DB30"/>
    <w:rsid w:val="5FE0429E"/>
    <w:rsid w:val="6023BB6A"/>
    <w:rsid w:val="6029626A"/>
    <w:rsid w:val="602E6980"/>
    <w:rsid w:val="6045EF99"/>
    <w:rsid w:val="6049A288"/>
    <w:rsid w:val="60625F61"/>
    <w:rsid w:val="6086C3FA"/>
    <w:rsid w:val="609EDA7C"/>
    <w:rsid w:val="60B222E7"/>
    <w:rsid w:val="60C746AA"/>
    <w:rsid w:val="6101F108"/>
    <w:rsid w:val="61262618"/>
    <w:rsid w:val="61695E69"/>
    <w:rsid w:val="61CD874A"/>
    <w:rsid w:val="6223A16D"/>
    <w:rsid w:val="6278F0EC"/>
    <w:rsid w:val="629845F8"/>
    <w:rsid w:val="62A62335"/>
    <w:rsid w:val="62AF756C"/>
    <w:rsid w:val="62E44E2C"/>
    <w:rsid w:val="62F63B63"/>
    <w:rsid w:val="62F7FD14"/>
    <w:rsid w:val="63209BD4"/>
    <w:rsid w:val="634E729D"/>
    <w:rsid w:val="63515D22"/>
    <w:rsid w:val="63BD3CA5"/>
    <w:rsid w:val="64644CD7"/>
    <w:rsid w:val="646DCAF7"/>
    <w:rsid w:val="6482FBDA"/>
    <w:rsid w:val="64A0FCC2"/>
    <w:rsid w:val="650879C5"/>
    <w:rsid w:val="654CEA03"/>
    <w:rsid w:val="657515E2"/>
    <w:rsid w:val="65AB814B"/>
    <w:rsid w:val="65BB88EE"/>
    <w:rsid w:val="664BDADC"/>
    <w:rsid w:val="668168F8"/>
    <w:rsid w:val="66925ECB"/>
    <w:rsid w:val="66A8C427"/>
    <w:rsid w:val="66FB4142"/>
    <w:rsid w:val="6706151F"/>
    <w:rsid w:val="674F9A47"/>
    <w:rsid w:val="676F6861"/>
    <w:rsid w:val="67B269AF"/>
    <w:rsid w:val="67D4BD52"/>
    <w:rsid w:val="67DB4187"/>
    <w:rsid w:val="68281994"/>
    <w:rsid w:val="6850647F"/>
    <w:rsid w:val="68593E62"/>
    <w:rsid w:val="68D84184"/>
    <w:rsid w:val="68EAF8D2"/>
    <w:rsid w:val="68ED9D04"/>
    <w:rsid w:val="69067B86"/>
    <w:rsid w:val="69435B5C"/>
    <w:rsid w:val="699C400F"/>
    <w:rsid w:val="69A5AFE1"/>
    <w:rsid w:val="69EACCD1"/>
    <w:rsid w:val="69F50EC3"/>
    <w:rsid w:val="6A061D6D"/>
    <w:rsid w:val="6A204EEE"/>
    <w:rsid w:val="6A3ADD9E"/>
    <w:rsid w:val="6A47D2FF"/>
    <w:rsid w:val="6AF0C460"/>
    <w:rsid w:val="6AFFA7B4"/>
    <w:rsid w:val="6B5B1C83"/>
    <w:rsid w:val="6B82482B"/>
    <w:rsid w:val="6BA2EBDC"/>
    <w:rsid w:val="6BA34524"/>
    <w:rsid w:val="6BA8A2DC"/>
    <w:rsid w:val="6BC1F6C9"/>
    <w:rsid w:val="6BE42AFF"/>
    <w:rsid w:val="6BF45673"/>
    <w:rsid w:val="6C34CD1F"/>
    <w:rsid w:val="6C92E9C3"/>
    <w:rsid w:val="6C9A7EE7"/>
    <w:rsid w:val="6CDD6349"/>
    <w:rsid w:val="6D17F708"/>
    <w:rsid w:val="6D4EDD99"/>
    <w:rsid w:val="6D59C45A"/>
    <w:rsid w:val="6DB4D6FB"/>
    <w:rsid w:val="6DD3873C"/>
    <w:rsid w:val="6DE4DFCD"/>
    <w:rsid w:val="6E2CEEE6"/>
    <w:rsid w:val="6E31A1D5"/>
    <w:rsid w:val="6E33B835"/>
    <w:rsid w:val="6E625B1E"/>
    <w:rsid w:val="6E67FC9B"/>
    <w:rsid w:val="6EBB193C"/>
    <w:rsid w:val="6ECB6D7D"/>
    <w:rsid w:val="6F470E2B"/>
    <w:rsid w:val="6FAAADA4"/>
    <w:rsid w:val="6FDA6BEB"/>
    <w:rsid w:val="7011CEB0"/>
    <w:rsid w:val="7013E9E1"/>
    <w:rsid w:val="70220659"/>
    <w:rsid w:val="7022621B"/>
    <w:rsid w:val="70645047"/>
    <w:rsid w:val="70B46487"/>
    <w:rsid w:val="70D242F7"/>
    <w:rsid w:val="710FEFF2"/>
    <w:rsid w:val="712C0AEA"/>
    <w:rsid w:val="71756726"/>
    <w:rsid w:val="71832CCC"/>
    <w:rsid w:val="71A11A63"/>
    <w:rsid w:val="71CB8C3A"/>
    <w:rsid w:val="71E6F84B"/>
    <w:rsid w:val="720CF967"/>
    <w:rsid w:val="720DB222"/>
    <w:rsid w:val="72449568"/>
    <w:rsid w:val="727F3C4A"/>
    <w:rsid w:val="72930A12"/>
    <w:rsid w:val="7329B9C6"/>
    <w:rsid w:val="735FFE03"/>
    <w:rsid w:val="738792DE"/>
    <w:rsid w:val="738E834A"/>
    <w:rsid w:val="73C64A23"/>
    <w:rsid w:val="741116AD"/>
    <w:rsid w:val="7423A35F"/>
    <w:rsid w:val="7454EBA6"/>
    <w:rsid w:val="7474E2C7"/>
    <w:rsid w:val="74FA54CD"/>
    <w:rsid w:val="75024703"/>
    <w:rsid w:val="7535F733"/>
    <w:rsid w:val="75BED435"/>
    <w:rsid w:val="7607C199"/>
    <w:rsid w:val="7635DCEA"/>
    <w:rsid w:val="76589E93"/>
    <w:rsid w:val="76DECDEB"/>
    <w:rsid w:val="77078409"/>
    <w:rsid w:val="77085089"/>
    <w:rsid w:val="773E5D18"/>
    <w:rsid w:val="7747BC50"/>
    <w:rsid w:val="7747E5BD"/>
    <w:rsid w:val="77581FB7"/>
    <w:rsid w:val="777031C1"/>
    <w:rsid w:val="77B725E2"/>
    <w:rsid w:val="77ECBE63"/>
    <w:rsid w:val="77EF9B29"/>
    <w:rsid w:val="78357DF5"/>
    <w:rsid w:val="78C17498"/>
    <w:rsid w:val="78E63AC4"/>
    <w:rsid w:val="791D5347"/>
    <w:rsid w:val="791D8D88"/>
    <w:rsid w:val="7933E99E"/>
    <w:rsid w:val="7939AA7A"/>
    <w:rsid w:val="793FAFAF"/>
    <w:rsid w:val="79826EC7"/>
    <w:rsid w:val="798CB1A0"/>
    <w:rsid w:val="79B0AE83"/>
    <w:rsid w:val="79B6B43F"/>
    <w:rsid w:val="79BAF66A"/>
    <w:rsid w:val="7A513FB3"/>
    <w:rsid w:val="7A792132"/>
    <w:rsid w:val="7A8205CB"/>
    <w:rsid w:val="7A90F876"/>
    <w:rsid w:val="7A91F99B"/>
    <w:rsid w:val="7AC522B2"/>
    <w:rsid w:val="7AF10AE9"/>
    <w:rsid w:val="7B1CBDFC"/>
    <w:rsid w:val="7B4B696B"/>
    <w:rsid w:val="7B7F9CE5"/>
    <w:rsid w:val="7BAECB76"/>
    <w:rsid w:val="7BB4C73D"/>
    <w:rsid w:val="7BD55618"/>
    <w:rsid w:val="7BDEB8FD"/>
    <w:rsid w:val="7C74DD14"/>
    <w:rsid w:val="7C9C930E"/>
    <w:rsid w:val="7D1C7A42"/>
    <w:rsid w:val="7D231E37"/>
    <w:rsid w:val="7D77B367"/>
    <w:rsid w:val="7DAA6706"/>
    <w:rsid w:val="7DB5B865"/>
    <w:rsid w:val="7E197CE2"/>
    <w:rsid w:val="7E5F9E7A"/>
    <w:rsid w:val="7E666461"/>
    <w:rsid w:val="7ED8FD4B"/>
    <w:rsid w:val="7F132224"/>
    <w:rsid w:val="7F58D9F0"/>
    <w:rsid w:val="7F5BB47F"/>
    <w:rsid w:val="7F5FB65B"/>
    <w:rsid w:val="7F732A6B"/>
    <w:rsid w:val="7FACF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31181B"/>
  <w15:chartTrackingRefBased/>
  <w15:docId w15:val="{0CA256B8-59F4-42E5-A633-3119C0B8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7F"/>
  </w:style>
  <w:style w:type="paragraph" w:styleId="Heading1">
    <w:name w:val="heading 1"/>
    <w:basedOn w:val="Normal"/>
    <w:next w:val="Normal"/>
    <w:link w:val="Heading1Char"/>
    <w:uiPriority w:val="9"/>
    <w:qFormat/>
    <w:rsid w:val="0003407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3407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340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340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0340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0340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0340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0340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0340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7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3407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3407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03407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03407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03407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03407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03407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03407F"/>
    <w:rPr>
      <w:rFonts w:asciiTheme="majorHAnsi" w:eastAsiaTheme="majorEastAsia" w:hAnsiTheme="majorHAnsi" w:cstheme="majorBidi"/>
      <w:i/>
      <w:iCs/>
      <w:color w:val="1F4E79" w:themeColor="accent1" w:themeShade="80"/>
    </w:rPr>
  </w:style>
  <w:style w:type="character" w:customStyle="1" w:styleId="Marker">
    <w:name w:val="Marker"/>
    <w:basedOn w:val="DefaultParagraphFont"/>
    <w:rsid w:val="00A44A15"/>
    <w:rPr>
      <w:color w:val="0000FF"/>
      <w:shd w:val="clear" w:color="auto" w:fill="auto"/>
    </w:rPr>
  </w:style>
  <w:style w:type="paragraph" w:customStyle="1" w:styleId="Pagedecouverture">
    <w:name w:val="Page de couverture"/>
    <w:basedOn w:val="Normal"/>
    <w:next w:val="Normal"/>
    <w:rsid w:val="00A44A1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A44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A15"/>
    <w:rPr>
      <w:lang w:val="de-DE"/>
    </w:rPr>
  </w:style>
  <w:style w:type="paragraph" w:styleId="Footer">
    <w:name w:val="footer"/>
    <w:basedOn w:val="Normal"/>
    <w:link w:val="FooterChar"/>
    <w:uiPriority w:val="99"/>
    <w:unhideWhenUsed/>
    <w:rsid w:val="00A44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A15"/>
    <w:rPr>
      <w:lang w:val="de-DE"/>
    </w:rPr>
  </w:style>
  <w:style w:type="paragraph" w:customStyle="1" w:styleId="FooterCoverPage">
    <w:name w:val="Footer Cover Page"/>
    <w:basedOn w:val="Normal"/>
    <w:link w:val="FooterCoverPageChar"/>
    <w:rsid w:val="00A44A1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44A15"/>
    <w:rPr>
      <w:rFonts w:ascii="Times New Roman" w:hAnsi="Times New Roman" w:cs="Times New Roman"/>
      <w:sz w:val="24"/>
    </w:rPr>
  </w:style>
  <w:style w:type="paragraph" w:customStyle="1" w:styleId="FooterSensitivity">
    <w:name w:val="Footer Sensitivity"/>
    <w:basedOn w:val="Normal"/>
    <w:link w:val="FooterSensitivityChar"/>
    <w:rsid w:val="00A44A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44A15"/>
    <w:rPr>
      <w:rFonts w:ascii="Times New Roman" w:hAnsi="Times New Roman" w:cs="Times New Roman"/>
      <w:b/>
      <w:sz w:val="32"/>
    </w:rPr>
  </w:style>
  <w:style w:type="paragraph" w:customStyle="1" w:styleId="HeaderCoverPage">
    <w:name w:val="Header Cover Page"/>
    <w:basedOn w:val="Normal"/>
    <w:link w:val="HeaderCoverPageChar"/>
    <w:rsid w:val="00A44A1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44A15"/>
    <w:rPr>
      <w:rFonts w:ascii="Times New Roman" w:hAnsi="Times New Roman" w:cs="Times New Roman"/>
      <w:sz w:val="24"/>
    </w:rPr>
  </w:style>
  <w:style w:type="paragraph" w:customStyle="1" w:styleId="HeaderSensitivity">
    <w:name w:val="Header Sensitivity"/>
    <w:basedOn w:val="Normal"/>
    <w:link w:val="HeaderSensitivityChar"/>
    <w:rsid w:val="00A44A1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44A15"/>
    <w:rPr>
      <w:rFonts w:ascii="Times New Roman" w:hAnsi="Times New Roman" w:cs="Times New Roman"/>
      <w:b/>
      <w:sz w:val="32"/>
    </w:rPr>
  </w:style>
  <w:style w:type="paragraph" w:customStyle="1" w:styleId="HeaderSensitivityRight">
    <w:name w:val="Header Sensitivity Right"/>
    <w:basedOn w:val="Normal"/>
    <w:link w:val="HeaderSensitivityRightChar"/>
    <w:rsid w:val="00A44A1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44A15"/>
    <w:rPr>
      <w:rFonts w:ascii="Times New Roman" w:hAnsi="Times New Roman" w:cs="Times New Roman"/>
      <w:sz w:val="28"/>
    </w:rPr>
  </w:style>
  <w:style w:type="character" w:styleId="Hyperlink">
    <w:name w:val="Hyperlink"/>
    <w:basedOn w:val="DefaultParagraphFont"/>
    <w:uiPriority w:val="99"/>
    <w:rsid w:val="00A44A15"/>
    <w:rPr>
      <w:color w:val="0000FF"/>
      <w:u w:val="single"/>
    </w:rPr>
  </w:style>
  <w:style w:type="paragraph" w:customStyle="1" w:styleId="Text1">
    <w:name w:val="Text 1"/>
    <w:basedOn w:val="Normal"/>
    <w:link w:val="Text1Char"/>
    <w:rsid w:val="00A44A15"/>
    <w:pPr>
      <w:spacing w:before="120" w:after="120" w:line="240" w:lineRule="auto"/>
      <w:ind w:left="850"/>
      <w:jc w:val="both"/>
    </w:pPr>
    <w:rPr>
      <w:rFonts w:ascii="Times New Roman" w:eastAsia="MS PGothic" w:hAnsi="Times New Roman" w:cs="Times New Roman"/>
      <w:noProof/>
      <w:sz w:val="24"/>
      <w:szCs w:val="24"/>
    </w:rPr>
  </w:style>
  <w:style w:type="paragraph" w:customStyle="1" w:styleId="Annexetitre">
    <w:name w:val="Annexe tit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rsid w:val="00A44A1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A44A15"/>
    <w:rPr>
      <w:rFonts w:ascii="Tahoma" w:eastAsia="Times New Roman" w:hAnsi="Tahoma" w:cs="Tahoma"/>
      <w:sz w:val="16"/>
      <w:szCs w:val="16"/>
      <w:lang w:val="de-DE" w:eastAsia="en-GB"/>
    </w:rPr>
  </w:style>
  <w:style w:type="paragraph" w:styleId="FootnoteText">
    <w:name w:val="footnote text"/>
    <w:basedOn w:val="Normal"/>
    <w:link w:val="FootnoteTextChar"/>
    <w:rsid w:val="00A44A15"/>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44A15"/>
    <w:rPr>
      <w:rFonts w:ascii="Times New Roman" w:eastAsia="Times New Roman" w:hAnsi="Times New Roman" w:cs="Times New Roman"/>
      <w:sz w:val="20"/>
      <w:szCs w:val="20"/>
      <w:lang w:val="de-DE"/>
    </w:rPr>
  </w:style>
  <w:style w:type="paragraph" w:styleId="TOC1">
    <w:name w:val="toc 1"/>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rsid w:val="00A44A15"/>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rsid w:val="00A44A15"/>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rsid w:val="00A44A15"/>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rsid w:val="00A44A15"/>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rsid w:val="00A44A15"/>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rsid w:val="00A44A15"/>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rsid w:val="00A44A15"/>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FootnoteReference">
    <w:name w:val="footnote reference"/>
    <w:basedOn w:val="DefaultParagraphFont"/>
    <w:rsid w:val="00A44A15"/>
    <w:rPr>
      <w:shd w:val="clear" w:color="auto" w:fill="auto"/>
      <w:vertAlign w:val="superscript"/>
    </w:rPr>
  </w:style>
  <w:style w:type="paragraph" w:customStyle="1" w:styleId="Text2">
    <w:name w:val="Text 2"/>
    <w:basedOn w:val="Normal"/>
    <w:rsid w:val="00A44A15"/>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rsid w:val="00A44A15"/>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rsid w:val="00A44A15"/>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rsid w:val="00A44A15"/>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rsid w:val="00A44A15"/>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rsid w:val="00A44A15"/>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rsid w:val="00A44A15"/>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rsid w:val="00A44A15"/>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rsid w:val="00A44A15"/>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rsid w:val="00A44A15"/>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rsid w:val="00A44A15"/>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rsid w:val="00A44A15"/>
    <w:pPr>
      <w:numPr>
        <w:numId w:val="4"/>
      </w:numPr>
    </w:pPr>
  </w:style>
  <w:style w:type="paragraph" w:customStyle="1" w:styleId="Tiret1">
    <w:name w:val="Tiret 1"/>
    <w:basedOn w:val="Point1"/>
    <w:rsid w:val="00A44A15"/>
    <w:pPr>
      <w:numPr>
        <w:numId w:val="5"/>
      </w:numPr>
    </w:pPr>
  </w:style>
  <w:style w:type="paragraph" w:customStyle="1" w:styleId="Tiret2">
    <w:name w:val="Tiret 2"/>
    <w:basedOn w:val="Point2"/>
    <w:rsid w:val="00A44A15"/>
    <w:pPr>
      <w:numPr>
        <w:numId w:val="6"/>
      </w:numPr>
    </w:pPr>
  </w:style>
  <w:style w:type="paragraph" w:customStyle="1" w:styleId="Tiret3">
    <w:name w:val="Tiret 3"/>
    <w:basedOn w:val="Point3"/>
    <w:rsid w:val="00A44A15"/>
    <w:pPr>
      <w:numPr>
        <w:numId w:val="7"/>
      </w:numPr>
    </w:pPr>
  </w:style>
  <w:style w:type="paragraph" w:customStyle="1" w:styleId="Tiret4">
    <w:name w:val="Tiret 4"/>
    <w:basedOn w:val="Point4"/>
    <w:rsid w:val="00A44A15"/>
    <w:pPr>
      <w:numPr>
        <w:numId w:val="8"/>
      </w:numPr>
    </w:pPr>
  </w:style>
  <w:style w:type="paragraph" w:customStyle="1" w:styleId="PointDouble0">
    <w:name w:val="PointDouble 0"/>
    <w:basedOn w:val="Normal"/>
    <w:rsid w:val="00A44A15"/>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rsid w:val="00A44A15"/>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rsid w:val="00A44A15"/>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rsid w:val="00A44A15"/>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rsid w:val="00A44A15"/>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rsid w:val="00A44A15"/>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rsid w:val="00A44A15"/>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rsid w:val="00A44A15"/>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rsid w:val="00A44A15"/>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rsid w:val="00A44A15"/>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rsid w:val="00A44A15"/>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rsid w:val="00A44A15"/>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rsid w:val="00A44A15"/>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rsid w:val="00A44A15"/>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rsid w:val="00A44A15"/>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rsid w:val="00A44A15"/>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rsid w:val="00A44A15"/>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rsid w:val="00A44A15"/>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rsid w:val="00A44A15"/>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rsid w:val="00A44A15"/>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rsid w:val="00A44A15"/>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rsid w:val="00A44A15"/>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rsid w:val="00A44A15"/>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sid w:val="00A44A15"/>
    <w:rPr>
      <w:color w:val="008000"/>
      <w:shd w:val="clear" w:color="auto" w:fill="auto"/>
    </w:rPr>
  </w:style>
  <w:style w:type="character" w:customStyle="1" w:styleId="Marker2">
    <w:name w:val="Marker2"/>
    <w:rsid w:val="00A44A15"/>
    <w:rPr>
      <w:color w:val="FF0000"/>
      <w:shd w:val="clear" w:color="auto" w:fill="auto"/>
    </w:rPr>
  </w:style>
  <w:style w:type="paragraph" w:styleId="TOCHeading">
    <w:name w:val="TOC Heading"/>
    <w:basedOn w:val="Heading1"/>
    <w:next w:val="Normal"/>
    <w:uiPriority w:val="39"/>
    <w:unhideWhenUsed/>
    <w:qFormat/>
    <w:rsid w:val="0003407F"/>
    <w:pPr>
      <w:outlineLvl w:val="9"/>
    </w:pPr>
  </w:style>
  <w:style w:type="paragraph" w:customStyle="1" w:styleId="Point0number">
    <w:name w:val="Point 0 (number)"/>
    <w:basedOn w:val="Normal"/>
    <w:rsid w:val="00A44A15"/>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rsid w:val="00A44A15"/>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rsid w:val="00A44A15"/>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rsid w:val="00A44A15"/>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rsid w:val="00A44A15"/>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rsid w:val="00A44A15"/>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rsid w:val="00A44A15"/>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A44A15"/>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rsid w:val="00A44A15"/>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rsid w:val="00A44A15"/>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rsid w:val="00A44A15"/>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rsid w:val="00A44A15"/>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rsid w:val="00A44A15"/>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rsid w:val="00A44A15"/>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rsid w:val="00A44A15"/>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rsid w:val="00A44A15"/>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rsid w:val="00A44A15"/>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rsid w:val="00A44A15"/>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rsid w:val="00A44A15"/>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rsid w:val="00A44A15"/>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rsid w:val="00A44A15"/>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rsid w:val="00A44A15"/>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rsid w:val="00A44A15"/>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rsid w:val="00A44A15"/>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rsid w:val="00A44A15"/>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rsid w:val="00A44A15"/>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rsid w:val="00A44A15"/>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rsid w:val="00A44A15"/>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rsid w:val="00A44A15"/>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rsid w:val="00A44A15"/>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rsid w:val="00A44A15"/>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rsid w:val="00A44A15"/>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rsid w:val="00A44A15"/>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rsid w:val="00A44A15"/>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rsid w:val="00A44A15"/>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rsid w:val="00A44A15"/>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rsid w:val="00A44A15"/>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rsid w:val="00A44A15"/>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sid w:val="00A44A15"/>
    <w:rPr>
      <w:b/>
      <w:u w:val="single"/>
      <w:shd w:val="clear" w:color="auto" w:fill="auto"/>
    </w:rPr>
  </w:style>
  <w:style w:type="character" w:customStyle="1" w:styleId="Deleted">
    <w:name w:val="Deleted"/>
    <w:rsid w:val="00A44A15"/>
    <w:rPr>
      <w:strike/>
      <w:shd w:val="clear" w:color="auto" w:fill="auto"/>
    </w:rPr>
  </w:style>
  <w:style w:type="paragraph" w:customStyle="1" w:styleId="Address">
    <w:name w:val="Address"/>
    <w:basedOn w:val="Normal"/>
    <w:next w:val="Normal"/>
    <w:rsid w:val="00A44A15"/>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rsid w:val="00A44A15"/>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rsid w:val="00A44A15"/>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rsid w:val="00A44A15"/>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rsid w:val="00A44A15"/>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rsid w:val="00A44A15"/>
  </w:style>
  <w:style w:type="paragraph" w:customStyle="1" w:styleId="RfrenceinterinstitutionnellePagedecouverture">
    <w:name w:val="Référence interinstitutionnelle (Page de couverture)"/>
    <w:basedOn w:val="Rfrenceinterinstitutionnelle"/>
    <w:next w:val="Confidentialit"/>
    <w:rsid w:val="00A44A15"/>
  </w:style>
  <w:style w:type="paragraph" w:customStyle="1" w:styleId="Sous-titreobjetPagedecouverture">
    <w:name w:val="Sous-titre objet (Page de couverture)"/>
    <w:basedOn w:val="Sous-titreobjet"/>
    <w:rsid w:val="00A44A15"/>
  </w:style>
  <w:style w:type="paragraph" w:customStyle="1" w:styleId="StatutPagedecouverture">
    <w:name w:val="Statut (Page de couverture)"/>
    <w:basedOn w:val="Statut"/>
    <w:next w:val="TypedudocumentPagedecouverture"/>
    <w:rsid w:val="00A44A15"/>
  </w:style>
  <w:style w:type="paragraph" w:customStyle="1" w:styleId="TitreobjetPagedecouverture">
    <w:name w:val="Titre objet (Page de couverture)"/>
    <w:basedOn w:val="Titreobjet"/>
    <w:next w:val="Sous-titreobjetPagedecouverture"/>
    <w:rsid w:val="00A44A15"/>
  </w:style>
  <w:style w:type="paragraph" w:customStyle="1" w:styleId="TypedudocumentPagedecouverture">
    <w:name w:val="Type du document (Page de couverture)"/>
    <w:basedOn w:val="Typedudocument"/>
    <w:next w:val="TitreobjetPagedecouverture"/>
    <w:rsid w:val="00A44A15"/>
  </w:style>
  <w:style w:type="paragraph" w:customStyle="1" w:styleId="Volume">
    <w:name w:val="Volume"/>
    <w:basedOn w:val="Normal"/>
    <w:next w:val="Confidentialit"/>
    <w:rsid w:val="00A44A15"/>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rsid w:val="00A44A15"/>
    <w:pPr>
      <w:spacing w:after="240"/>
    </w:pPr>
  </w:style>
  <w:style w:type="paragraph" w:customStyle="1" w:styleId="Accompagnant">
    <w:name w:val="Accompagnant"/>
    <w:basedOn w:val="Normal"/>
    <w:next w:val="Typeacteprincipal"/>
    <w:rsid w:val="00A44A15"/>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rsid w:val="00A44A15"/>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rsid w:val="00A44A15"/>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rsid w:val="00A44A15"/>
  </w:style>
  <w:style w:type="paragraph" w:customStyle="1" w:styleId="AccompagnantPagedecouverture">
    <w:name w:val="Accompagnant (Page de couverture)"/>
    <w:basedOn w:val="Accompagnant"/>
    <w:next w:val="TypeacteprincipalPagedecouverture"/>
    <w:rsid w:val="00A44A15"/>
  </w:style>
  <w:style w:type="paragraph" w:customStyle="1" w:styleId="TypeacteprincipalPagedecouverture">
    <w:name w:val="Type acte principal (Page de couverture)"/>
    <w:basedOn w:val="Typeacteprincipal"/>
    <w:next w:val="ObjetacteprincipalPagedecouverture"/>
    <w:rsid w:val="00A44A15"/>
  </w:style>
  <w:style w:type="paragraph" w:customStyle="1" w:styleId="ObjetacteprincipalPagedecouverture">
    <w:name w:val="Objet acte principal (Page de couverture)"/>
    <w:basedOn w:val="Objetacteprincipal"/>
    <w:next w:val="Rfrencecroise"/>
    <w:rsid w:val="00A44A15"/>
  </w:style>
  <w:style w:type="paragraph" w:customStyle="1" w:styleId="LanguesfaisantfoiPagedecouverture">
    <w:name w:val="Langues faisant foi (Page de couverture)"/>
    <w:basedOn w:val="Normal"/>
    <w:next w:val="Normal"/>
    <w:rsid w:val="00A44A15"/>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uiPriority w:val="99"/>
    <w:rsid w:val="00A44A15"/>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uiPriority w:val="99"/>
    <w:rsid w:val="00A44A15"/>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uiPriority w:val="99"/>
    <w:rsid w:val="00A44A15"/>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uiPriority w:val="99"/>
    <w:rsid w:val="00A44A15"/>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styleId="ListNumber">
    <w:name w:val="List Number"/>
    <w:basedOn w:val="Normal"/>
    <w:uiPriority w:val="99"/>
    <w:rsid w:val="00A44A15"/>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uiPriority w:val="99"/>
    <w:rsid w:val="00A44A15"/>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uiPriority w:val="99"/>
    <w:rsid w:val="00A44A15"/>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uiPriority w:val="99"/>
    <w:rsid w:val="00A44A15"/>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rsid w:val="00A44A15"/>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rsid w:val="00A44A15"/>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rsid w:val="00A44A15"/>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rsid w:val="00A44A15"/>
    <w:pPr>
      <w:numPr>
        <w:numId w:val="3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rsid w:val="00A44A15"/>
    <w:pPr>
      <w:numPr>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rsid w:val="00A44A15"/>
    <w:pPr>
      <w:numPr>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rsid w:val="00A44A15"/>
    <w:pPr>
      <w:numPr>
        <w:numId w:val="19"/>
      </w:numPr>
      <w:tabs>
        <w:tab w:val="clear" w:pos="1560"/>
        <w:tab w:val="num" w:pos="360"/>
      </w:tabs>
      <w:ind w:left="850" w:firstLine="0"/>
    </w:pPr>
    <w:rPr>
      <w:lang w:eastAsia="de-DE"/>
    </w:rPr>
  </w:style>
  <w:style w:type="paragraph" w:customStyle="1" w:styleId="ListNumberLevel2">
    <w:name w:val="List Number (Level 2)"/>
    <w:basedOn w:val="Normal"/>
    <w:rsid w:val="00A44A15"/>
    <w:pPr>
      <w:numPr>
        <w:ilvl w:val="1"/>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rsid w:val="00A44A15"/>
    <w:pPr>
      <w:numPr>
        <w:ilvl w:val="1"/>
        <w:numId w:val="19"/>
      </w:numPr>
      <w:tabs>
        <w:tab w:val="clear" w:pos="2268"/>
        <w:tab w:val="num" w:pos="360"/>
      </w:tabs>
      <w:ind w:left="850" w:firstLine="0"/>
    </w:pPr>
    <w:rPr>
      <w:lang w:eastAsia="de-DE"/>
    </w:rPr>
  </w:style>
  <w:style w:type="paragraph" w:customStyle="1" w:styleId="ListNumber2Level2">
    <w:name w:val="List Number 2 (Level 2)"/>
    <w:basedOn w:val="Text2"/>
    <w:rsid w:val="00A44A15"/>
    <w:pPr>
      <w:numPr>
        <w:ilvl w:val="1"/>
        <w:numId w:val="20"/>
      </w:numPr>
    </w:pPr>
    <w:rPr>
      <w:lang w:eastAsia="de-DE"/>
    </w:rPr>
  </w:style>
  <w:style w:type="paragraph" w:customStyle="1" w:styleId="ListNumber3Level2">
    <w:name w:val="List Number 3 (Level 2)"/>
    <w:basedOn w:val="Text3"/>
    <w:rsid w:val="00A44A15"/>
    <w:pPr>
      <w:numPr>
        <w:ilvl w:val="1"/>
        <w:numId w:val="21"/>
      </w:numPr>
    </w:pPr>
    <w:rPr>
      <w:lang w:eastAsia="de-DE"/>
    </w:rPr>
  </w:style>
  <w:style w:type="paragraph" w:customStyle="1" w:styleId="ListNumber4Level2">
    <w:name w:val="List Number 4 (Level 2)"/>
    <w:basedOn w:val="Text4"/>
    <w:rsid w:val="00A44A15"/>
    <w:pPr>
      <w:numPr>
        <w:ilvl w:val="1"/>
        <w:numId w:val="22"/>
      </w:numPr>
    </w:pPr>
    <w:rPr>
      <w:lang w:eastAsia="de-DE"/>
    </w:rPr>
  </w:style>
  <w:style w:type="paragraph" w:customStyle="1" w:styleId="ListNumberLevel3">
    <w:name w:val="List Number (Level 3)"/>
    <w:basedOn w:val="Normal"/>
    <w:rsid w:val="00A44A15"/>
    <w:pPr>
      <w:numPr>
        <w:ilvl w:val="2"/>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rsid w:val="00A44A15"/>
    <w:pPr>
      <w:numPr>
        <w:ilvl w:val="2"/>
        <w:numId w:val="19"/>
      </w:numPr>
      <w:tabs>
        <w:tab w:val="clear" w:pos="2977"/>
        <w:tab w:val="num" w:pos="360"/>
      </w:tabs>
      <w:ind w:left="850" w:firstLine="0"/>
    </w:pPr>
    <w:rPr>
      <w:lang w:eastAsia="de-DE"/>
    </w:rPr>
  </w:style>
  <w:style w:type="paragraph" w:customStyle="1" w:styleId="ListNumber2Level3">
    <w:name w:val="List Number 2 (Level 3)"/>
    <w:basedOn w:val="Text2"/>
    <w:rsid w:val="00A44A15"/>
    <w:pPr>
      <w:numPr>
        <w:ilvl w:val="2"/>
        <w:numId w:val="20"/>
      </w:numPr>
    </w:pPr>
    <w:rPr>
      <w:lang w:eastAsia="de-DE"/>
    </w:rPr>
  </w:style>
  <w:style w:type="paragraph" w:customStyle="1" w:styleId="ListNumber3Level3">
    <w:name w:val="List Number 3 (Level 3)"/>
    <w:basedOn w:val="Text3"/>
    <w:rsid w:val="00A44A15"/>
    <w:pPr>
      <w:numPr>
        <w:ilvl w:val="2"/>
        <w:numId w:val="21"/>
      </w:numPr>
    </w:pPr>
    <w:rPr>
      <w:lang w:eastAsia="de-DE"/>
    </w:rPr>
  </w:style>
  <w:style w:type="paragraph" w:customStyle="1" w:styleId="ListNumber4Level3">
    <w:name w:val="List Number 4 (Level 3)"/>
    <w:basedOn w:val="Text4"/>
    <w:rsid w:val="00A44A15"/>
    <w:pPr>
      <w:numPr>
        <w:ilvl w:val="2"/>
        <w:numId w:val="22"/>
      </w:numPr>
    </w:pPr>
    <w:rPr>
      <w:lang w:eastAsia="de-DE"/>
    </w:rPr>
  </w:style>
  <w:style w:type="paragraph" w:customStyle="1" w:styleId="ListNumberLevel4">
    <w:name w:val="List Number (Level 4)"/>
    <w:basedOn w:val="Normal"/>
    <w:rsid w:val="00A44A15"/>
    <w:pPr>
      <w:numPr>
        <w:ilvl w:val="3"/>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rsid w:val="00A44A15"/>
    <w:pPr>
      <w:numPr>
        <w:ilvl w:val="3"/>
        <w:numId w:val="19"/>
      </w:numPr>
      <w:tabs>
        <w:tab w:val="clear" w:pos="3686"/>
        <w:tab w:val="num" w:pos="360"/>
      </w:tabs>
      <w:ind w:left="850" w:firstLine="0"/>
    </w:pPr>
    <w:rPr>
      <w:lang w:eastAsia="de-DE"/>
    </w:rPr>
  </w:style>
  <w:style w:type="paragraph" w:customStyle="1" w:styleId="ListNumber2Level4">
    <w:name w:val="List Number 2 (Level 4)"/>
    <w:basedOn w:val="Text2"/>
    <w:rsid w:val="00A44A15"/>
    <w:pPr>
      <w:numPr>
        <w:ilvl w:val="3"/>
        <w:numId w:val="20"/>
      </w:numPr>
    </w:pPr>
    <w:rPr>
      <w:lang w:eastAsia="de-DE"/>
    </w:rPr>
  </w:style>
  <w:style w:type="paragraph" w:customStyle="1" w:styleId="ListNumber3Level4">
    <w:name w:val="List Number 3 (Level 4)"/>
    <w:basedOn w:val="Text3"/>
    <w:rsid w:val="00A44A15"/>
    <w:pPr>
      <w:numPr>
        <w:ilvl w:val="3"/>
        <w:numId w:val="21"/>
      </w:numPr>
    </w:pPr>
    <w:rPr>
      <w:lang w:eastAsia="de-DE"/>
    </w:rPr>
  </w:style>
  <w:style w:type="paragraph" w:customStyle="1" w:styleId="ListNumber4Level4">
    <w:name w:val="List Number 4 (Level 4)"/>
    <w:basedOn w:val="Text4"/>
    <w:rsid w:val="00A44A15"/>
    <w:pPr>
      <w:numPr>
        <w:ilvl w:val="3"/>
        <w:numId w:val="22"/>
      </w:numPr>
    </w:pPr>
    <w:rPr>
      <w:lang w:eastAsia="de-DE"/>
    </w:rPr>
  </w:style>
  <w:style w:type="paragraph" w:customStyle="1" w:styleId="Rfrenceinterinstitutionelleprliminaire">
    <w:name w:val="Référence interinstitutionelle (préliminaire)"/>
    <w:basedOn w:val="Normal"/>
    <w:next w:val="Normal"/>
    <w:rsid w:val="00A44A15"/>
    <w:pPr>
      <w:spacing w:after="0" w:line="240" w:lineRule="auto"/>
      <w:ind w:left="5103"/>
    </w:pPr>
    <w:rPr>
      <w:rFonts w:ascii="Times New Roman" w:eastAsia="Times New Roman" w:hAnsi="Times New Roman" w:cs="Times New Roman"/>
      <w:sz w:val="24"/>
      <w:szCs w:val="24"/>
      <w:lang w:eastAsia="de-DE"/>
    </w:rPr>
  </w:style>
  <w:style w:type="paragraph" w:customStyle="1" w:styleId="Sous-titreobjetprliminaire">
    <w:name w:val="Sous-titre objet (préliminaire)"/>
    <w:basedOn w:val="Normal"/>
    <w:rsid w:val="00A44A15"/>
    <w:pPr>
      <w:spacing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al"/>
    <w:next w:val="Normal"/>
    <w:rsid w:val="00A44A15"/>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al"/>
    <w:next w:val="Normal"/>
    <w:rsid w:val="00A44A15"/>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al"/>
    <w:next w:val="Normal"/>
    <w:rsid w:val="00A44A15"/>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FichedimpactPMEtitre">
    <w:name w:val="Fiche d'impact PME titre"/>
    <w:basedOn w:val="Normal"/>
    <w:next w:val="Normal"/>
    <w:rsid w:val="00A44A15"/>
    <w:pPr>
      <w:spacing w:before="120" w:after="120" w:line="240" w:lineRule="auto"/>
      <w:jc w:val="center"/>
    </w:pPr>
    <w:rPr>
      <w:rFonts w:ascii="Times New Roman" w:eastAsia="Times New Roman" w:hAnsi="Times New Roman" w:cs="Times New Roman"/>
      <w:b/>
      <w:sz w:val="24"/>
      <w:szCs w:val="20"/>
      <w:lang w:eastAsia="zh-CN"/>
    </w:rPr>
  </w:style>
  <w:style w:type="paragraph" w:customStyle="1" w:styleId="Fichefinanciretextetable">
    <w:name w:val="Fiche financière texte (table)"/>
    <w:basedOn w:val="Normal"/>
    <w:rsid w:val="00A44A15"/>
    <w:pPr>
      <w:spacing w:after="0" w:line="240" w:lineRule="auto"/>
    </w:pPr>
    <w:rPr>
      <w:rFonts w:ascii="Times New Roman" w:eastAsia="Times New Roman" w:hAnsi="Times New Roman" w:cs="Times New Roman"/>
      <w:sz w:val="20"/>
      <w:szCs w:val="20"/>
      <w:lang w:eastAsia="zh-CN"/>
    </w:rPr>
  </w:style>
  <w:style w:type="paragraph" w:customStyle="1" w:styleId="Fichefinanciretitreactetable">
    <w:name w:val="Fiche financière titre (acte table)"/>
    <w:basedOn w:val="Normal"/>
    <w:next w:val="Normal"/>
    <w:rsid w:val="00A44A15"/>
    <w:pPr>
      <w:spacing w:before="120" w:after="120" w:line="240" w:lineRule="auto"/>
      <w:jc w:val="center"/>
    </w:pPr>
    <w:rPr>
      <w:rFonts w:ascii="Times New Roman" w:eastAsia="Times New Roman" w:hAnsi="Times New Roman" w:cs="Times New Roman"/>
      <w:b/>
      <w:sz w:val="40"/>
      <w:szCs w:val="20"/>
      <w:lang w:eastAsia="zh-CN"/>
    </w:rPr>
  </w:style>
  <w:style w:type="paragraph" w:customStyle="1" w:styleId="Fichefinanciretitretable">
    <w:name w:val="Fiche financière titre (table)"/>
    <w:basedOn w:val="Normal"/>
    <w:rsid w:val="00A44A15"/>
    <w:pPr>
      <w:spacing w:before="120" w:after="120" w:line="240" w:lineRule="auto"/>
      <w:jc w:val="center"/>
    </w:pPr>
    <w:rPr>
      <w:rFonts w:ascii="Times New Roman" w:eastAsia="Times New Roman" w:hAnsi="Times New Roman" w:cs="Times New Roman"/>
      <w:b/>
      <w:sz w:val="40"/>
      <w:szCs w:val="20"/>
      <w:lang w:eastAsia="zh-CN"/>
    </w:rPr>
  </w:style>
  <w:style w:type="character" w:styleId="PageNumber">
    <w:name w:val="page number"/>
    <w:basedOn w:val="DefaultParagraphFont"/>
    <w:uiPriority w:val="99"/>
    <w:rsid w:val="00A44A15"/>
    <w:rPr>
      <w:shd w:val="clear" w:color="auto" w:fill="auto"/>
    </w:rPr>
  </w:style>
  <w:style w:type="paragraph" w:styleId="ListBullet5">
    <w:name w:val="List Bullet 5"/>
    <w:basedOn w:val="Normal"/>
    <w:autoRedefine/>
    <w:uiPriority w:val="99"/>
    <w:rsid w:val="00A44A15"/>
    <w:pPr>
      <w:numPr>
        <w:numId w:val="2"/>
      </w:numPr>
      <w:tabs>
        <w:tab w:val="clear" w:pos="1492"/>
        <w:tab w:val="num" w:pos="360"/>
      </w:tabs>
      <w:spacing w:after="240" w:line="240" w:lineRule="auto"/>
      <w:ind w:left="360"/>
      <w:jc w:val="both"/>
    </w:pPr>
    <w:rPr>
      <w:rFonts w:ascii="Times New Roman" w:eastAsia="Times New Roman" w:hAnsi="Times New Roman" w:cs="Times New Roman"/>
      <w:sz w:val="24"/>
      <w:szCs w:val="20"/>
      <w:lang w:eastAsia="zh-CN"/>
    </w:rPr>
  </w:style>
  <w:style w:type="paragraph" w:styleId="ListNumber5">
    <w:name w:val="List Number 5"/>
    <w:basedOn w:val="Normal"/>
    <w:uiPriority w:val="99"/>
    <w:rsid w:val="00A44A15"/>
    <w:pPr>
      <w:numPr>
        <w:numId w:val="3"/>
      </w:numPr>
      <w:tabs>
        <w:tab w:val="clear" w:pos="1492"/>
        <w:tab w:val="num" w:pos="643"/>
      </w:tabs>
      <w:spacing w:after="240" w:line="240" w:lineRule="auto"/>
      <w:ind w:left="643"/>
      <w:jc w:val="both"/>
    </w:pPr>
    <w:rPr>
      <w:rFonts w:ascii="Times New Roman" w:eastAsia="Times New Roman" w:hAnsi="Times New Roman" w:cs="Times New Roman"/>
      <w:sz w:val="24"/>
      <w:szCs w:val="20"/>
      <w:lang w:eastAsia="zh-CN"/>
    </w:rPr>
  </w:style>
  <w:style w:type="paragraph" w:styleId="DocumentMap">
    <w:name w:val="Document Map"/>
    <w:basedOn w:val="Normal"/>
    <w:link w:val="DocumentMapChar"/>
    <w:uiPriority w:val="99"/>
    <w:rsid w:val="00A44A15"/>
    <w:pPr>
      <w:shd w:val="clear" w:color="auto" w:fill="000080"/>
      <w:spacing w:before="120" w:after="120" w:line="240" w:lineRule="auto"/>
      <w:jc w:val="both"/>
    </w:pPr>
    <w:rPr>
      <w:rFonts w:ascii="Tahoma" w:eastAsia="Times New Roman" w:hAnsi="Tahoma" w:cs="Times New Roman"/>
      <w:sz w:val="24"/>
      <w:szCs w:val="20"/>
      <w:lang w:eastAsia="zh-CN"/>
    </w:rPr>
  </w:style>
  <w:style w:type="character" w:customStyle="1" w:styleId="DocumentMapChar">
    <w:name w:val="Document Map Char"/>
    <w:basedOn w:val="DefaultParagraphFont"/>
    <w:link w:val="DocumentMap"/>
    <w:uiPriority w:val="99"/>
    <w:rsid w:val="00A44A15"/>
    <w:rPr>
      <w:rFonts w:ascii="Tahoma" w:eastAsia="Times New Roman" w:hAnsi="Tahoma" w:cs="Times New Roman"/>
      <w:sz w:val="24"/>
      <w:szCs w:val="20"/>
      <w:shd w:val="clear" w:color="auto" w:fill="000080"/>
      <w:lang w:val="de-DE" w:eastAsia="zh-CN"/>
    </w:rPr>
  </w:style>
  <w:style w:type="paragraph" w:customStyle="1" w:styleId="AddressTL">
    <w:name w:val="AddressTL"/>
    <w:basedOn w:val="Normal"/>
    <w:next w:val="Normal"/>
    <w:rsid w:val="00A44A15"/>
    <w:pPr>
      <w:spacing w:after="720" w:line="240" w:lineRule="auto"/>
    </w:pPr>
    <w:rPr>
      <w:rFonts w:ascii="Times New Roman" w:eastAsia="Times New Roman" w:hAnsi="Times New Roman" w:cs="Times New Roman"/>
      <w:sz w:val="24"/>
      <w:szCs w:val="20"/>
      <w:lang w:eastAsia="zh-CN"/>
    </w:rPr>
  </w:style>
  <w:style w:type="paragraph" w:customStyle="1" w:styleId="AddressTR">
    <w:name w:val="AddressTR"/>
    <w:basedOn w:val="Normal"/>
    <w:next w:val="Normal"/>
    <w:rsid w:val="00A44A15"/>
    <w:pPr>
      <w:spacing w:after="720" w:line="240" w:lineRule="auto"/>
      <w:ind w:left="5103"/>
    </w:pPr>
    <w:rPr>
      <w:rFonts w:ascii="Times New Roman" w:eastAsia="Times New Roman" w:hAnsi="Times New Roman" w:cs="Times New Roman"/>
      <w:sz w:val="24"/>
      <w:szCs w:val="20"/>
      <w:lang w:eastAsia="zh-CN"/>
    </w:rPr>
  </w:style>
  <w:style w:type="paragraph" w:styleId="BlockText">
    <w:name w:val="Block Text"/>
    <w:basedOn w:val="Normal"/>
    <w:uiPriority w:val="99"/>
    <w:rsid w:val="00A44A15"/>
    <w:pPr>
      <w:spacing w:after="120" w:line="240" w:lineRule="auto"/>
      <w:ind w:left="1440" w:right="1440"/>
      <w:jc w:val="both"/>
    </w:pPr>
    <w:rPr>
      <w:rFonts w:ascii="Times New Roman" w:eastAsia="Times New Roman" w:hAnsi="Times New Roman" w:cs="Times New Roman"/>
      <w:sz w:val="24"/>
      <w:szCs w:val="20"/>
      <w:lang w:eastAsia="zh-CN"/>
    </w:rPr>
  </w:style>
  <w:style w:type="paragraph" w:styleId="BodyText">
    <w:name w:val="Body Text"/>
    <w:basedOn w:val="Normal"/>
    <w:link w:val="BodyTextChar"/>
    <w:uiPriority w:val="99"/>
    <w:rsid w:val="00A44A15"/>
    <w:pPr>
      <w:spacing w:after="12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uiPriority w:val="99"/>
    <w:rsid w:val="00A44A15"/>
    <w:rPr>
      <w:rFonts w:ascii="Times New Roman" w:eastAsia="Times New Roman" w:hAnsi="Times New Roman" w:cs="Times New Roman"/>
      <w:sz w:val="24"/>
      <w:szCs w:val="20"/>
      <w:lang w:val="de-DE" w:eastAsia="zh-CN"/>
    </w:rPr>
  </w:style>
  <w:style w:type="paragraph" w:styleId="BodyText2">
    <w:name w:val="Body Text 2"/>
    <w:basedOn w:val="Normal"/>
    <w:link w:val="BodyText2Char"/>
    <w:uiPriority w:val="99"/>
    <w:rsid w:val="00A44A15"/>
    <w:pPr>
      <w:spacing w:after="120" w:line="480" w:lineRule="auto"/>
      <w:jc w:val="both"/>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uiPriority w:val="99"/>
    <w:rsid w:val="00A44A15"/>
    <w:rPr>
      <w:rFonts w:ascii="Times New Roman" w:eastAsia="Times New Roman" w:hAnsi="Times New Roman" w:cs="Times New Roman"/>
      <w:sz w:val="24"/>
      <w:szCs w:val="20"/>
      <w:lang w:val="de-DE" w:eastAsia="zh-CN"/>
    </w:rPr>
  </w:style>
  <w:style w:type="paragraph" w:styleId="BodyText3">
    <w:name w:val="Body Text 3"/>
    <w:basedOn w:val="Normal"/>
    <w:link w:val="BodyText3Char"/>
    <w:uiPriority w:val="99"/>
    <w:rsid w:val="00A44A15"/>
    <w:pPr>
      <w:spacing w:after="120" w:line="240" w:lineRule="auto"/>
      <w:jc w:val="both"/>
    </w:pPr>
    <w:rPr>
      <w:rFonts w:ascii="Times New Roman" w:eastAsia="Times New Roman" w:hAnsi="Times New Roman" w:cs="Times New Roman"/>
      <w:sz w:val="16"/>
      <w:szCs w:val="20"/>
      <w:lang w:eastAsia="zh-CN"/>
    </w:rPr>
  </w:style>
  <w:style w:type="character" w:customStyle="1" w:styleId="BodyText3Char">
    <w:name w:val="Body Text 3 Char"/>
    <w:basedOn w:val="DefaultParagraphFont"/>
    <w:link w:val="BodyText3"/>
    <w:uiPriority w:val="99"/>
    <w:rsid w:val="00A44A15"/>
    <w:rPr>
      <w:rFonts w:ascii="Times New Roman" w:eastAsia="Times New Roman" w:hAnsi="Times New Roman" w:cs="Times New Roman"/>
      <w:sz w:val="16"/>
      <w:szCs w:val="20"/>
      <w:lang w:val="de-DE" w:eastAsia="zh-CN"/>
    </w:rPr>
  </w:style>
  <w:style w:type="paragraph" w:styleId="BodyTextFirstIndent">
    <w:name w:val="Body Text First Indent"/>
    <w:basedOn w:val="BodyText"/>
    <w:link w:val="BodyTextFirstIndentChar"/>
    <w:uiPriority w:val="99"/>
    <w:rsid w:val="00A44A15"/>
    <w:pPr>
      <w:ind w:firstLine="210"/>
    </w:pPr>
  </w:style>
  <w:style w:type="character" w:customStyle="1" w:styleId="BodyTextFirstIndentChar">
    <w:name w:val="Body Text First Indent Char"/>
    <w:basedOn w:val="BodyTextChar"/>
    <w:link w:val="BodyTextFirstIndent"/>
    <w:uiPriority w:val="99"/>
    <w:rsid w:val="00A44A15"/>
    <w:rPr>
      <w:rFonts w:ascii="Times New Roman" w:eastAsia="Times New Roman" w:hAnsi="Times New Roman" w:cs="Times New Roman"/>
      <w:sz w:val="24"/>
      <w:szCs w:val="20"/>
      <w:lang w:val="de-DE" w:eastAsia="zh-CN"/>
    </w:rPr>
  </w:style>
  <w:style w:type="paragraph" w:styleId="BodyTextIndent">
    <w:name w:val="Body Text Indent"/>
    <w:basedOn w:val="Normal"/>
    <w:link w:val="BodyTextIndentChar"/>
    <w:uiPriority w:val="99"/>
    <w:rsid w:val="00A44A15"/>
    <w:pPr>
      <w:spacing w:after="120" w:line="240" w:lineRule="auto"/>
      <w:ind w:left="283"/>
      <w:jc w:val="both"/>
    </w:pPr>
    <w:rPr>
      <w:rFonts w:ascii="Times New Roman" w:eastAsia="Times New Roman" w:hAnsi="Times New Roman" w:cs="Times New Roman"/>
      <w:sz w:val="24"/>
      <w:szCs w:val="20"/>
      <w:lang w:eastAsia="zh-CN"/>
    </w:rPr>
  </w:style>
  <w:style w:type="character" w:customStyle="1" w:styleId="BodyTextIndentChar">
    <w:name w:val="Body Text Indent Char"/>
    <w:basedOn w:val="DefaultParagraphFont"/>
    <w:link w:val="BodyTextIndent"/>
    <w:uiPriority w:val="99"/>
    <w:rsid w:val="00A44A15"/>
    <w:rPr>
      <w:rFonts w:ascii="Times New Roman" w:eastAsia="Times New Roman" w:hAnsi="Times New Roman" w:cs="Times New Roman"/>
      <w:sz w:val="24"/>
      <w:szCs w:val="20"/>
      <w:lang w:val="de-DE" w:eastAsia="zh-CN"/>
    </w:rPr>
  </w:style>
  <w:style w:type="paragraph" w:styleId="BodyTextFirstIndent2">
    <w:name w:val="Body Text First Indent 2"/>
    <w:basedOn w:val="BodyTextIndent"/>
    <w:link w:val="BodyTextFirstIndent2Char"/>
    <w:uiPriority w:val="99"/>
    <w:rsid w:val="00A44A15"/>
    <w:pPr>
      <w:ind w:firstLine="210"/>
    </w:pPr>
  </w:style>
  <w:style w:type="character" w:customStyle="1" w:styleId="BodyTextFirstIndent2Char">
    <w:name w:val="Body Text First Indent 2 Char"/>
    <w:basedOn w:val="BodyTextIndentChar"/>
    <w:link w:val="BodyTextFirstIndent2"/>
    <w:uiPriority w:val="99"/>
    <w:rsid w:val="00A44A15"/>
    <w:rPr>
      <w:rFonts w:ascii="Times New Roman" w:eastAsia="Times New Roman" w:hAnsi="Times New Roman" w:cs="Times New Roman"/>
      <w:sz w:val="24"/>
      <w:szCs w:val="20"/>
      <w:lang w:val="de-DE" w:eastAsia="zh-CN"/>
    </w:rPr>
  </w:style>
  <w:style w:type="paragraph" w:styleId="BodyTextIndent2">
    <w:name w:val="Body Text Indent 2"/>
    <w:basedOn w:val="Normal"/>
    <w:link w:val="BodyTextIndent2Char"/>
    <w:uiPriority w:val="99"/>
    <w:rsid w:val="00A44A15"/>
    <w:pPr>
      <w:spacing w:after="120" w:line="480" w:lineRule="auto"/>
      <w:ind w:left="283"/>
      <w:jc w:val="both"/>
    </w:pPr>
    <w:rPr>
      <w:rFonts w:ascii="Times New Roman" w:eastAsia="Times New Roman" w:hAnsi="Times New Roman" w:cs="Times New Roman"/>
      <w:sz w:val="24"/>
      <w:szCs w:val="20"/>
      <w:lang w:eastAsia="zh-CN"/>
    </w:rPr>
  </w:style>
  <w:style w:type="character" w:customStyle="1" w:styleId="BodyTextIndent2Char">
    <w:name w:val="Body Text Indent 2 Char"/>
    <w:basedOn w:val="DefaultParagraphFont"/>
    <w:link w:val="BodyTextIndent2"/>
    <w:uiPriority w:val="99"/>
    <w:rsid w:val="00A44A15"/>
    <w:rPr>
      <w:rFonts w:ascii="Times New Roman" w:eastAsia="Times New Roman" w:hAnsi="Times New Roman" w:cs="Times New Roman"/>
      <w:sz w:val="24"/>
      <w:szCs w:val="20"/>
      <w:lang w:val="de-DE" w:eastAsia="zh-CN"/>
    </w:rPr>
  </w:style>
  <w:style w:type="paragraph" w:styleId="BodyTextIndent3">
    <w:name w:val="Body Text Indent 3"/>
    <w:basedOn w:val="Normal"/>
    <w:link w:val="BodyTextIndent3Char"/>
    <w:uiPriority w:val="99"/>
    <w:rsid w:val="00A44A15"/>
    <w:pPr>
      <w:spacing w:after="120" w:line="240" w:lineRule="auto"/>
      <w:ind w:left="283"/>
      <w:jc w:val="both"/>
    </w:pPr>
    <w:rPr>
      <w:rFonts w:ascii="Times New Roman" w:eastAsia="Times New Roman" w:hAnsi="Times New Roman" w:cs="Times New Roman"/>
      <w:sz w:val="16"/>
      <w:szCs w:val="20"/>
      <w:lang w:eastAsia="zh-CN"/>
    </w:rPr>
  </w:style>
  <w:style w:type="character" w:customStyle="1" w:styleId="BodyTextIndent3Char">
    <w:name w:val="Body Text Indent 3 Char"/>
    <w:basedOn w:val="DefaultParagraphFont"/>
    <w:link w:val="BodyTextIndent3"/>
    <w:uiPriority w:val="99"/>
    <w:rsid w:val="00A44A15"/>
    <w:rPr>
      <w:rFonts w:ascii="Times New Roman" w:eastAsia="Times New Roman" w:hAnsi="Times New Roman" w:cs="Times New Roman"/>
      <w:sz w:val="16"/>
      <w:szCs w:val="20"/>
      <w:lang w:val="de-DE" w:eastAsia="zh-CN"/>
    </w:rPr>
  </w:style>
  <w:style w:type="paragraph" w:styleId="Closing">
    <w:name w:val="Closing"/>
    <w:basedOn w:val="Normal"/>
    <w:next w:val="Signature"/>
    <w:link w:val="ClosingChar"/>
    <w:uiPriority w:val="99"/>
    <w:rsid w:val="00A44A15"/>
    <w:pPr>
      <w:tabs>
        <w:tab w:val="left" w:pos="5103"/>
      </w:tabs>
      <w:spacing w:before="240" w:after="240" w:line="240" w:lineRule="auto"/>
      <w:ind w:left="5103"/>
    </w:pPr>
    <w:rPr>
      <w:rFonts w:ascii="Times New Roman" w:eastAsia="Times New Roman" w:hAnsi="Times New Roman" w:cs="Times New Roman"/>
      <w:sz w:val="24"/>
      <w:szCs w:val="20"/>
      <w:lang w:eastAsia="zh-CN"/>
    </w:rPr>
  </w:style>
  <w:style w:type="character" w:customStyle="1" w:styleId="ClosingChar">
    <w:name w:val="Closing Char"/>
    <w:basedOn w:val="DefaultParagraphFont"/>
    <w:link w:val="Closing"/>
    <w:uiPriority w:val="99"/>
    <w:rsid w:val="00A44A15"/>
    <w:rPr>
      <w:rFonts w:ascii="Times New Roman" w:eastAsia="Times New Roman" w:hAnsi="Times New Roman" w:cs="Times New Roman"/>
      <w:sz w:val="24"/>
      <w:szCs w:val="20"/>
      <w:lang w:val="de-DE" w:eastAsia="zh-CN"/>
    </w:rPr>
  </w:style>
  <w:style w:type="paragraph" w:styleId="Signature">
    <w:name w:val="Signature"/>
    <w:basedOn w:val="Normal"/>
    <w:next w:val="Contact"/>
    <w:link w:val="SignatureChar"/>
    <w:uiPriority w:val="99"/>
    <w:rsid w:val="00A44A15"/>
    <w:pPr>
      <w:tabs>
        <w:tab w:val="left" w:pos="5103"/>
      </w:tabs>
      <w:spacing w:before="1200" w:after="0" w:line="240" w:lineRule="auto"/>
      <w:ind w:left="5103"/>
      <w:jc w:val="center"/>
    </w:pPr>
    <w:rPr>
      <w:rFonts w:ascii="Times New Roman" w:eastAsia="Times New Roman" w:hAnsi="Times New Roman" w:cs="Times New Roman"/>
      <w:sz w:val="24"/>
      <w:szCs w:val="20"/>
      <w:lang w:eastAsia="zh-CN"/>
    </w:rPr>
  </w:style>
  <w:style w:type="character" w:customStyle="1" w:styleId="SignatureChar">
    <w:name w:val="Signature Char"/>
    <w:basedOn w:val="DefaultParagraphFont"/>
    <w:link w:val="Signature"/>
    <w:uiPriority w:val="99"/>
    <w:rsid w:val="00A44A15"/>
    <w:rPr>
      <w:rFonts w:ascii="Times New Roman" w:eastAsia="Times New Roman" w:hAnsi="Times New Roman" w:cs="Times New Roman"/>
      <w:sz w:val="24"/>
      <w:szCs w:val="20"/>
      <w:lang w:val="de-DE" w:eastAsia="zh-CN"/>
    </w:rPr>
  </w:style>
  <w:style w:type="paragraph" w:customStyle="1" w:styleId="Contact">
    <w:name w:val="Contact"/>
    <w:basedOn w:val="Normal"/>
    <w:next w:val="Enclosures"/>
    <w:rsid w:val="00A44A15"/>
    <w:pPr>
      <w:spacing w:before="480" w:after="0" w:line="240" w:lineRule="auto"/>
      <w:ind w:left="567" w:hanging="567"/>
    </w:pPr>
    <w:rPr>
      <w:rFonts w:ascii="Times New Roman" w:eastAsia="Times New Roman" w:hAnsi="Times New Roman" w:cs="Times New Roman"/>
      <w:sz w:val="24"/>
      <w:szCs w:val="20"/>
      <w:lang w:eastAsia="zh-CN"/>
    </w:rPr>
  </w:style>
  <w:style w:type="paragraph" w:customStyle="1" w:styleId="Enclosures">
    <w:name w:val="Enclosures"/>
    <w:basedOn w:val="Normal"/>
    <w:next w:val="Participants"/>
    <w:rsid w:val="00A44A15"/>
    <w:pPr>
      <w:keepNext/>
      <w:keepLines/>
      <w:tabs>
        <w:tab w:val="left" w:pos="5642"/>
      </w:tabs>
      <w:spacing w:before="480" w:after="0" w:line="240" w:lineRule="auto"/>
      <w:ind w:left="1792" w:hanging="1792"/>
    </w:pPr>
    <w:rPr>
      <w:rFonts w:ascii="Times New Roman" w:eastAsia="Times New Roman" w:hAnsi="Times New Roman" w:cs="Times New Roman"/>
      <w:sz w:val="24"/>
      <w:szCs w:val="20"/>
      <w:lang w:eastAsia="zh-CN"/>
    </w:rPr>
  </w:style>
  <w:style w:type="paragraph" w:customStyle="1" w:styleId="Participants">
    <w:name w:val="Participants"/>
    <w:basedOn w:val="Normal"/>
    <w:next w:val="Copies"/>
    <w:rsid w:val="00A44A15"/>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zh-CN"/>
    </w:rPr>
  </w:style>
  <w:style w:type="paragraph" w:customStyle="1" w:styleId="Copies">
    <w:name w:val="Copies"/>
    <w:basedOn w:val="Normal"/>
    <w:next w:val="Normal"/>
    <w:rsid w:val="00A44A15"/>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zh-CN"/>
    </w:rPr>
  </w:style>
  <w:style w:type="paragraph" w:styleId="Date">
    <w:name w:val="Date"/>
    <w:basedOn w:val="Normal"/>
    <w:next w:val="References"/>
    <w:link w:val="DateChar"/>
    <w:uiPriority w:val="99"/>
    <w:rsid w:val="00A44A15"/>
    <w:pPr>
      <w:spacing w:after="0" w:line="240" w:lineRule="auto"/>
      <w:ind w:left="5103" w:right="-567"/>
    </w:pPr>
    <w:rPr>
      <w:rFonts w:ascii="Times New Roman" w:eastAsia="Times New Roman" w:hAnsi="Times New Roman" w:cs="Times New Roman"/>
      <w:sz w:val="24"/>
      <w:szCs w:val="20"/>
      <w:lang w:eastAsia="zh-CN"/>
    </w:rPr>
  </w:style>
  <w:style w:type="character" w:customStyle="1" w:styleId="DateChar">
    <w:name w:val="Date Char"/>
    <w:basedOn w:val="DefaultParagraphFont"/>
    <w:link w:val="Date"/>
    <w:uiPriority w:val="99"/>
    <w:rsid w:val="00A44A15"/>
    <w:rPr>
      <w:rFonts w:ascii="Times New Roman" w:eastAsia="Times New Roman" w:hAnsi="Times New Roman" w:cs="Times New Roman"/>
      <w:sz w:val="24"/>
      <w:szCs w:val="20"/>
      <w:lang w:val="de-DE" w:eastAsia="zh-CN"/>
    </w:rPr>
  </w:style>
  <w:style w:type="paragraph" w:customStyle="1" w:styleId="References">
    <w:name w:val="References"/>
    <w:basedOn w:val="Normal"/>
    <w:next w:val="AddressTR"/>
    <w:rsid w:val="00A44A15"/>
    <w:pPr>
      <w:spacing w:after="240" w:line="240" w:lineRule="auto"/>
      <w:ind w:left="5103"/>
    </w:pPr>
    <w:rPr>
      <w:rFonts w:ascii="Times New Roman" w:eastAsia="Times New Roman" w:hAnsi="Times New Roman" w:cs="Times New Roman"/>
      <w:sz w:val="20"/>
      <w:szCs w:val="20"/>
      <w:lang w:eastAsia="zh-CN"/>
    </w:rPr>
  </w:style>
  <w:style w:type="paragraph" w:customStyle="1" w:styleId="DoubSign">
    <w:name w:val="DoubSign"/>
    <w:basedOn w:val="Normal"/>
    <w:next w:val="Contact"/>
    <w:rsid w:val="00A44A15"/>
    <w:pPr>
      <w:tabs>
        <w:tab w:val="left" w:pos="5103"/>
      </w:tabs>
      <w:spacing w:before="1200" w:after="0" w:line="240" w:lineRule="auto"/>
    </w:pPr>
    <w:rPr>
      <w:rFonts w:ascii="Times New Roman" w:eastAsia="Times New Roman" w:hAnsi="Times New Roman" w:cs="Times New Roman"/>
      <w:sz w:val="24"/>
      <w:szCs w:val="20"/>
      <w:lang w:eastAsia="zh-CN"/>
    </w:rPr>
  </w:style>
  <w:style w:type="paragraph" w:styleId="EnvelopeAddress">
    <w:name w:val="envelope address"/>
    <w:basedOn w:val="Normal"/>
    <w:uiPriority w:val="99"/>
    <w:rsid w:val="00A44A15"/>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zh-CN"/>
    </w:rPr>
  </w:style>
  <w:style w:type="paragraph" w:styleId="EnvelopeReturn">
    <w:name w:val="envelope return"/>
    <w:basedOn w:val="Normal"/>
    <w:uiPriority w:val="99"/>
    <w:rsid w:val="00A44A15"/>
    <w:pPr>
      <w:spacing w:after="0" w:line="240" w:lineRule="auto"/>
      <w:jc w:val="both"/>
    </w:pPr>
    <w:rPr>
      <w:rFonts w:ascii="Times New Roman" w:eastAsia="Times New Roman" w:hAnsi="Times New Roman" w:cs="Times New Roman"/>
      <w:sz w:val="20"/>
      <w:szCs w:val="20"/>
      <w:lang w:eastAsia="zh-CN"/>
    </w:rPr>
  </w:style>
  <w:style w:type="paragraph" w:styleId="Index8">
    <w:name w:val="index 8"/>
    <w:basedOn w:val="Normal"/>
    <w:next w:val="Normal"/>
    <w:autoRedefine/>
    <w:uiPriority w:val="99"/>
    <w:rsid w:val="00A44A15"/>
    <w:pPr>
      <w:spacing w:after="240" w:line="240" w:lineRule="auto"/>
      <w:ind w:left="1920" w:hanging="240"/>
      <w:jc w:val="both"/>
    </w:pPr>
    <w:rPr>
      <w:rFonts w:ascii="Times New Roman" w:eastAsia="Times New Roman" w:hAnsi="Times New Roman" w:cs="Times New Roman"/>
      <w:sz w:val="24"/>
      <w:szCs w:val="20"/>
      <w:lang w:eastAsia="zh-CN"/>
    </w:rPr>
  </w:style>
  <w:style w:type="paragraph" w:styleId="Index1">
    <w:name w:val="index 1"/>
    <w:basedOn w:val="Normal"/>
    <w:next w:val="Normal"/>
    <w:autoRedefine/>
    <w:uiPriority w:val="99"/>
    <w:rsid w:val="00A44A15"/>
    <w:pPr>
      <w:spacing w:after="240" w:line="240" w:lineRule="auto"/>
      <w:ind w:left="240" w:hanging="240"/>
      <w:jc w:val="both"/>
    </w:pPr>
    <w:rPr>
      <w:rFonts w:ascii="Times New Roman" w:eastAsia="Times New Roman" w:hAnsi="Times New Roman" w:cs="Times New Roman"/>
      <w:sz w:val="24"/>
      <w:szCs w:val="20"/>
      <w:lang w:eastAsia="zh-CN"/>
    </w:rPr>
  </w:style>
  <w:style w:type="paragraph" w:styleId="IndexHeading">
    <w:name w:val="index heading"/>
    <w:basedOn w:val="Normal"/>
    <w:next w:val="Index1"/>
    <w:uiPriority w:val="99"/>
    <w:rsid w:val="00A44A15"/>
    <w:pPr>
      <w:spacing w:after="240" w:line="240" w:lineRule="auto"/>
      <w:jc w:val="both"/>
    </w:pPr>
    <w:rPr>
      <w:rFonts w:ascii="Arial" w:eastAsia="Times New Roman" w:hAnsi="Arial" w:cs="Times New Roman"/>
      <w:b/>
      <w:sz w:val="24"/>
      <w:szCs w:val="20"/>
      <w:lang w:eastAsia="zh-CN"/>
    </w:rPr>
  </w:style>
  <w:style w:type="paragraph" w:styleId="List">
    <w:name w:val="List"/>
    <w:basedOn w:val="Normal"/>
    <w:uiPriority w:val="99"/>
    <w:rsid w:val="00A44A15"/>
    <w:pPr>
      <w:spacing w:after="240" w:line="240" w:lineRule="auto"/>
      <w:ind w:left="283" w:hanging="283"/>
      <w:jc w:val="both"/>
    </w:pPr>
    <w:rPr>
      <w:rFonts w:ascii="Times New Roman" w:eastAsia="Times New Roman" w:hAnsi="Times New Roman" w:cs="Times New Roman"/>
      <w:sz w:val="24"/>
      <w:szCs w:val="20"/>
      <w:lang w:eastAsia="zh-CN"/>
    </w:rPr>
  </w:style>
  <w:style w:type="paragraph" w:styleId="List2">
    <w:name w:val="List 2"/>
    <w:basedOn w:val="Normal"/>
    <w:uiPriority w:val="99"/>
    <w:rsid w:val="00A44A15"/>
    <w:pPr>
      <w:spacing w:after="240" w:line="240" w:lineRule="auto"/>
      <w:ind w:left="566" w:hanging="283"/>
      <w:jc w:val="both"/>
    </w:pPr>
    <w:rPr>
      <w:rFonts w:ascii="Times New Roman" w:eastAsia="Times New Roman" w:hAnsi="Times New Roman" w:cs="Times New Roman"/>
      <w:sz w:val="24"/>
      <w:szCs w:val="20"/>
      <w:lang w:eastAsia="zh-CN"/>
    </w:rPr>
  </w:style>
  <w:style w:type="paragraph" w:styleId="List3">
    <w:name w:val="List 3"/>
    <w:basedOn w:val="Normal"/>
    <w:uiPriority w:val="99"/>
    <w:rsid w:val="00A44A15"/>
    <w:pPr>
      <w:spacing w:after="240" w:line="240" w:lineRule="auto"/>
      <w:ind w:left="849" w:hanging="283"/>
      <w:jc w:val="both"/>
    </w:pPr>
    <w:rPr>
      <w:rFonts w:ascii="Times New Roman" w:eastAsia="Times New Roman" w:hAnsi="Times New Roman" w:cs="Times New Roman"/>
      <w:sz w:val="24"/>
      <w:szCs w:val="20"/>
      <w:lang w:eastAsia="zh-CN"/>
    </w:rPr>
  </w:style>
  <w:style w:type="paragraph" w:styleId="List4">
    <w:name w:val="List 4"/>
    <w:basedOn w:val="Normal"/>
    <w:uiPriority w:val="99"/>
    <w:rsid w:val="00A44A15"/>
    <w:pPr>
      <w:spacing w:after="240" w:line="240" w:lineRule="auto"/>
      <w:ind w:left="1132" w:hanging="283"/>
      <w:jc w:val="both"/>
    </w:pPr>
    <w:rPr>
      <w:rFonts w:ascii="Times New Roman" w:eastAsia="Times New Roman" w:hAnsi="Times New Roman" w:cs="Times New Roman"/>
      <w:sz w:val="24"/>
      <w:szCs w:val="20"/>
      <w:lang w:eastAsia="zh-CN"/>
    </w:rPr>
  </w:style>
  <w:style w:type="paragraph" w:styleId="List5">
    <w:name w:val="List 5"/>
    <w:basedOn w:val="Normal"/>
    <w:uiPriority w:val="99"/>
    <w:rsid w:val="00A44A15"/>
    <w:pPr>
      <w:spacing w:after="240" w:line="240" w:lineRule="auto"/>
      <w:ind w:left="1415" w:hanging="283"/>
      <w:jc w:val="both"/>
    </w:pPr>
    <w:rPr>
      <w:rFonts w:ascii="Times New Roman" w:eastAsia="Times New Roman" w:hAnsi="Times New Roman" w:cs="Times New Roman"/>
      <w:sz w:val="24"/>
      <w:szCs w:val="20"/>
      <w:lang w:eastAsia="zh-CN"/>
    </w:rPr>
  </w:style>
  <w:style w:type="paragraph" w:styleId="ListContinue">
    <w:name w:val="List Continue"/>
    <w:basedOn w:val="Normal"/>
    <w:uiPriority w:val="99"/>
    <w:rsid w:val="00A44A15"/>
    <w:pPr>
      <w:spacing w:after="120" w:line="240" w:lineRule="auto"/>
      <w:ind w:left="283"/>
      <w:jc w:val="both"/>
    </w:pPr>
    <w:rPr>
      <w:rFonts w:ascii="Times New Roman" w:eastAsia="Times New Roman" w:hAnsi="Times New Roman" w:cs="Times New Roman"/>
      <w:sz w:val="24"/>
      <w:szCs w:val="20"/>
      <w:lang w:eastAsia="zh-CN"/>
    </w:rPr>
  </w:style>
  <w:style w:type="paragraph" w:styleId="ListContinue2">
    <w:name w:val="List Continue 2"/>
    <w:basedOn w:val="Normal"/>
    <w:uiPriority w:val="99"/>
    <w:rsid w:val="00A44A15"/>
    <w:pPr>
      <w:spacing w:after="120" w:line="240" w:lineRule="auto"/>
      <w:ind w:left="566"/>
      <w:jc w:val="both"/>
    </w:pPr>
    <w:rPr>
      <w:rFonts w:ascii="Times New Roman" w:eastAsia="Times New Roman" w:hAnsi="Times New Roman" w:cs="Times New Roman"/>
      <w:sz w:val="24"/>
      <w:szCs w:val="20"/>
      <w:lang w:eastAsia="zh-CN"/>
    </w:rPr>
  </w:style>
  <w:style w:type="paragraph" w:styleId="ListContinue3">
    <w:name w:val="List Continue 3"/>
    <w:basedOn w:val="Normal"/>
    <w:uiPriority w:val="99"/>
    <w:rsid w:val="00A44A15"/>
    <w:pPr>
      <w:spacing w:after="120" w:line="240" w:lineRule="auto"/>
      <w:ind w:left="849"/>
      <w:jc w:val="both"/>
    </w:pPr>
    <w:rPr>
      <w:rFonts w:ascii="Times New Roman" w:eastAsia="Times New Roman" w:hAnsi="Times New Roman" w:cs="Times New Roman"/>
      <w:sz w:val="24"/>
      <w:szCs w:val="20"/>
      <w:lang w:eastAsia="zh-CN"/>
    </w:rPr>
  </w:style>
  <w:style w:type="paragraph" w:styleId="ListContinue4">
    <w:name w:val="List Continue 4"/>
    <w:basedOn w:val="Normal"/>
    <w:uiPriority w:val="99"/>
    <w:rsid w:val="00A44A15"/>
    <w:pPr>
      <w:spacing w:after="120" w:line="240" w:lineRule="auto"/>
      <w:ind w:left="1132"/>
      <w:jc w:val="both"/>
    </w:pPr>
    <w:rPr>
      <w:rFonts w:ascii="Times New Roman" w:eastAsia="Times New Roman" w:hAnsi="Times New Roman" w:cs="Times New Roman"/>
      <w:sz w:val="24"/>
      <w:szCs w:val="20"/>
      <w:lang w:eastAsia="zh-CN"/>
    </w:rPr>
  </w:style>
  <w:style w:type="paragraph" w:styleId="ListContinue5">
    <w:name w:val="List Continue 5"/>
    <w:basedOn w:val="Normal"/>
    <w:uiPriority w:val="99"/>
    <w:rsid w:val="00A44A15"/>
    <w:pPr>
      <w:spacing w:after="120" w:line="240" w:lineRule="auto"/>
      <w:ind w:left="1415"/>
      <w:jc w:val="both"/>
    </w:pPr>
    <w:rPr>
      <w:rFonts w:ascii="Times New Roman" w:eastAsia="Times New Roman" w:hAnsi="Times New Roman" w:cs="Times New Roman"/>
      <w:sz w:val="24"/>
      <w:szCs w:val="20"/>
      <w:lang w:eastAsia="zh-CN"/>
    </w:rPr>
  </w:style>
  <w:style w:type="paragraph" w:styleId="MacroText">
    <w:name w:val="macro"/>
    <w:link w:val="MacroTextChar"/>
    <w:uiPriority w:val="99"/>
    <w:rsid w:val="00A44A15"/>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rsid w:val="00A44A15"/>
    <w:rPr>
      <w:rFonts w:ascii="Courier New" w:eastAsia="Times New Roman" w:hAnsi="Courier New" w:cs="Times New Roman"/>
      <w:sz w:val="20"/>
      <w:szCs w:val="20"/>
      <w:lang w:val="de-DE"/>
    </w:rPr>
  </w:style>
  <w:style w:type="paragraph" w:styleId="MessageHeader">
    <w:name w:val="Message Header"/>
    <w:basedOn w:val="Normal"/>
    <w:link w:val="MessageHeaderChar"/>
    <w:uiPriority w:val="99"/>
    <w:rsid w:val="00A44A15"/>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zh-CN"/>
    </w:rPr>
  </w:style>
  <w:style w:type="character" w:customStyle="1" w:styleId="MessageHeaderChar">
    <w:name w:val="Message Header Char"/>
    <w:basedOn w:val="DefaultParagraphFont"/>
    <w:link w:val="MessageHeader"/>
    <w:uiPriority w:val="99"/>
    <w:rsid w:val="00A44A15"/>
    <w:rPr>
      <w:rFonts w:ascii="Arial" w:eastAsia="Times New Roman" w:hAnsi="Arial" w:cs="Times New Roman"/>
      <w:sz w:val="24"/>
      <w:szCs w:val="20"/>
      <w:shd w:val="pct20" w:color="auto" w:fill="auto"/>
      <w:lang w:val="de-DE" w:eastAsia="zh-CN"/>
    </w:rPr>
  </w:style>
  <w:style w:type="paragraph" w:styleId="NormalIndent">
    <w:name w:val="Normal Indent"/>
    <w:basedOn w:val="Normal"/>
    <w:uiPriority w:val="99"/>
    <w:rsid w:val="00A44A15"/>
    <w:pPr>
      <w:spacing w:after="240" w:line="240" w:lineRule="auto"/>
      <w:ind w:left="720"/>
      <w:jc w:val="both"/>
    </w:pPr>
    <w:rPr>
      <w:rFonts w:ascii="Times New Roman" w:eastAsia="Times New Roman" w:hAnsi="Times New Roman" w:cs="Times New Roman"/>
      <w:sz w:val="24"/>
      <w:szCs w:val="20"/>
      <w:lang w:eastAsia="zh-CN"/>
    </w:rPr>
  </w:style>
  <w:style w:type="paragraph" w:styleId="NoteHeading">
    <w:name w:val="Note Heading"/>
    <w:basedOn w:val="Normal"/>
    <w:next w:val="Normal"/>
    <w:link w:val="NoteHeadingChar"/>
    <w:uiPriority w:val="99"/>
    <w:rsid w:val="00A44A15"/>
    <w:pPr>
      <w:spacing w:after="240" w:line="240" w:lineRule="auto"/>
      <w:jc w:val="both"/>
    </w:pPr>
    <w:rPr>
      <w:rFonts w:ascii="Times New Roman" w:eastAsia="Times New Roman" w:hAnsi="Times New Roman" w:cs="Times New Roman"/>
      <w:sz w:val="24"/>
      <w:szCs w:val="20"/>
      <w:lang w:eastAsia="zh-CN"/>
    </w:rPr>
  </w:style>
  <w:style w:type="character" w:customStyle="1" w:styleId="NoteHeadingChar">
    <w:name w:val="Note Heading Char"/>
    <w:basedOn w:val="DefaultParagraphFont"/>
    <w:link w:val="NoteHeading"/>
    <w:uiPriority w:val="99"/>
    <w:rsid w:val="00A44A15"/>
    <w:rPr>
      <w:rFonts w:ascii="Times New Roman" w:eastAsia="Times New Roman" w:hAnsi="Times New Roman" w:cs="Times New Roman"/>
      <w:sz w:val="24"/>
      <w:szCs w:val="20"/>
      <w:lang w:val="de-DE" w:eastAsia="zh-CN"/>
    </w:rPr>
  </w:style>
  <w:style w:type="paragraph" w:customStyle="1" w:styleId="NoteHead">
    <w:name w:val="NoteHead"/>
    <w:basedOn w:val="Normal"/>
    <w:next w:val="Subject"/>
    <w:rsid w:val="00A44A15"/>
    <w:pPr>
      <w:spacing w:before="720" w:after="720" w:line="240" w:lineRule="auto"/>
      <w:jc w:val="center"/>
    </w:pPr>
    <w:rPr>
      <w:rFonts w:ascii="Times New Roman" w:eastAsia="Times New Roman" w:hAnsi="Times New Roman" w:cs="Times New Roman"/>
      <w:b/>
      <w:smallCaps/>
      <w:sz w:val="24"/>
      <w:szCs w:val="20"/>
      <w:lang w:eastAsia="zh-CN"/>
    </w:rPr>
  </w:style>
  <w:style w:type="paragraph" w:customStyle="1" w:styleId="Subject">
    <w:name w:val="Subject"/>
    <w:basedOn w:val="Normal"/>
    <w:next w:val="Normal"/>
    <w:rsid w:val="00A44A15"/>
    <w:pPr>
      <w:spacing w:after="480" w:line="240" w:lineRule="auto"/>
      <w:ind w:left="1191" w:hanging="1191"/>
    </w:pPr>
    <w:rPr>
      <w:rFonts w:ascii="Times New Roman" w:eastAsia="Times New Roman" w:hAnsi="Times New Roman" w:cs="Times New Roman"/>
      <w:b/>
      <w:sz w:val="24"/>
      <w:szCs w:val="20"/>
      <w:lang w:eastAsia="zh-CN"/>
    </w:rPr>
  </w:style>
  <w:style w:type="paragraph" w:customStyle="1" w:styleId="NoteList">
    <w:name w:val="NoteList"/>
    <w:basedOn w:val="Normal"/>
    <w:next w:val="Subject"/>
    <w:rsid w:val="00A44A15"/>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zh-CN"/>
    </w:rPr>
  </w:style>
  <w:style w:type="paragraph" w:styleId="PlainText">
    <w:name w:val="Plain Text"/>
    <w:basedOn w:val="Normal"/>
    <w:link w:val="PlainTextChar"/>
    <w:uiPriority w:val="99"/>
    <w:rsid w:val="00A44A15"/>
    <w:pPr>
      <w:spacing w:after="240" w:line="240" w:lineRule="auto"/>
      <w:jc w:val="both"/>
    </w:pPr>
    <w:rPr>
      <w:rFonts w:ascii="Courier New" w:eastAsia="Times New Roman" w:hAnsi="Courier New" w:cs="Times New Roman"/>
      <w:sz w:val="20"/>
      <w:szCs w:val="20"/>
      <w:lang w:eastAsia="zh-CN"/>
    </w:rPr>
  </w:style>
  <w:style w:type="character" w:customStyle="1" w:styleId="PlainTextChar">
    <w:name w:val="Plain Text Char"/>
    <w:basedOn w:val="DefaultParagraphFont"/>
    <w:link w:val="PlainText"/>
    <w:uiPriority w:val="99"/>
    <w:rsid w:val="00A44A15"/>
    <w:rPr>
      <w:rFonts w:ascii="Courier New" w:eastAsia="Times New Roman" w:hAnsi="Courier New" w:cs="Times New Roman"/>
      <w:sz w:val="20"/>
      <w:szCs w:val="20"/>
      <w:lang w:val="de-DE" w:eastAsia="zh-CN"/>
    </w:rPr>
  </w:style>
  <w:style w:type="paragraph" w:styleId="Salutation">
    <w:name w:val="Salutation"/>
    <w:basedOn w:val="Normal"/>
    <w:next w:val="Normal"/>
    <w:link w:val="SalutationChar"/>
    <w:uiPriority w:val="99"/>
    <w:rsid w:val="00A44A15"/>
    <w:pPr>
      <w:spacing w:after="240" w:line="240" w:lineRule="auto"/>
      <w:jc w:val="both"/>
    </w:pPr>
    <w:rPr>
      <w:rFonts w:ascii="Times New Roman" w:eastAsia="Times New Roman" w:hAnsi="Times New Roman" w:cs="Times New Roman"/>
      <w:sz w:val="24"/>
      <w:szCs w:val="20"/>
      <w:lang w:eastAsia="zh-CN"/>
    </w:rPr>
  </w:style>
  <w:style w:type="character" w:customStyle="1" w:styleId="SalutationChar">
    <w:name w:val="Salutation Char"/>
    <w:basedOn w:val="DefaultParagraphFont"/>
    <w:link w:val="Salutation"/>
    <w:uiPriority w:val="99"/>
    <w:rsid w:val="00A44A15"/>
    <w:rPr>
      <w:rFonts w:ascii="Times New Roman" w:eastAsia="Times New Roman" w:hAnsi="Times New Roman" w:cs="Times New Roman"/>
      <w:sz w:val="24"/>
      <w:szCs w:val="20"/>
      <w:lang w:val="de-DE" w:eastAsia="zh-CN"/>
    </w:rPr>
  </w:style>
  <w:style w:type="paragraph" w:styleId="Subtitle">
    <w:name w:val="Subtitle"/>
    <w:basedOn w:val="Normal"/>
    <w:next w:val="Normal"/>
    <w:link w:val="SubtitleChar"/>
    <w:uiPriority w:val="11"/>
    <w:qFormat/>
    <w:rsid w:val="000340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3407F"/>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0340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3407F"/>
    <w:rPr>
      <w:rFonts w:asciiTheme="majorHAnsi" w:eastAsiaTheme="majorEastAsia" w:hAnsiTheme="majorHAnsi" w:cstheme="majorBidi"/>
      <w:caps/>
      <w:color w:val="44546A" w:themeColor="text2"/>
      <w:spacing w:val="-15"/>
      <w:sz w:val="72"/>
      <w:szCs w:val="72"/>
    </w:rPr>
  </w:style>
  <w:style w:type="paragraph" w:customStyle="1" w:styleId="YReferences">
    <w:name w:val="YReferences"/>
    <w:basedOn w:val="Normal"/>
    <w:next w:val="Normal"/>
    <w:rsid w:val="00A44A15"/>
    <w:pPr>
      <w:spacing w:after="480" w:line="240" w:lineRule="auto"/>
      <w:ind w:left="1191" w:hanging="1191"/>
      <w:jc w:val="both"/>
    </w:pPr>
    <w:rPr>
      <w:rFonts w:ascii="Times New Roman" w:eastAsia="Times New Roman" w:hAnsi="Times New Roman" w:cs="Times New Roman"/>
      <w:sz w:val="24"/>
      <w:szCs w:val="20"/>
      <w:lang w:eastAsia="zh-CN"/>
    </w:rPr>
  </w:style>
  <w:style w:type="paragraph" w:customStyle="1" w:styleId="DisclaimerNotice">
    <w:name w:val="Disclaimer Notice"/>
    <w:basedOn w:val="Normal"/>
    <w:next w:val="AddressTR"/>
    <w:rsid w:val="00A44A15"/>
    <w:pPr>
      <w:spacing w:after="240" w:line="240" w:lineRule="auto"/>
      <w:ind w:left="5103"/>
    </w:pPr>
    <w:rPr>
      <w:rFonts w:ascii="Times New Roman" w:eastAsia="Times New Roman" w:hAnsi="Times New Roman" w:cs="Times New Roman"/>
      <w:b/>
      <w:smallCaps/>
      <w:sz w:val="20"/>
      <w:szCs w:val="20"/>
      <w:u w:val="single"/>
      <w:lang w:eastAsia="zh-CN"/>
    </w:rPr>
  </w:style>
  <w:style w:type="paragraph" w:customStyle="1" w:styleId="Disclaimer">
    <w:name w:val="Disclaimer"/>
    <w:basedOn w:val="Normal"/>
    <w:rsid w:val="00A44A15"/>
    <w:pPr>
      <w:keepLines/>
      <w:pBdr>
        <w:top w:val="single" w:sz="4" w:space="1" w:color="auto"/>
      </w:pBdr>
      <w:spacing w:before="480" w:after="0" w:line="240" w:lineRule="auto"/>
      <w:jc w:val="both"/>
    </w:pPr>
    <w:rPr>
      <w:rFonts w:ascii="Times New Roman" w:eastAsia="Times New Roman" w:hAnsi="Times New Roman" w:cs="Times New Roman"/>
      <w:i/>
      <w:sz w:val="24"/>
      <w:szCs w:val="20"/>
      <w:lang w:eastAsia="zh-CN"/>
    </w:rPr>
  </w:style>
  <w:style w:type="character" w:styleId="FollowedHyperlink">
    <w:name w:val="FollowedHyperlink"/>
    <w:basedOn w:val="DefaultParagraphFont"/>
    <w:uiPriority w:val="99"/>
    <w:rsid w:val="00A44A15"/>
    <w:rPr>
      <w:color w:val="800080"/>
      <w:u w:val="single"/>
      <w:shd w:val="clear" w:color="auto" w:fill="auto"/>
    </w:rPr>
  </w:style>
  <w:style w:type="paragraph" w:customStyle="1" w:styleId="DisclaimerSJ">
    <w:name w:val="Disclaimer_SJ"/>
    <w:basedOn w:val="Normal"/>
    <w:next w:val="Normal"/>
    <w:rsid w:val="00A44A15"/>
    <w:pPr>
      <w:spacing w:after="0" w:line="240" w:lineRule="auto"/>
      <w:jc w:val="both"/>
    </w:pPr>
    <w:rPr>
      <w:rFonts w:ascii="Arial" w:eastAsia="Times New Roman" w:hAnsi="Arial" w:cs="Times New Roman"/>
      <w:b/>
      <w:sz w:val="16"/>
      <w:szCs w:val="20"/>
      <w:lang w:eastAsia="zh-CN"/>
    </w:rPr>
  </w:style>
  <w:style w:type="paragraph" w:customStyle="1" w:styleId="ZCom">
    <w:name w:val="Z_Com"/>
    <w:basedOn w:val="Normal"/>
    <w:next w:val="ZDGName"/>
    <w:rsid w:val="00A44A15"/>
    <w:pPr>
      <w:widowControl w:val="0"/>
      <w:spacing w:after="0" w:line="240" w:lineRule="auto"/>
      <w:ind w:right="85"/>
      <w:jc w:val="both"/>
    </w:pPr>
    <w:rPr>
      <w:rFonts w:ascii="Arial" w:eastAsia="Times New Roman" w:hAnsi="Arial" w:cs="Times New Roman"/>
      <w:sz w:val="24"/>
      <w:szCs w:val="20"/>
    </w:rPr>
  </w:style>
  <w:style w:type="paragraph" w:customStyle="1" w:styleId="ZDGName">
    <w:name w:val="Z_DGName"/>
    <w:basedOn w:val="Normal"/>
    <w:rsid w:val="00A44A15"/>
    <w:pPr>
      <w:widowControl w:val="0"/>
      <w:spacing w:after="0" w:line="240" w:lineRule="auto"/>
      <w:ind w:right="85"/>
    </w:pPr>
    <w:rPr>
      <w:rFonts w:ascii="Arial" w:eastAsia="Times New Roman" w:hAnsi="Arial" w:cs="Times New Roman"/>
      <w:sz w:val="16"/>
      <w:szCs w:val="20"/>
    </w:rPr>
  </w:style>
  <w:style w:type="paragraph" w:customStyle="1" w:styleId="Style91">
    <w:name w:val="Style91"/>
    <w:rsid w:val="00A44A15"/>
    <w:pPr>
      <w:spacing w:after="0" w:line="240" w:lineRule="auto"/>
    </w:pPr>
    <w:rPr>
      <w:rFonts w:ascii="Arial" w:eastAsia="Times New Roman" w:hAnsi="Arial" w:cs="Times New Roman"/>
      <w:sz w:val="24"/>
      <w:szCs w:val="20"/>
    </w:rPr>
  </w:style>
  <w:style w:type="paragraph" w:customStyle="1" w:styleId="texte">
    <w:name w:val="texte"/>
    <w:basedOn w:val="Normal"/>
    <w:rsid w:val="00A44A15"/>
    <w:pPr>
      <w:spacing w:before="100" w:beforeAutospacing="1" w:after="100" w:afterAutospacing="1" w:line="240" w:lineRule="auto"/>
      <w:jc w:val="both"/>
    </w:pPr>
    <w:rPr>
      <w:rFonts w:ascii="Arial" w:eastAsia="Times New Roman" w:hAnsi="Arial" w:cs="Arial"/>
      <w:color w:val="333399"/>
      <w:sz w:val="18"/>
      <w:szCs w:val="18"/>
      <w:lang w:eastAsia="zh-CN"/>
    </w:rPr>
  </w:style>
  <w:style w:type="table" w:styleId="TableGrid">
    <w:name w:val="Table Grid"/>
    <w:basedOn w:val="TableNormal"/>
    <w:uiPriority w:val="39"/>
    <w:rsid w:val="00A44A15"/>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44A15"/>
    <w:rPr>
      <w:sz w:val="16"/>
      <w:shd w:val="clear" w:color="auto" w:fill="auto"/>
    </w:rPr>
  </w:style>
  <w:style w:type="paragraph" w:styleId="CommentText">
    <w:name w:val="annotation text"/>
    <w:basedOn w:val="Normal"/>
    <w:link w:val="CommentTextChar"/>
    <w:uiPriority w:val="99"/>
    <w:rsid w:val="00A44A15"/>
    <w:pPr>
      <w:spacing w:before="120" w:after="12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A44A15"/>
    <w:rPr>
      <w:rFonts w:ascii="Times New Roman" w:eastAsia="Times New Roman" w:hAnsi="Times New Roman" w:cs="Times New Roman"/>
      <w:sz w:val="20"/>
      <w:szCs w:val="20"/>
      <w:lang w:val="de-DE" w:eastAsia="zh-CN"/>
    </w:rPr>
  </w:style>
  <w:style w:type="paragraph" w:styleId="CommentSubject">
    <w:name w:val="annotation subject"/>
    <w:basedOn w:val="CommentText"/>
    <w:next w:val="CommentText"/>
    <w:link w:val="CommentSubjectChar"/>
    <w:uiPriority w:val="99"/>
    <w:rsid w:val="00A44A15"/>
    <w:rPr>
      <w:b/>
      <w:bCs/>
    </w:rPr>
  </w:style>
  <w:style w:type="character" w:customStyle="1" w:styleId="CommentSubjectChar">
    <w:name w:val="Comment Subject Char"/>
    <w:basedOn w:val="CommentTextChar"/>
    <w:link w:val="CommentSubject"/>
    <w:uiPriority w:val="99"/>
    <w:rsid w:val="00A44A15"/>
    <w:rPr>
      <w:rFonts w:ascii="Times New Roman" w:eastAsia="Times New Roman" w:hAnsi="Times New Roman" w:cs="Times New Roman"/>
      <w:b/>
      <w:bCs/>
      <w:sz w:val="20"/>
      <w:szCs w:val="20"/>
      <w:lang w:val="de-DE" w:eastAsia="zh-CN"/>
    </w:rPr>
  </w:style>
  <w:style w:type="paragraph" w:customStyle="1" w:styleId="Style1">
    <w:name w:val="Style1"/>
    <w:basedOn w:val="Heading1"/>
    <w:rsid w:val="00A44A15"/>
    <w:pPr>
      <w:tabs>
        <w:tab w:val="left" w:pos="709"/>
      </w:tabs>
      <w:spacing w:before="240" w:after="0"/>
      <w:ind w:left="851" w:hanging="851"/>
    </w:pPr>
    <w:rPr>
      <w:bCs/>
      <w:szCs w:val="20"/>
      <w:lang w:eastAsia="zh-CN"/>
    </w:rPr>
  </w:style>
  <w:style w:type="paragraph" w:customStyle="1" w:styleId="Normal10pt">
    <w:name w:val="Normal + 10 pt"/>
    <w:aliases w:val="Condensed by  0,15 pt"/>
    <w:basedOn w:val="Normal"/>
    <w:rsid w:val="00A44A15"/>
    <w:pPr>
      <w:keepNext/>
      <w:suppressAutoHyphens/>
      <w:spacing w:after="0" w:line="240" w:lineRule="auto"/>
      <w:ind w:left="255"/>
    </w:pPr>
    <w:rPr>
      <w:rFonts w:ascii="Times New Roman" w:eastAsia="Times New Roman" w:hAnsi="Times New Roman" w:cs="Times New Roman"/>
      <w:spacing w:val="-3"/>
      <w:sz w:val="18"/>
      <w:szCs w:val="18"/>
      <w:lang w:eastAsia="zh-CN"/>
    </w:rPr>
  </w:style>
  <w:style w:type="paragraph" w:customStyle="1" w:styleId="5Normal">
    <w:name w:val="5 Normal"/>
    <w:rsid w:val="00A44A1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eastAsia="en-GB"/>
    </w:rPr>
  </w:style>
  <w:style w:type="character" w:styleId="Emphasis">
    <w:name w:val="Emphasis"/>
    <w:basedOn w:val="DefaultParagraphFont"/>
    <w:uiPriority w:val="20"/>
    <w:qFormat/>
    <w:rsid w:val="0003407F"/>
    <w:rPr>
      <w:i/>
      <w:iCs/>
    </w:rPr>
  </w:style>
  <w:style w:type="paragraph" w:styleId="Caption">
    <w:name w:val="caption"/>
    <w:basedOn w:val="Normal"/>
    <w:next w:val="Normal"/>
    <w:uiPriority w:val="35"/>
    <w:unhideWhenUsed/>
    <w:qFormat/>
    <w:rsid w:val="0003407F"/>
    <w:pPr>
      <w:spacing w:line="240" w:lineRule="auto"/>
    </w:pPr>
    <w:rPr>
      <w:b/>
      <w:bCs/>
      <w:smallCaps/>
      <w:color w:val="44546A" w:themeColor="text2"/>
    </w:rPr>
  </w:style>
  <w:style w:type="paragraph" w:styleId="EndnoteText">
    <w:name w:val="endnote text"/>
    <w:basedOn w:val="Normal"/>
    <w:link w:val="EndnoteTextChar"/>
    <w:uiPriority w:val="99"/>
    <w:rsid w:val="00A44A15"/>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A44A15"/>
    <w:rPr>
      <w:rFonts w:ascii="Times New Roman" w:eastAsia="Times New Roman" w:hAnsi="Times New Roman" w:cs="Times New Roman"/>
      <w:sz w:val="20"/>
      <w:szCs w:val="20"/>
      <w:lang w:val="de-DE"/>
    </w:rPr>
  </w:style>
  <w:style w:type="paragraph" w:styleId="Index2">
    <w:name w:val="index 2"/>
    <w:basedOn w:val="Normal"/>
    <w:next w:val="Normal"/>
    <w:autoRedefine/>
    <w:uiPriority w:val="99"/>
    <w:rsid w:val="00A44A15"/>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uiPriority w:val="99"/>
    <w:rsid w:val="00A44A15"/>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uiPriority w:val="99"/>
    <w:rsid w:val="00A44A15"/>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uiPriority w:val="99"/>
    <w:rsid w:val="00A44A15"/>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uiPriority w:val="99"/>
    <w:rsid w:val="00A44A15"/>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uiPriority w:val="99"/>
    <w:rsid w:val="00A44A15"/>
    <w:pPr>
      <w:spacing w:after="240" w:line="240" w:lineRule="auto"/>
      <w:ind w:left="1680" w:hanging="240"/>
      <w:jc w:val="both"/>
    </w:pPr>
    <w:rPr>
      <w:rFonts w:ascii="Times New Roman" w:eastAsia="Times New Roman" w:hAnsi="Times New Roman" w:cs="Times New Roman"/>
      <w:sz w:val="24"/>
      <w:szCs w:val="20"/>
    </w:rPr>
  </w:style>
  <w:style w:type="paragraph" w:styleId="Index9">
    <w:name w:val="index 9"/>
    <w:basedOn w:val="Normal"/>
    <w:next w:val="Normal"/>
    <w:autoRedefine/>
    <w:uiPriority w:val="99"/>
    <w:rsid w:val="00A44A15"/>
    <w:pPr>
      <w:spacing w:after="240" w:line="240" w:lineRule="auto"/>
      <w:ind w:left="2160" w:hanging="240"/>
      <w:jc w:val="both"/>
    </w:pPr>
    <w:rPr>
      <w:rFonts w:ascii="Times New Roman" w:eastAsia="Times New Roman" w:hAnsi="Times New Roman" w:cs="Times New Roman"/>
      <w:sz w:val="24"/>
      <w:szCs w:val="20"/>
    </w:rPr>
  </w:style>
  <w:style w:type="paragraph" w:styleId="TableofAuthorities">
    <w:name w:val="table of authorities"/>
    <w:basedOn w:val="Normal"/>
    <w:next w:val="Normal"/>
    <w:uiPriority w:val="99"/>
    <w:rsid w:val="00A44A15"/>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uiPriority w:val="99"/>
    <w:rsid w:val="00A44A15"/>
    <w:pPr>
      <w:spacing w:after="240" w:line="240" w:lineRule="auto"/>
      <w:ind w:left="480" w:hanging="480"/>
      <w:jc w:val="both"/>
    </w:pPr>
    <w:rPr>
      <w:rFonts w:ascii="Times New Roman" w:eastAsia="Times New Roman" w:hAnsi="Times New Roman" w:cs="Times New Roman"/>
      <w:sz w:val="24"/>
      <w:szCs w:val="20"/>
    </w:rPr>
  </w:style>
  <w:style w:type="paragraph" w:styleId="TOAHeading">
    <w:name w:val="toa heading"/>
    <w:basedOn w:val="Normal"/>
    <w:next w:val="Normal"/>
    <w:uiPriority w:val="99"/>
    <w:rsid w:val="00A44A15"/>
    <w:pPr>
      <w:spacing w:before="120" w:after="240" w:line="240" w:lineRule="auto"/>
      <w:jc w:val="both"/>
    </w:pPr>
    <w:rPr>
      <w:rFonts w:ascii="Arial" w:eastAsia="Times New Roman" w:hAnsi="Arial" w:cs="Times New Roman"/>
      <w:b/>
      <w:sz w:val="24"/>
      <w:szCs w:val="20"/>
    </w:rPr>
  </w:style>
  <w:style w:type="paragraph" w:customStyle="1" w:styleId="Heading">
    <w:name w:val="Heading"/>
    <w:basedOn w:val="Heading1"/>
    <w:rsid w:val="00A44A15"/>
    <w:pPr>
      <w:tabs>
        <w:tab w:val="num" w:pos="480"/>
        <w:tab w:val="left" w:pos="709"/>
      </w:tabs>
      <w:spacing w:before="240"/>
      <w:ind w:left="480" w:hanging="480"/>
    </w:pPr>
    <w:rPr>
      <w:bCs/>
      <w:sz w:val="22"/>
      <w:szCs w:val="22"/>
    </w:rPr>
  </w:style>
  <w:style w:type="paragraph" w:customStyle="1" w:styleId="Normal1">
    <w:name w:val="Normal1"/>
    <w:basedOn w:val="Normal"/>
    <w:rsid w:val="00A44A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rsid w:val="00A44A15"/>
    <w:pPr>
      <w:spacing w:before="60" w:after="60" w:line="240" w:lineRule="auto"/>
    </w:pPr>
    <w:rPr>
      <w:rFonts w:ascii="Times New Roman" w:eastAsia="Times New Roman" w:hAnsi="Times New Roman" w:cs="Times New Roman"/>
      <w:sz w:val="20"/>
      <w:szCs w:val="20"/>
      <w:lang w:eastAsia="en-GB"/>
    </w:rPr>
  </w:style>
  <w:style w:type="paragraph" w:customStyle="1" w:styleId="EntInstit">
    <w:name w:val="EntInstit"/>
    <w:basedOn w:val="NormalConseil"/>
    <w:rsid w:val="00A44A15"/>
    <w:pPr>
      <w:jc w:val="right"/>
    </w:pPr>
    <w:rPr>
      <w:b/>
    </w:rPr>
  </w:style>
  <w:style w:type="paragraph" w:customStyle="1" w:styleId="NormalConseil">
    <w:name w:val="NormalConseil"/>
    <w:basedOn w:val="Normal"/>
    <w:rsid w:val="00A44A15"/>
    <w:pPr>
      <w:spacing w:after="0" w:line="240" w:lineRule="auto"/>
    </w:pPr>
    <w:rPr>
      <w:rFonts w:ascii="Times New Roman" w:eastAsia="Times New Roman" w:hAnsi="Times New Roman" w:cs="Times New Roman"/>
      <w:sz w:val="24"/>
      <w:szCs w:val="20"/>
      <w:lang w:eastAsia="fr-BE"/>
    </w:rPr>
  </w:style>
  <w:style w:type="paragraph" w:customStyle="1" w:styleId="EntRefer">
    <w:name w:val="EntRefer"/>
    <w:basedOn w:val="NormalConseil"/>
    <w:rsid w:val="00A44A15"/>
    <w:rPr>
      <w:b/>
    </w:rPr>
  </w:style>
  <w:style w:type="paragraph" w:customStyle="1" w:styleId="EntEmet">
    <w:name w:val="EntEmet"/>
    <w:basedOn w:val="NormalConseil"/>
    <w:rsid w:val="00A44A15"/>
    <w:pPr>
      <w:tabs>
        <w:tab w:val="left" w:pos="284"/>
        <w:tab w:val="left" w:pos="567"/>
        <w:tab w:val="left" w:pos="851"/>
        <w:tab w:val="left" w:pos="1134"/>
        <w:tab w:val="left" w:pos="1418"/>
      </w:tabs>
      <w:spacing w:before="40"/>
    </w:pPr>
  </w:style>
  <w:style w:type="paragraph" w:customStyle="1" w:styleId="EntLogo">
    <w:name w:val="EntLogo"/>
    <w:basedOn w:val="NormalConseil"/>
    <w:next w:val="EntInstit"/>
    <w:rsid w:val="00A44A15"/>
    <w:pPr>
      <w:spacing w:line="360" w:lineRule="auto"/>
    </w:pPr>
    <w:rPr>
      <w:b/>
    </w:rPr>
  </w:style>
  <w:style w:type="paragraph" w:customStyle="1" w:styleId="FooterConseil">
    <w:name w:val="FooterConseil"/>
    <w:basedOn w:val="NormalConseil"/>
    <w:rsid w:val="00A44A15"/>
    <w:pPr>
      <w:tabs>
        <w:tab w:val="center" w:pos="4820"/>
        <w:tab w:val="center" w:pos="7371"/>
        <w:tab w:val="right" w:pos="9639"/>
      </w:tabs>
    </w:pPr>
  </w:style>
  <w:style w:type="character" w:styleId="Strong">
    <w:name w:val="Strong"/>
    <w:basedOn w:val="DefaultParagraphFont"/>
    <w:uiPriority w:val="22"/>
    <w:qFormat/>
    <w:rsid w:val="0003407F"/>
    <w:rPr>
      <w:b/>
      <w:bCs/>
    </w:rPr>
  </w:style>
  <w:style w:type="paragraph" w:customStyle="1" w:styleId="Annexetitrefichefinacte">
    <w:name w:val="Annexe titre (fiche fin. acte)"/>
    <w:basedOn w:val="Normal"/>
    <w:next w:val="Normal"/>
    <w:rsid w:val="00A44A15"/>
    <w:pPr>
      <w:spacing w:before="120" w:after="120" w:line="240" w:lineRule="auto"/>
      <w:jc w:val="center"/>
    </w:pPr>
    <w:rPr>
      <w:rFonts w:ascii="Times New Roman" w:eastAsia="Times New Roman" w:hAnsi="Times New Roman" w:cs="Times New Roman"/>
      <w:b/>
      <w:sz w:val="24"/>
      <w:szCs w:val="24"/>
      <w:u w:val="single"/>
      <w:lang w:eastAsia="de-DE"/>
    </w:rPr>
  </w:style>
  <w:style w:type="character" w:customStyle="1" w:styleId="Text1Char">
    <w:name w:val="Text 1 Char"/>
    <w:link w:val="Text1"/>
    <w:locked/>
    <w:rsid w:val="00A44A15"/>
    <w:rPr>
      <w:rFonts w:ascii="Times New Roman" w:eastAsia="MS PGothic" w:hAnsi="Times New Roman" w:cs="Times New Roman"/>
      <w:noProof/>
      <w:sz w:val="24"/>
      <w:szCs w:val="24"/>
      <w:lang w:val="de-DE"/>
    </w:rPr>
  </w:style>
  <w:style w:type="paragraph" w:customStyle="1" w:styleId="Declassification">
    <w:name w:val="Declassification"/>
    <w:basedOn w:val="Normal"/>
    <w:next w:val="Normal"/>
    <w:rsid w:val="00A44A15"/>
    <w:pPr>
      <w:spacing w:after="0" w:line="240" w:lineRule="auto"/>
      <w:jc w:val="both"/>
    </w:pPr>
    <w:rPr>
      <w:rFonts w:ascii="Times New Roman" w:eastAsia="Times New Roman" w:hAnsi="Times New Roman" w:cs="Times New Roman"/>
      <w:sz w:val="24"/>
    </w:rPr>
  </w:style>
  <w:style w:type="paragraph" w:styleId="Revision">
    <w:name w:val="Revision"/>
    <w:hidden/>
    <w:uiPriority w:val="99"/>
    <w:semiHidden/>
    <w:rsid w:val="00A44A15"/>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4A15"/>
    <w:pPr>
      <w:ind w:left="720"/>
      <w:contextualSpacing/>
    </w:pPr>
  </w:style>
  <w:style w:type="paragraph" w:customStyle="1" w:styleId="SecurityMarking">
    <w:name w:val="SecurityMarking"/>
    <w:basedOn w:val="Normal"/>
    <w:rsid w:val="00A44A15"/>
    <w:pPr>
      <w:spacing w:after="0"/>
      <w:ind w:left="5103"/>
    </w:pPr>
    <w:rPr>
      <w:rFonts w:ascii="Times New Roman" w:eastAsia="Times New Roman" w:hAnsi="Times New Roman" w:cs="Times New Roman"/>
      <w:sz w:val="28"/>
    </w:rPr>
  </w:style>
  <w:style w:type="paragraph" w:customStyle="1" w:styleId="DateMarking">
    <w:name w:val="DateMarking"/>
    <w:basedOn w:val="Normal"/>
    <w:rsid w:val="00A44A15"/>
    <w:pPr>
      <w:spacing w:after="0"/>
      <w:ind w:left="5103"/>
    </w:pPr>
    <w:rPr>
      <w:rFonts w:ascii="Times New Roman" w:eastAsia="Times New Roman" w:hAnsi="Times New Roman" w:cs="Times New Roman"/>
      <w:i/>
      <w:sz w:val="28"/>
    </w:rPr>
  </w:style>
  <w:style w:type="paragraph" w:customStyle="1" w:styleId="ReleasableTo">
    <w:name w:val="ReleasableTo"/>
    <w:basedOn w:val="Normal"/>
    <w:rsid w:val="00A44A15"/>
    <w:pPr>
      <w:spacing w:after="0"/>
      <w:ind w:left="5103"/>
    </w:pPr>
    <w:rPr>
      <w:rFonts w:ascii="Times New Roman" w:eastAsia="Times New Roman" w:hAnsi="Times New Roman" w:cs="Times New Roman"/>
      <w:i/>
      <w:sz w:val="28"/>
    </w:rPr>
  </w:style>
  <w:style w:type="numbering" w:styleId="111111">
    <w:name w:val="Outline List 2"/>
    <w:basedOn w:val="NoList"/>
    <w:uiPriority w:val="99"/>
    <w:semiHidden/>
    <w:unhideWhenUsed/>
    <w:rsid w:val="00A44A15"/>
    <w:pPr>
      <w:numPr>
        <w:numId w:val="17"/>
      </w:numPr>
    </w:pPr>
  </w:style>
  <w:style w:type="paragraph" w:customStyle="1" w:styleId="title-fam-member-star">
    <w:name w:val="title-fam-member-star"/>
    <w:basedOn w:val="Normal"/>
    <w:rsid w:val="00A44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A44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A44A15"/>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A44A15"/>
    <w:rPr>
      <w:vertAlign w:val="superscript"/>
    </w:rPr>
  </w:style>
  <w:style w:type="table" w:customStyle="1" w:styleId="TableGrid1">
    <w:name w:val="Table Grid1"/>
    <w:basedOn w:val="TableNormal"/>
    <w:next w:val="TableGrid"/>
    <w:uiPriority w:val="39"/>
    <w:rsid w:val="0024366A"/>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5B1F"/>
    <w:rPr>
      <w:color w:val="605E5C"/>
      <w:shd w:val="clear" w:color="auto" w:fill="E1DFDD"/>
    </w:rPr>
  </w:style>
  <w:style w:type="paragraph" w:styleId="NoSpacing">
    <w:name w:val="No Spacing"/>
    <w:uiPriority w:val="1"/>
    <w:qFormat/>
    <w:rsid w:val="0003407F"/>
    <w:pPr>
      <w:spacing w:after="0" w:line="240" w:lineRule="auto"/>
    </w:pPr>
  </w:style>
  <w:style w:type="paragraph" w:styleId="Quote">
    <w:name w:val="Quote"/>
    <w:basedOn w:val="Normal"/>
    <w:next w:val="Normal"/>
    <w:link w:val="QuoteChar"/>
    <w:uiPriority w:val="29"/>
    <w:qFormat/>
    <w:rsid w:val="0003407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3407F"/>
    <w:rPr>
      <w:color w:val="44546A" w:themeColor="text2"/>
      <w:sz w:val="24"/>
      <w:szCs w:val="24"/>
    </w:rPr>
  </w:style>
  <w:style w:type="paragraph" w:styleId="IntenseQuote">
    <w:name w:val="Intense Quote"/>
    <w:basedOn w:val="Normal"/>
    <w:next w:val="Normal"/>
    <w:link w:val="IntenseQuoteChar"/>
    <w:uiPriority w:val="30"/>
    <w:qFormat/>
    <w:rsid w:val="000340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3407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3407F"/>
    <w:rPr>
      <w:i/>
      <w:iCs/>
      <w:color w:val="595959" w:themeColor="text1" w:themeTint="A6"/>
    </w:rPr>
  </w:style>
  <w:style w:type="character" w:styleId="IntenseEmphasis">
    <w:name w:val="Intense Emphasis"/>
    <w:basedOn w:val="DefaultParagraphFont"/>
    <w:uiPriority w:val="21"/>
    <w:qFormat/>
    <w:rsid w:val="0003407F"/>
    <w:rPr>
      <w:b/>
      <w:bCs/>
      <w:i/>
      <w:iCs/>
    </w:rPr>
  </w:style>
  <w:style w:type="character" w:styleId="SubtleReference">
    <w:name w:val="Subtle Reference"/>
    <w:basedOn w:val="DefaultParagraphFont"/>
    <w:uiPriority w:val="31"/>
    <w:qFormat/>
    <w:rsid w:val="00034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3407F"/>
    <w:rPr>
      <w:b/>
      <w:bCs/>
      <w:smallCaps/>
      <w:color w:val="44546A" w:themeColor="text2"/>
      <w:u w:val="single"/>
    </w:rPr>
  </w:style>
  <w:style w:type="character" w:styleId="BookTitle">
    <w:name w:val="Book Title"/>
    <w:basedOn w:val="DefaultParagraphFont"/>
    <w:uiPriority w:val="33"/>
    <w:qFormat/>
    <w:rsid w:val="0003407F"/>
    <w:rPr>
      <w:b/>
      <w:bCs/>
      <w:smallCaps/>
      <w:spacing w:val="10"/>
    </w:rPr>
  </w:style>
  <w:style w:type="character" w:customStyle="1" w:styleId="UnresolvedMention2">
    <w:name w:val="Unresolved Mention2"/>
    <w:basedOn w:val="DefaultParagraphFont"/>
    <w:uiPriority w:val="99"/>
    <w:semiHidden/>
    <w:unhideWhenUsed/>
    <w:rsid w:val="00580528"/>
    <w:rPr>
      <w:color w:val="605E5C"/>
      <w:shd w:val="clear" w:color="auto" w:fill="E1DFDD"/>
    </w:rPr>
  </w:style>
  <w:style w:type="character" w:customStyle="1" w:styleId="Mention">
    <w:name w:val="Mention"/>
    <w:basedOn w:val="DefaultParagraphFont"/>
    <w:uiPriority w:val="99"/>
    <w:unhideWhenUsed/>
    <w:rsid w:val="00B17485"/>
    <w:rPr>
      <w:color w:val="2B579A"/>
      <w:shd w:val="clear" w:color="auto" w:fill="E1DFDD"/>
    </w:rPr>
  </w:style>
  <w:style w:type="character" w:customStyle="1" w:styleId="UnresolvedMention">
    <w:name w:val="Unresolved Mention"/>
    <w:basedOn w:val="DefaultParagraphFont"/>
    <w:uiPriority w:val="99"/>
    <w:semiHidden/>
    <w:unhideWhenUsed/>
    <w:rsid w:val="00510422"/>
    <w:rPr>
      <w:color w:val="605E5C"/>
      <w:shd w:val="clear" w:color="auto" w:fill="E1DFDD"/>
    </w:rPr>
  </w:style>
  <w:style w:type="paragraph" w:customStyle="1" w:styleId="paragraph">
    <w:name w:val="paragraph"/>
    <w:basedOn w:val="Normal"/>
    <w:rsid w:val="00ED654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D654B"/>
  </w:style>
  <w:style w:type="character" w:customStyle="1" w:styleId="eop">
    <w:name w:val="eop"/>
    <w:basedOn w:val="DefaultParagraphFont"/>
    <w:rsid w:val="00ED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4266">
      <w:bodyDiv w:val="1"/>
      <w:marLeft w:val="0"/>
      <w:marRight w:val="0"/>
      <w:marTop w:val="0"/>
      <w:marBottom w:val="0"/>
      <w:divBdr>
        <w:top w:val="none" w:sz="0" w:space="0" w:color="auto"/>
        <w:left w:val="none" w:sz="0" w:space="0" w:color="auto"/>
        <w:bottom w:val="none" w:sz="0" w:space="0" w:color="auto"/>
        <w:right w:val="none" w:sz="0" w:space="0" w:color="auto"/>
      </w:divBdr>
      <w:divsChild>
        <w:div w:id="632053380">
          <w:marLeft w:val="0"/>
          <w:marRight w:val="0"/>
          <w:marTop w:val="0"/>
          <w:marBottom w:val="0"/>
          <w:divBdr>
            <w:top w:val="none" w:sz="0" w:space="0" w:color="auto"/>
            <w:left w:val="none" w:sz="0" w:space="0" w:color="auto"/>
            <w:bottom w:val="none" w:sz="0" w:space="0" w:color="auto"/>
            <w:right w:val="none" w:sz="0" w:space="0" w:color="auto"/>
          </w:divBdr>
          <w:divsChild>
            <w:div w:id="4569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636">
      <w:bodyDiv w:val="1"/>
      <w:marLeft w:val="0"/>
      <w:marRight w:val="0"/>
      <w:marTop w:val="0"/>
      <w:marBottom w:val="0"/>
      <w:divBdr>
        <w:top w:val="none" w:sz="0" w:space="0" w:color="auto"/>
        <w:left w:val="none" w:sz="0" w:space="0" w:color="auto"/>
        <w:bottom w:val="none" w:sz="0" w:space="0" w:color="auto"/>
        <w:right w:val="none" w:sz="0" w:space="0" w:color="auto"/>
      </w:divBdr>
    </w:div>
    <w:div w:id="345375022">
      <w:bodyDiv w:val="1"/>
      <w:marLeft w:val="0"/>
      <w:marRight w:val="0"/>
      <w:marTop w:val="0"/>
      <w:marBottom w:val="0"/>
      <w:divBdr>
        <w:top w:val="none" w:sz="0" w:space="0" w:color="auto"/>
        <w:left w:val="none" w:sz="0" w:space="0" w:color="auto"/>
        <w:bottom w:val="none" w:sz="0" w:space="0" w:color="auto"/>
        <w:right w:val="none" w:sz="0" w:space="0" w:color="auto"/>
      </w:divBdr>
    </w:div>
    <w:div w:id="363291227">
      <w:bodyDiv w:val="1"/>
      <w:marLeft w:val="0"/>
      <w:marRight w:val="0"/>
      <w:marTop w:val="0"/>
      <w:marBottom w:val="0"/>
      <w:divBdr>
        <w:top w:val="none" w:sz="0" w:space="0" w:color="auto"/>
        <w:left w:val="none" w:sz="0" w:space="0" w:color="auto"/>
        <w:bottom w:val="none" w:sz="0" w:space="0" w:color="auto"/>
        <w:right w:val="none" w:sz="0" w:space="0" w:color="auto"/>
      </w:divBdr>
    </w:div>
    <w:div w:id="442502628">
      <w:bodyDiv w:val="1"/>
      <w:marLeft w:val="0"/>
      <w:marRight w:val="0"/>
      <w:marTop w:val="0"/>
      <w:marBottom w:val="0"/>
      <w:divBdr>
        <w:top w:val="none" w:sz="0" w:space="0" w:color="auto"/>
        <w:left w:val="none" w:sz="0" w:space="0" w:color="auto"/>
        <w:bottom w:val="none" w:sz="0" w:space="0" w:color="auto"/>
        <w:right w:val="none" w:sz="0" w:space="0" w:color="auto"/>
      </w:divBdr>
    </w:div>
    <w:div w:id="611328536">
      <w:bodyDiv w:val="1"/>
      <w:marLeft w:val="0"/>
      <w:marRight w:val="0"/>
      <w:marTop w:val="0"/>
      <w:marBottom w:val="0"/>
      <w:divBdr>
        <w:top w:val="none" w:sz="0" w:space="0" w:color="auto"/>
        <w:left w:val="none" w:sz="0" w:space="0" w:color="auto"/>
        <w:bottom w:val="none" w:sz="0" w:space="0" w:color="auto"/>
        <w:right w:val="none" w:sz="0" w:space="0" w:color="auto"/>
      </w:divBdr>
    </w:div>
    <w:div w:id="793866659">
      <w:bodyDiv w:val="1"/>
      <w:marLeft w:val="0"/>
      <w:marRight w:val="0"/>
      <w:marTop w:val="0"/>
      <w:marBottom w:val="0"/>
      <w:divBdr>
        <w:top w:val="none" w:sz="0" w:space="0" w:color="auto"/>
        <w:left w:val="none" w:sz="0" w:space="0" w:color="auto"/>
        <w:bottom w:val="none" w:sz="0" w:space="0" w:color="auto"/>
        <w:right w:val="none" w:sz="0" w:space="0" w:color="auto"/>
      </w:divBdr>
    </w:div>
    <w:div w:id="882907008">
      <w:bodyDiv w:val="1"/>
      <w:marLeft w:val="0"/>
      <w:marRight w:val="0"/>
      <w:marTop w:val="0"/>
      <w:marBottom w:val="0"/>
      <w:divBdr>
        <w:top w:val="none" w:sz="0" w:space="0" w:color="auto"/>
        <w:left w:val="none" w:sz="0" w:space="0" w:color="auto"/>
        <w:bottom w:val="none" w:sz="0" w:space="0" w:color="auto"/>
        <w:right w:val="none" w:sz="0" w:space="0" w:color="auto"/>
      </w:divBdr>
    </w:div>
    <w:div w:id="915553369">
      <w:bodyDiv w:val="1"/>
      <w:marLeft w:val="0"/>
      <w:marRight w:val="0"/>
      <w:marTop w:val="0"/>
      <w:marBottom w:val="0"/>
      <w:divBdr>
        <w:top w:val="none" w:sz="0" w:space="0" w:color="auto"/>
        <w:left w:val="none" w:sz="0" w:space="0" w:color="auto"/>
        <w:bottom w:val="none" w:sz="0" w:space="0" w:color="auto"/>
        <w:right w:val="none" w:sz="0" w:space="0" w:color="auto"/>
      </w:divBdr>
    </w:div>
    <w:div w:id="926228657">
      <w:bodyDiv w:val="1"/>
      <w:marLeft w:val="0"/>
      <w:marRight w:val="0"/>
      <w:marTop w:val="0"/>
      <w:marBottom w:val="0"/>
      <w:divBdr>
        <w:top w:val="none" w:sz="0" w:space="0" w:color="auto"/>
        <w:left w:val="none" w:sz="0" w:space="0" w:color="auto"/>
        <w:bottom w:val="none" w:sz="0" w:space="0" w:color="auto"/>
        <w:right w:val="none" w:sz="0" w:space="0" w:color="auto"/>
      </w:divBdr>
    </w:div>
    <w:div w:id="960652859">
      <w:bodyDiv w:val="1"/>
      <w:marLeft w:val="0"/>
      <w:marRight w:val="0"/>
      <w:marTop w:val="0"/>
      <w:marBottom w:val="0"/>
      <w:divBdr>
        <w:top w:val="none" w:sz="0" w:space="0" w:color="auto"/>
        <w:left w:val="none" w:sz="0" w:space="0" w:color="auto"/>
        <w:bottom w:val="none" w:sz="0" w:space="0" w:color="auto"/>
        <w:right w:val="none" w:sz="0" w:space="0" w:color="auto"/>
      </w:divBdr>
    </w:div>
    <w:div w:id="1041319836">
      <w:bodyDiv w:val="1"/>
      <w:marLeft w:val="0"/>
      <w:marRight w:val="0"/>
      <w:marTop w:val="0"/>
      <w:marBottom w:val="0"/>
      <w:divBdr>
        <w:top w:val="none" w:sz="0" w:space="0" w:color="auto"/>
        <w:left w:val="none" w:sz="0" w:space="0" w:color="auto"/>
        <w:bottom w:val="none" w:sz="0" w:space="0" w:color="auto"/>
        <w:right w:val="none" w:sz="0" w:space="0" w:color="auto"/>
      </w:divBdr>
    </w:div>
    <w:div w:id="1079525170">
      <w:bodyDiv w:val="1"/>
      <w:marLeft w:val="0"/>
      <w:marRight w:val="0"/>
      <w:marTop w:val="0"/>
      <w:marBottom w:val="0"/>
      <w:divBdr>
        <w:top w:val="none" w:sz="0" w:space="0" w:color="auto"/>
        <w:left w:val="none" w:sz="0" w:space="0" w:color="auto"/>
        <w:bottom w:val="none" w:sz="0" w:space="0" w:color="auto"/>
        <w:right w:val="none" w:sz="0" w:space="0" w:color="auto"/>
      </w:divBdr>
    </w:div>
    <w:div w:id="1300762968">
      <w:bodyDiv w:val="1"/>
      <w:marLeft w:val="0"/>
      <w:marRight w:val="0"/>
      <w:marTop w:val="0"/>
      <w:marBottom w:val="0"/>
      <w:divBdr>
        <w:top w:val="none" w:sz="0" w:space="0" w:color="auto"/>
        <w:left w:val="none" w:sz="0" w:space="0" w:color="auto"/>
        <w:bottom w:val="none" w:sz="0" w:space="0" w:color="auto"/>
        <w:right w:val="none" w:sz="0" w:space="0" w:color="auto"/>
      </w:divBdr>
    </w:div>
    <w:div w:id="1363169199">
      <w:bodyDiv w:val="1"/>
      <w:marLeft w:val="0"/>
      <w:marRight w:val="0"/>
      <w:marTop w:val="0"/>
      <w:marBottom w:val="0"/>
      <w:divBdr>
        <w:top w:val="none" w:sz="0" w:space="0" w:color="auto"/>
        <w:left w:val="none" w:sz="0" w:space="0" w:color="auto"/>
        <w:bottom w:val="none" w:sz="0" w:space="0" w:color="auto"/>
        <w:right w:val="none" w:sz="0" w:space="0" w:color="auto"/>
      </w:divBdr>
    </w:div>
    <w:div w:id="1412897365">
      <w:bodyDiv w:val="1"/>
      <w:marLeft w:val="0"/>
      <w:marRight w:val="0"/>
      <w:marTop w:val="0"/>
      <w:marBottom w:val="0"/>
      <w:divBdr>
        <w:top w:val="none" w:sz="0" w:space="0" w:color="auto"/>
        <w:left w:val="none" w:sz="0" w:space="0" w:color="auto"/>
        <w:bottom w:val="none" w:sz="0" w:space="0" w:color="auto"/>
        <w:right w:val="none" w:sz="0" w:space="0" w:color="auto"/>
      </w:divBdr>
    </w:div>
    <w:div w:id="1491402771">
      <w:bodyDiv w:val="1"/>
      <w:marLeft w:val="0"/>
      <w:marRight w:val="0"/>
      <w:marTop w:val="0"/>
      <w:marBottom w:val="0"/>
      <w:divBdr>
        <w:top w:val="none" w:sz="0" w:space="0" w:color="auto"/>
        <w:left w:val="none" w:sz="0" w:space="0" w:color="auto"/>
        <w:bottom w:val="none" w:sz="0" w:space="0" w:color="auto"/>
        <w:right w:val="none" w:sz="0" w:space="0" w:color="auto"/>
      </w:divBdr>
    </w:div>
    <w:div w:id="1629165008">
      <w:bodyDiv w:val="1"/>
      <w:marLeft w:val="0"/>
      <w:marRight w:val="0"/>
      <w:marTop w:val="0"/>
      <w:marBottom w:val="0"/>
      <w:divBdr>
        <w:top w:val="none" w:sz="0" w:space="0" w:color="auto"/>
        <w:left w:val="none" w:sz="0" w:space="0" w:color="auto"/>
        <w:bottom w:val="none" w:sz="0" w:space="0" w:color="auto"/>
        <w:right w:val="none" w:sz="0" w:space="0" w:color="auto"/>
      </w:divBdr>
    </w:div>
    <w:div w:id="1634170636">
      <w:bodyDiv w:val="1"/>
      <w:marLeft w:val="0"/>
      <w:marRight w:val="0"/>
      <w:marTop w:val="0"/>
      <w:marBottom w:val="0"/>
      <w:divBdr>
        <w:top w:val="none" w:sz="0" w:space="0" w:color="auto"/>
        <w:left w:val="none" w:sz="0" w:space="0" w:color="auto"/>
        <w:bottom w:val="none" w:sz="0" w:space="0" w:color="auto"/>
        <w:right w:val="none" w:sz="0" w:space="0" w:color="auto"/>
      </w:divBdr>
    </w:div>
    <w:div w:id="1780565917">
      <w:bodyDiv w:val="1"/>
      <w:marLeft w:val="0"/>
      <w:marRight w:val="0"/>
      <w:marTop w:val="0"/>
      <w:marBottom w:val="0"/>
      <w:divBdr>
        <w:top w:val="none" w:sz="0" w:space="0" w:color="auto"/>
        <w:left w:val="none" w:sz="0" w:space="0" w:color="auto"/>
        <w:bottom w:val="none" w:sz="0" w:space="0" w:color="auto"/>
        <w:right w:val="none" w:sz="0" w:space="0" w:color="auto"/>
      </w:divBdr>
    </w:div>
    <w:div w:id="1974407236">
      <w:bodyDiv w:val="1"/>
      <w:marLeft w:val="0"/>
      <w:marRight w:val="0"/>
      <w:marTop w:val="0"/>
      <w:marBottom w:val="0"/>
      <w:divBdr>
        <w:top w:val="none" w:sz="0" w:space="0" w:color="auto"/>
        <w:left w:val="none" w:sz="0" w:space="0" w:color="auto"/>
        <w:bottom w:val="none" w:sz="0" w:space="0" w:color="auto"/>
        <w:right w:val="none" w:sz="0" w:space="0" w:color="auto"/>
      </w:divBdr>
    </w:div>
    <w:div w:id="2093772716">
      <w:bodyDiv w:val="1"/>
      <w:marLeft w:val="0"/>
      <w:marRight w:val="0"/>
      <w:marTop w:val="0"/>
      <w:marBottom w:val="0"/>
      <w:divBdr>
        <w:top w:val="none" w:sz="0" w:space="0" w:color="auto"/>
        <w:left w:val="none" w:sz="0" w:space="0" w:color="auto"/>
        <w:bottom w:val="none" w:sz="0" w:space="0" w:color="auto"/>
        <w:right w:val="none" w:sz="0" w:space="0" w:color="auto"/>
      </w:divBdr>
    </w:div>
    <w:div w:id="21287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emf"/><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emf"/><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annual-activity-report-2023-agriculture-and-rural-development_en" TargetMode="External"/><Relationship Id="rId1" Type="http://schemas.openxmlformats.org/officeDocument/2006/relationships/hyperlink" Target="http://data.europa.eu/eli/reg/2024/76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38CE3A42BF247A1A135F652405EE9" ma:contentTypeVersion="6" ma:contentTypeDescription="Create a new document." ma:contentTypeScope="" ma:versionID="8d59218b30c3590909e8baf2c01867e3">
  <xsd:schema xmlns:xsd="http://www.w3.org/2001/XMLSchema" xmlns:xs="http://www.w3.org/2001/XMLSchema" xmlns:p="http://schemas.microsoft.com/office/2006/metadata/properties" xmlns:ns2="7841b247-2e61-4c7c-8517-5eb40b01f773" xmlns:ns3="a439346a-d735-416d-8aec-e77f5ea8e3c8" targetNamespace="http://schemas.microsoft.com/office/2006/metadata/properties" ma:root="true" ma:fieldsID="9c9df74022e32a03ccb6b7b65fba9ce5" ns2:_="" ns3:_="">
    <xsd:import namespace="7841b247-2e61-4c7c-8517-5eb40b01f773"/>
    <xsd:import namespace="a439346a-d735-416d-8aec-e77f5ea8e3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b247-2e61-4c7c-8517-5eb40b01f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9346a-d735-416d-8aec-e77f5ea8e3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39346a-d735-416d-8aec-e77f5ea8e3c8">
      <UserInfo>
        <DisplayName>SCHWAB Nelly (AGRI)</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7498-EDBD-41E0-9FDD-9056D6D4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b247-2e61-4c7c-8517-5eb40b01f773"/>
    <ds:schemaRef ds:uri="a439346a-d735-416d-8aec-e77f5ea8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46DD9-CBC6-46CF-9123-48C059CA7622}">
  <ds:schemaRefs>
    <ds:schemaRef ds:uri="http://schemas.microsoft.com/office/2006/metadata/properties"/>
    <ds:schemaRef ds:uri="http://schemas.microsoft.com/office/infopath/2007/PartnerControls"/>
    <ds:schemaRef ds:uri="a439346a-d735-416d-8aec-e77f5ea8e3c8"/>
  </ds:schemaRefs>
</ds:datastoreItem>
</file>

<file path=customXml/itemProps3.xml><?xml version="1.0" encoding="utf-8"?>
<ds:datastoreItem xmlns:ds="http://schemas.openxmlformats.org/officeDocument/2006/customXml" ds:itemID="{50678386-CC43-4649-A0B5-2A59E470F51E}">
  <ds:schemaRefs>
    <ds:schemaRef ds:uri="http://schemas.microsoft.com/sharepoint/v3/contenttype/forms"/>
  </ds:schemaRefs>
</ds:datastoreItem>
</file>

<file path=customXml/itemProps4.xml><?xml version="1.0" encoding="utf-8"?>
<ds:datastoreItem xmlns:ds="http://schemas.openxmlformats.org/officeDocument/2006/customXml" ds:itemID="{015EA4D4-280B-419C-A7FD-BC993B3D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27003</CharactersWithSpaces>
  <SharedDoc>false</SharedDoc>
  <HLinks>
    <vt:vector size="156" baseType="variant">
      <vt:variant>
        <vt:i4>1835057</vt:i4>
      </vt:variant>
      <vt:variant>
        <vt:i4>146</vt:i4>
      </vt:variant>
      <vt:variant>
        <vt:i4>0</vt:i4>
      </vt:variant>
      <vt:variant>
        <vt:i4>5</vt:i4>
      </vt:variant>
      <vt:variant>
        <vt:lpwstr/>
      </vt:variant>
      <vt:variant>
        <vt:lpwstr>_Toc170318173</vt:lpwstr>
      </vt:variant>
      <vt:variant>
        <vt:i4>1835057</vt:i4>
      </vt:variant>
      <vt:variant>
        <vt:i4>140</vt:i4>
      </vt:variant>
      <vt:variant>
        <vt:i4>0</vt:i4>
      </vt:variant>
      <vt:variant>
        <vt:i4>5</vt:i4>
      </vt:variant>
      <vt:variant>
        <vt:lpwstr/>
      </vt:variant>
      <vt:variant>
        <vt:lpwstr>_Toc170318172</vt:lpwstr>
      </vt:variant>
      <vt:variant>
        <vt:i4>1835057</vt:i4>
      </vt:variant>
      <vt:variant>
        <vt:i4>134</vt:i4>
      </vt:variant>
      <vt:variant>
        <vt:i4>0</vt:i4>
      </vt:variant>
      <vt:variant>
        <vt:i4>5</vt:i4>
      </vt:variant>
      <vt:variant>
        <vt:lpwstr/>
      </vt:variant>
      <vt:variant>
        <vt:lpwstr>_Toc170318171</vt:lpwstr>
      </vt:variant>
      <vt:variant>
        <vt:i4>1835057</vt:i4>
      </vt:variant>
      <vt:variant>
        <vt:i4>128</vt:i4>
      </vt:variant>
      <vt:variant>
        <vt:i4>0</vt:i4>
      </vt:variant>
      <vt:variant>
        <vt:i4>5</vt:i4>
      </vt:variant>
      <vt:variant>
        <vt:lpwstr/>
      </vt:variant>
      <vt:variant>
        <vt:lpwstr>_Toc170318170</vt:lpwstr>
      </vt:variant>
      <vt:variant>
        <vt:i4>1900593</vt:i4>
      </vt:variant>
      <vt:variant>
        <vt:i4>122</vt:i4>
      </vt:variant>
      <vt:variant>
        <vt:i4>0</vt:i4>
      </vt:variant>
      <vt:variant>
        <vt:i4>5</vt:i4>
      </vt:variant>
      <vt:variant>
        <vt:lpwstr/>
      </vt:variant>
      <vt:variant>
        <vt:lpwstr>_Toc170318169</vt:lpwstr>
      </vt:variant>
      <vt:variant>
        <vt:i4>1900593</vt:i4>
      </vt:variant>
      <vt:variant>
        <vt:i4>116</vt:i4>
      </vt:variant>
      <vt:variant>
        <vt:i4>0</vt:i4>
      </vt:variant>
      <vt:variant>
        <vt:i4>5</vt:i4>
      </vt:variant>
      <vt:variant>
        <vt:lpwstr/>
      </vt:variant>
      <vt:variant>
        <vt:lpwstr>_Toc170318168</vt:lpwstr>
      </vt:variant>
      <vt:variant>
        <vt:i4>1900593</vt:i4>
      </vt:variant>
      <vt:variant>
        <vt:i4>110</vt:i4>
      </vt:variant>
      <vt:variant>
        <vt:i4>0</vt:i4>
      </vt:variant>
      <vt:variant>
        <vt:i4>5</vt:i4>
      </vt:variant>
      <vt:variant>
        <vt:lpwstr/>
      </vt:variant>
      <vt:variant>
        <vt:lpwstr>_Toc170318167</vt:lpwstr>
      </vt:variant>
      <vt:variant>
        <vt:i4>1900593</vt:i4>
      </vt:variant>
      <vt:variant>
        <vt:i4>104</vt:i4>
      </vt:variant>
      <vt:variant>
        <vt:i4>0</vt:i4>
      </vt:variant>
      <vt:variant>
        <vt:i4>5</vt:i4>
      </vt:variant>
      <vt:variant>
        <vt:lpwstr/>
      </vt:variant>
      <vt:variant>
        <vt:lpwstr>_Toc170318166</vt:lpwstr>
      </vt:variant>
      <vt:variant>
        <vt:i4>1900593</vt:i4>
      </vt:variant>
      <vt:variant>
        <vt:i4>98</vt:i4>
      </vt:variant>
      <vt:variant>
        <vt:i4>0</vt:i4>
      </vt:variant>
      <vt:variant>
        <vt:i4>5</vt:i4>
      </vt:variant>
      <vt:variant>
        <vt:lpwstr/>
      </vt:variant>
      <vt:variant>
        <vt:lpwstr>_Toc170318165</vt:lpwstr>
      </vt:variant>
      <vt:variant>
        <vt:i4>1900593</vt:i4>
      </vt:variant>
      <vt:variant>
        <vt:i4>92</vt:i4>
      </vt:variant>
      <vt:variant>
        <vt:i4>0</vt:i4>
      </vt:variant>
      <vt:variant>
        <vt:i4>5</vt:i4>
      </vt:variant>
      <vt:variant>
        <vt:lpwstr/>
      </vt:variant>
      <vt:variant>
        <vt:lpwstr>_Toc170318164</vt:lpwstr>
      </vt:variant>
      <vt:variant>
        <vt:i4>1900593</vt:i4>
      </vt:variant>
      <vt:variant>
        <vt:i4>86</vt:i4>
      </vt:variant>
      <vt:variant>
        <vt:i4>0</vt:i4>
      </vt:variant>
      <vt:variant>
        <vt:i4>5</vt:i4>
      </vt:variant>
      <vt:variant>
        <vt:lpwstr/>
      </vt:variant>
      <vt:variant>
        <vt:lpwstr>_Toc170318163</vt:lpwstr>
      </vt:variant>
      <vt:variant>
        <vt:i4>1900593</vt:i4>
      </vt:variant>
      <vt:variant>
        <vt:i4>80</vt:i4>
      </vt:variant>
      <vt:variant>
        <vt:i4>0</vt:i4>
      </vt:variant>
      <vt:variant>
        <vt:i4>5</vt:i4>
      </vt:variant>
      <vt:variant>
        <vt:lpwstr/>
      </vt:variant>
      <vt:variant>
        <vt:lpwstr>_Toc170318162</vt:lpwstr>
      </vt:variant>
      <vt:variant>
        <vt:i4>1900593</vt:i4>
      </vt:variant>
      <vt:variant>
        <vt:i4>74</vt:i4>
      </vt:variant>
      <vt:variant>
        <vt:i4>0</vt:i4>
      </vt:variant>
      <vt:variant>
        <vt:i4>5</vt:i4>
      </vt:variant>
      <vt:variant>
        <vt:lpwstr/>
      </vt:variant>
      <vt:variant>
        <vt:lpwstr>_Toc170318161</vt:lpwstr>
      </vt:variant>
      <vt:variant>
        <vt:i4>1900593</vt:i4>
      </vt:variant>
      <vt:variant>
        <vt:i4>68</vt:i4>
      </vt:variant>
      <vt:variant>
        <vt:i4>0</vt:i4>
      </vt:variant>
      <vt:variant>
        <vt:i4>5</vt:i4>
      </vt:variant>
      <vt:variant>
        <vt:lpwstr/>
      </vt:variant>
      <vt:variant>
        <vt:lpwstr>_Toc170318160</vt:lpwstr>
      </vt:variant>
      <vt:variant>
        <vt:i4>1966129</vt:i4>
      </vt:variant>
      <vt:variant>
        <vt:i4>62</vt:i4>
      </vt:variant>
      <vt:variant>
        <vt:i4>0</vt:i4>
      </vt:variant>
      <vt:variant>
        <vt:i4>5</vt:i4>
      </vt:variant>
      <vt:variant>
        <vt:lpwstr/>
      </vt:variant>
      <vt:variant>
        <vt:lpwstr>_Toc170318159</vt:lpwstr>
      </vt:variant>
      <vt:variant>
        <vt:i4>1966129</vt:i4>
      </vt:variant>
      <vt:variant>
        <vt:i4>56</vt:i4>
      </vt:variant>
      <vt:variant>
        <vt:i4>0</vt:i4>
      </vt:variant>
      <vt:variant>
        <vt:i4>5</vt:i4>
      </vt:variant>
      <vt:variant>
        <vt:lpwstr/>
      </vt:variant>
      <vt:variant>
        <vt:lpwstr>_Toc170318158</vt:lpwstr>
      </vt:variant>
      <vt:variant>
        <vt:i4>1966129</vt:i4>
      </vt:variant>
      <vt:variant>
        <vt:i4>50</vt:i4>
      </vt:variant>
      <vt:variant>
        <vt:i4>0</vt:i4>
      </vt:variant>
      <vt:variant>
        <vt:i4>5</vt:i4>
      </vt:variant>
      <vt:variant>
        <vt:lpwstr/>
      </vt:variant>
      <vt:variant>
        <vt:lpwstr>_Toc170318157</vt:lpwstr>
      </vt:variant>
      <vt:variant>
        <vt:i4>1966129</vt:i4>
      </vt:variant>
      <vt:variant>
        <vt:i4>44</vt:i4>
      </vt:variant>
      <vt:variant>
        <vt:i4>0</vt:i4>
      </vt:variant>
      <vt:variant>
        <vt:i4>5</vt:i4>
      </vt:variant>
      <vt:variant>
        <vt:lpwstr/>
      </vt:variant>
      <vt:variant>
        <vt:lpwstr>_Toc170318156</vt:lpwstr>
      </vt:variant>
      <vt:variant>
        <vt:i4>1966129</vt:i4>
      </vt:variant>
      <vt:variant>
        <vt:i4>38</vt:i4>
      </vt:variant>
      <vt:variant>
        <vt:i4>0</vt:i4>
      </vt:variant>
      <vt:variant>
        <vt:i4>5</vt:i4>
      </vt:variant>
      <vt:variant>
        <vt:lpwstr/>
      </vt:variant>
      <vt:variant>
        <vt:lpwstr>_Toc170318155</vt:lpwstr>
      </vt:variant>
      <vt:variant>
        <vt:i4>1966129</vt:i4>
      </vt:variant>
      <vt:variant>
        <vt:i4>32</vt:i4>
      </vt:variant>
      <vt:variant>
        <vt:i4>0</vt:i4>
      </vt:variant>
      <vt:variant>
        <vt:i4>5</vt:i4>
      </vt:variant>
      <vt:variant>
        <vt:lpwstr/>
      </vt:variant>
      <vt:variant>
        <vt:lpwstr>_Toc170318154</vt:lpwstr>
      </vt:variant>
      <vt:variant>
        <vt:i4>1966129</vt:i4>
      </vt:variant>
      <vt:variant>
        <vt:i4>26</vt:i4>
      </vt:variant>
      <vt:variant>
        <vt:i4>0</vt:i4>
      </vt:variant>
      <vt:variant>
        <vt:i4>5</vt:i4>
      </vt:variant>
      <vt:variant>
        <vt:lpwstr/>
      </vt:variant>
      <vt:variant>
        <vt:lpwstr>_Toc170318153</vt:lpwstr>
      </vt:variant>
      <vt:variant>
        <vt:i4>1966129</vt:i4>
      </vt:variant>
      <vt:variant>
        <vt:i4>20</vt:i4>
      </vt:variant>
      <vt:variant>
        <vt:i4>0</vt:i4>
      </vt:variant>
      <vt:variant>
        <vt:i4>5</vt:i4>
      </vt:variant>
      <vt:variant>
        <vt:lpwstr/>
      </vt:variant>
      <vt:variant>
        <vt:lpwstr>_Toc170318152</vt:lpwstr>
      </vt:variant>
      <vt:variant>
        <vt:i4>1966129</vt:i4>
      </vt:variant>
      <vt:variant>
        <vt:i4>14</vt:i4>
      </vt:variant>
      <vt:variant>
        <vt:i4>0</vt:i4>
      </vt:variant>
      <vt:variant>
        <vt:i4>5</vt:i4>
      </vt:variant>
      <vt:variant>
        <vt:lpwstr/>
      </vt:variant>
      <vt:variant>
        <vt:lpwstr>_Toc170318151</vt:lpwstr>
      </vt:variant>
      <vt:variant>
        <vt:i4>1966129</vt:i4>
      </vt:variant>
      <vt:variant>
        <vt:i4>8</vt:i4>
      </vt:variant>
      <vt:variant>
        <vt:i4>0</vt:i4>
      </vt:variant>
      <vt:variant>
        <vt:i4>5</vt:i4>
      </vt:variant>
      <vt:variant>
        <vt:lpwstr/>
      </vt:variant>
      <vt:variant>
        <vt:lpwstr>_Toc170318150</vt:lpwstr>
      </vt:variant>
      <vt:variant>
        <vt:i4>2031665</vt:i4>
      </vt:variant>
      <vt:variant>
        <vt:i4>2</vt:i4>
      </vt:variant>
      <vt:variant>
        <vt:i4>0</vt:i4>
      </vt:variant>
      <vt:variant>
        <vt:i4>5</vt:i4>
      </vt:variant>
      <vt:variant>
        <vt:lpwstr/>
      </vt:variant>
      <vt:variant>
        <vt:lpwstr>_Toc170318149</vt:lpwstr>
      </vt:variant>
      <vt:variant>
        <vt:i4>46</vt:i4>
      </vt:variant>
      <vt:variant>
        <vt:i4>0</vt:i4>
      </vt:variant>
      <vt:variant>
        <vt:i4>0</vt:i4>
      </vt:variant>
      <vt:variant>
        <vt:i4>5</vt:i4>
      </vt:variant>
      <vt:variant>
        <vt:lpwstr>https://commission.europa.eu/publications/annual-activity-report-2023-agriculture-and-rural-development_en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cp:lastPrinted>2024-06-15T00:33:00Z</cp:lastPrinted>
  <dcterms:created xsi:type="dcterms:W3CDTF">2024-07-30T12:38:00Z</dcterms:created>
  <dcterms:modified xsi:type="dcterms:W3CDTF">2024-09-23T07:31:00Z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2022-07-18T10:22:51Z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af3b694e-4a7b-4ea9-a6ed-065a5a095043</vt:lpwstr>
  </property>
  <property fmtid="{D5CDD505-2E9C-101B-9397-08002B2CF9AE}" pid="15" name="MSIP_Label_6bd9ddd1-4d20-43f6-abfa-fc3c07406f94_ContentBits">
    <vt:lpwstr>0</vt:lpwstr>
  </property>
  <property fmtid="{D5CDD505-2E9C-101B-9397-08002B2CF9AE}" pid="16" name="ContentTypeId">
    <vt:lpwstr>0x010100EBA38CE3A42BF247A1A135F652405EE9</vt:lpwstr>
  </property>
</Properties>
</file>