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9240B" w14:textId="0CF3478B" w:rsidR="00843E89" w:rsidRDefault="004F7AD8" w:rsidP="004F7AD8">
      <w:pPr>
        <w:pStyle w:val="Pagedecouverture"/>
        <w:rPr>
          <w:noProof/>
        </w:rPr>
      </w:pPr>
      <w:bookmarkStart w:id="0" w:name="_Toc106886462"/>
      <w:bookmarkStart w:id="1" w:name="_Toc113284133"/>
      <w:bookmarkStart w:id="2" w:name="_Toc113290821"/>
      <w:bookmarkStart w:id="3" w:name="_Toc113353499"/>
      <w:bookmarkStart w:id="4" w:name="_Toc113353571"/>
      <w:bookmarkStart w:id="5" w:name="_Toc113525431"/>
      <w:bookmarkStart w:id="6" w:name="_Toc113548270"/>
      <w:bookmarkStart w:id="7" w:name="LW_BM_COVERPAGE"/>
      <w:r>
        <w:rPr>
          <w:noProof/>
        </w:rPr>
        <w:pict w14:anchorId="2012B8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C716CC54-0F47-4F7C-B2F6-A4DBD97AB469" style="width:455.15pt;height:310.45pt">
            <v:imagedata r:id="rId15" o:title=""/>
          </v:shape>
        </w:pict>
      </w:r>
    </w:p>
    <w:bookmarkEnd w:id="7"/>
    <w:p w14:paraId="569149BF" w14:textId="77777777" w:rsidR="00843E89" w:rsidRDefault="00843E89" w:rsidP="00843E89">
      <w:pPr>
        <w:rPr>
          <w:noProof/>
        </w:rPr>
        <w:sectPr w:rsidR="00843E89" w:rsidSect="004F7AD8">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14:paraId="21C03166" w14:textId="51DDC706" w:rsidR="00CE68D6" w:rsidRDefault="00B0628C" w:rsidP="00FB0861">
      <w:pPr>
        <w:ind w:left="1080" w:hanging="720"/>
        <w:jc w:val="center"/>
        <w:rPr>
          <w:b/>
          <w:bCs/>
          <w:noProof/>
        </w:rPr>
      </w:pPr>
      <w:bookmarkStart w:id="8" w:name="_GoBack"/>
      <w:bookmarkEnd w:id="8"/>
      <w:r>
        <w:rPr>
          <w:b/>
          <w:noProof/>
        </w:rPr>
        <w:lastRenderedPageBreak/>
        <w:t>POROČILO KOMISIJE EVROPSKEMU PARLAMENTU IN SVETU</w:t>
      </w:r>
    </w:p>
    <w:p w14:paraId="5F78E549" w14:textId="27CCBFBD" w:rsidR="00B0628C" w:rsidRPr="00B0628C" w:rsidRDefault="00B0628C" w:rsidP="00FB0861">
      <w:pPr>
        <w:ind w:left="1080" w:hanging="720"/>
        <w:jc w:val="center"/>
        <w:rPr>
          <w:b/>
          <w:bCs/>
          <w:noProof/>
        </w:rPr>
      </w:pPr>
      <w:r>
        <w:rPr>
          <w:b/>
          <w:noProof/>
        </w:rPr>
        <w:t>o izvajanju instrumenta za posojila v javnem sektorju v okviru mehanizma za pravični prehod v letu 2024 iz člena 16 Uredbe (EU) 2021/1229</w:t>
      </w:r>
    </w:p>
    <w:p w14:paraId="7088C5F9" w14:textId="341249DB" w:rsidR="003F3EEE" w:rsidRPr="003F3EEE" w:rsidRDefault="009C0690" w:rsidP="001A3076">
      <w:pPr>
        <w:pStyle w:val="Heading1"/>
        <w:numPr>
          <w:ilvl w:val="0"/>
          <w:numId w:val="20"/>
        </w:numPr>
        <w:rPr>
          <w:noProof/>
        </w:rPr>
      </w:pPr>
      <w:r>
        <w:rPr>
          <w:noProof/>
        </w:rPr>
        <w:t xml:space="preserve">Uvod </w:t>
      </w:r>
    </w:p>
    <w:p w14:paraId="7144B043" w14:textId="12E18C1D" w:rsidR="00017648" w:rsidRDefault="00F654E4" w:rsidP="00EA4FEB">
      <w:pPr>
        <w:spacing w:before="120" w:after="120"/>
        <w:rPr>
          <w:noProof/>
          <w:szCs w:val="24"/>
        </w:rPr>
      </w:pPr>
      <w:r>
        <w:rPr>
          <w:noProof/>
        </w:rPr>
        <w:t>Komisija je januarja 2020 v okviru naložbenega načrta za evropski zeleni dogovor</w:t>
      </w:r>
      <w:r w:rsidR="00FF0953" w:rsidRPr="00D75156">
        <w:rPr>
          <w:rStyle w:val="FootnoteReference"/>
          <w:noProof/>
          <w:szCs w:val="24"/>
        </w:rPr>
        <w:footnoteReference w:id="2"/>
      </w:r>
      <w:r>
        <w:rPr>
          <w:noProof/>
        </w:rPr>
        <w:t xml:space="preserve"> napovedala mehanizem za pravični prehod za zagotovitev, da ne bosta pri prehodu na podnebno nevtralno gospodarstvo prezrta noben posameznik in nobena regija. Mehanizem za pravični prehod sestavljajo trije stebri: prvi steber je Sklad za pravični prehod, drugi steber je namenski program za pravični prehod v okviru InvestEU, tretji steber pa je instrument za posojila v javnem sektorju (Instrument)</w:t>
      </w:r>
      <w:r w:rsidR="009C66B0" w:rsidRPr="00D75156">
        <w:rPr>
          <w:rStyle w:val="FootnoteReference"/>
          <w:noProof/>
          <w:szCs w:val="24"/>
        </w:rPr>
        <w:footnoteReference w:id="3"/>
      </w:r>
      <w:r>
        <w:rPr>
          <w:noProof/>
        </w:rPr>
        <w:t xml:space="preserve">. </w:t>
      </w:r>
    </w:p>
    <w:p w14:paraId="150404C5" w14:textId="3BC97D7C" w:rsidR="00937881" w:rsidRPr="00344C8D" w:rsidRDefault="00937881" w:rsidP="7C5E676D">
      <w:pPr>
        <w:spacing w:before="120" w:after="120"/>
        <w:rPr>
          <w:noProof/>
        </w:rPr>
      </w:pPr>
      <w:r>
        <w:rPr>
          <w:noProof/>
        </w:rPr>
        <w:t>To letno poročilo se osredotoča na tretji steber, prizadeva pa si zagotoviti informacije o dosedanjem napredku pri izvajanju Instrumenta. Gre za zbirno poročilo od začetka izvajanja Instrumenta do 30. julija 2024. Preostali del leta 2024 bo zajet v naslednjem poročilu v skladu z obveznostmi poročanja o izvajanju Instrumenta (glej podrobnosti v oddelku 1.2).</w:t>
      </w:r>
    </w:p>
    <w:p w14:paraId="1B7F4AC5" w14:textId="3164C5FC" w:rsidR="00F654E4" w:rsidRPr="00D75156" w:rsidRDefault="00F654E4" w:rsidP="00DA537B">
      <w:pPr>
        <w:pStyle w:val="NumPar1"/>
        <w:numPr>
          <w:ilvl w:val="1"/>
          <w:numId w:val="20"/>
        </w:numPr>
        <w:spacing w:before="240" w:after="120"/>
        <w:ind w:left="1077"/>
        <w:rPr>
          <w:b/>
          <w:bCs/>
          <w:noProof/>
        </w:rPr>
      </w:pPr>
      <w:r>
        <w:rPr>
          <w:b/>
          <w:noProof/>
        </w:rPr>
        <w:t>Pravni in proračunski okvir instrumenta za posojila v javnem sektorju v okviru mehanizma za pravični prehod</w:t>
      </w:r>
    </w:p>
    <w:p w14:paraId="0A51467A" w14:textId="2603AD64" w:rsidR="00495B62" w:rsidRDefault="00495B62" w:rsidP="008B3DED">
      <w:pPr>
        <w:spacing w:before="120" w:after="120"/>
        <w:rPr>
          <w:noProof/>
        </w:rPr>
      </w:pPr>
      <w:r>
        <w:rPr>
          <w:noProof/>
        </w:rPr>
        <w:t>Splošni cilj Instrumenta je rešiti resne socialne, gospodarske in okoljske izzive, ki izhajajo iz prehoda na podnebno nevtralno gospodarstvo</w:t>
      </w:r>
      <w:r>
        <w:rPr>
          <w:rStyle w:val="FootnoteReference"/>
          <w:noProof/>
        </w:rPr>
        <w:footnoteReference w:id="4"/>
      </w:r>
      <w:r>
        <w:rPr>
          <w:noProof/>
        </w:rPr>
        <w:t>, v korist območij Unije, opredeljenih v območnih načrtih za pravični prehod</w:t>
      </w:r>
      <w:r w:rsidRPr="00344C8D">
        <w:rPr>
          <w:rStyle w:val="FootnoteReference"/>
          <w:noProof/>
          <w:szCs w:val="24"/>
        </w:rPr>
        <w:footnoteReference w:id="5"/>
      </w:r>
      <w:r>
        <w:rPr>
          <w:noProof/>
        </w:rPr>
        <w:t xml:space="preserve">. </w:t>
      </w:r>
    </w:p>
    <w:p w14:paraId="7D61DCCB" w14:textId="7658A514" w:rsidR="008B3DED" w:rsidRDefault="00495B62" w:rsidP="008B3DED">
      <w:pPr>
        <w:spacing w:before="120" w:after="120"/>
        <w:rPr>
          <w:noProof/>
          <w:szCs w:val="24"/>
        </w:rPr>
      </w:pPr>
      <w:r>
        <w:rPr>
          <w:noProof/>
        </w:rPr>
        <w:t>Specifični cilj Instrumenta je spodbuditi naložbe javnega sektorja, ki obravnavajo razvojne potrebe območij, opisanih v območnih načrtih za pravični prehod. To dosega z olajšanjem financiranja projektov, ki ne ustvarjajo zadostnih tokov prihodkov za kritje svojih stroškov naložb, s čimer preprečuje izrivanje morebitne podpore in naložb iz alternativnih virov. Podpora je na voljo za širok nabor naložb</w:t>
      </w:r>
      <w:r w:rsidR="008571BB">
        <w:rPr>
          <w:rStyle w:val="FootnoteReference"/>
          <w:noProof/>
          <w:szCs w:val="24"/>
        </w:rPr>
        <w:footnoteReference w:id="6"/>
      </w:r>
      <w:r>
        <w:rPr>
          <w:noProof/>
        </w:rPr>
        <w:t>. </w:t>
      </w:r>
    </w:p>
    <w:p w14:paraId="2E6060CB" w14:textId="36431AFA" w:rsidR="008B3DED" w:rsidRPr="00344C8D" w:rsidRDefault="008B3DED" w:rsidP="25381AA0">
      <w:pPr>
        <w:spacing w:before="120" w:after="120"/>
        <w:rPr>
          <w:noProof/>
        </w:rPr>
      </w:pPr>
      <w:r>
        <w:rPr>
          <w:noProof/>
        </w:rPr>
        <w:t>Uredba o instrumentu za posojila v javnem sektorju določa skupni najvišji proračun podpore Unije v višini 1,525 milijarde EUR za del nepovratnih sredstev instrumenta (vključno s tehnično pomočjo in svetovalno podporo). Evropski parlament je februarja 2024 na podlagi predloga Komisije iz junija 2023 odobril vmesno revizijo zgornjih mej odhodkov v večletnem finančnem okviru (VFO), Svet pa se je soglasno strinjal. Doseženi dogovor o vmesni reviziji VFO kaže, kako pomembno je proračunu EU zagotoviti potrebna sredstva za nadaljnje uresničevanje prednostnih nalog za Evropo in naše partnerje, kar je bilo poudarjeno v ključnih sektorskih predlogih. V zvezi s tem je bila sprejeta odločitev o prerazporeditvi v skupni višini 1,1 milijarde EUR iz delov skupne kmetijske politike (SKP) in skladov kohezijske politike v okviru neposrednega in posrednega upravljanja. Posledično se je proračun instrumenta za posojila v javnem sektorju zmanjšal za 150 milijonov EUR. Po teh prerazporeditvah najvišji proračun, ki je na voljo za instrument za posojila v javnem sektorju, znaša 1,375 milijarde EUR.</w:t>
      </w:r>
    </w:p>
    <w:p w14:paraId="426E07C4" w14:textId="25AD4E24" w:rsidR="008B3DED" w:rsidRDefault="00495B62" w:rsidP="008B3DED">
      <w:pPr>
        <w:spacing w:before="120" w:after="120"/>
        <w:rPr>
          <w:noProof/>
          <w:szCs w:val="24"/>
        </w:rPr>
      </w:pPr>
      <w:r>
        <w:rPr>
          <w:noProof/>
        </w:rPr>
        <w:t xml:space="preserve">Posojila, ki jih zagotovi Evropska investicijska banka (EIB) kot finančni partner, se v okviru Instrumenta kombinirajo z nepovratnimi sredstvi, ki jih zagotovi Unija za podporo projektom, ki jih predložijo subjekti javnega sektorja. EIB bo zagotovila približno 6–8 milijard EUR za posojilni del Instrumenta. </w:t>
      </w:r>
    </w:p>
    <w:p w14:paraId="351F5A7E" w14:textId="4F63A473" w:rsidR="0086488C" w:rsidRDefault="006B1DB4" w:rsidP="00917D91">
      <w:pPr>
        <w:pStyle w:val="NumPar1"/>
        <w:spacing w:before="120"/>
        <w:rPr>
          <w:noProof/>
        </w:rPr>
      </w:pPr>
      <w:r>
        <w:rPr>
          <w:noProof/>
        </w:rPr>
        <w:t>Komisija pri izvajanju Instrumenta poleg EIB tesno sodeluje z Evropsko izvajalsko agencijo za podnebje, infrastrukturo in okolje (CINEA). CINEA je odgovorna za proračunske, pravne, finančne in operativne vidike izvajanja nepovratnih sredstev, Komisija pa ostaja v celoti odgovorna za vse vidike, povezane s politiko.</w:t>
      </w:r>
    </w:p>
    <w:p w14:paraId="020C17FD" w14:textId="2DD6B675" w:rsidR="008B3DED" w:rsidRPr="002D564D" w:rsidRDefault="008B3DED" w:rsidP="00967CEC">
      <w:pPr>
        <w:pStyle w:val="NumPar1"/>
        <w:numPr>
          <w:ilvl w:val="1"/>
          <w:numId w:val="20"/>
        </w:numPr>
        <w:spacing w:before="120" w:after="120"/>
        <w:ind w:left="1077"/>
        <w:rPr>
          <w:b/>
          <w:bCs/>
          <w:noProof/>
        </w:rPr>
      </w:pPr>
      <w:r>
        <w:rPr>
          <w:b/>
          <w:noProof/>
        </w:rPr>
        <w:t>Obseg poročila o izvajanju za leto 2024</w:t>
      </w:r>
    </w:p>
    <w:bookmarkEnd w:id="0"/>
    <w:bookmarkEnd w:id="1"/>
    <w:bookmarkEnd w:id="2"/>
    <w:bookmarkEnd w:id="3"/>
    <w:bookmarkEnd w:id="4"/>
    <w:bookmarkEnd w:id="5"/>
    <w:bookmarkEnd w:id="6"/>
    <w:p w14:paraId="24790275" w14:textId="7ACD48B4" w:rsidR="007A76BA" w:rsidRPr="008571BB" w:rsidRDefault="007A76BA" w:rsidP="007A76BA">
      <w:pPr>
        <w:spacing w:before="120" w:after="120"/>
        <w:rPr>
          <w:noProof/>
        </w:rPr>
      </w:pPr>
      <w:r>
        <w:rPr>
          <w:noProof/>
        </w:rPr>
        <w:t>V skladu s členom 16(3) uredbe o instrumentu za posojila v javnem sektorju „Komisija do 31. oktobra vsako koledarsko leto, od leta 2022, izda poročilo o izvajanju Instrumenta.</w:t>
      </w:r>
      <w:r>
        <w:rPr>
          <w:i/>
          <w:noProof/>
        </w:rPr>
        <w:t xml:space="preserve"> </w:t>
      </w:r>
      <w:r>
        <w:rPr>
          <w:noProof/>
        </w:rPr>
        <w:t>To poročilo zagotavlja informacije o ravni izvajanja Instrumenta v zvezi z njegovimi cilji, pogoji in kazalniki uspešnosti.“</w:t>
      </w:r>
    </w:p>
    <w:p w14:paraId="2E7D3A4C" w14:textId="020D5CD5" w:rsidR="00BF54B0" w:rsidRDefault="00BF54B0" w:rsidP="00BF54B0">
      <w:pPr>
        <w:spacing w:before="120" w:after="120"/>
        <w:rPr>
          <w:noProof/>
          <w:szCs w:val="24"/>
        </w:rPr>
      </w:pPr>
      <w:r>
        <w:rPr>
          <w:noProof/>
        </w:rPr>
        <w:t xml:space="preserve">Prejšnji poročili sta bili izdani 7. februarja 2023 in 21. novembra 2023. </w:t>
      </w:r>
    </w:p>
    <w:p w14:paraId="45C17FAC" w14:textId="62CAF370" w:rsidR="008B3DED" w:rsidRDefault="004A429B" w:rsidP="00BF54B0">
      <w:pPr>
        <w:spacing w:before="120" w:after="120"/>
        <w:rPr>
          <w:noProof/>
          <w:color w:val="333333"/>
          <w:szCs w:val="24"/>
        </w:rPr>
      </w:pPr>
      <w:r>
        <w:rPr>
          <w:noProof/>
        </w:rPr>
        <w:t>V tem poročilu so informacije o (i) rezultatih prvega razpisa za zbiranje predlogov v okviru instrumenta za posojila v javnem sektorju za šest rokov za predložitev, vključno z morebitnimi predlogi projektov, (ii) tehnični pomoči, (iii) komuniciranju, (iv) doseženem napredku, vključno z izzivi in prednostmi instrumenta, ter (v) naslednjih korakih.</w:t>
      </w:r>
    </w:p>
    <w:p w14:paraId="77C08889" w14:textId="064F3970" w:rsidR="00F04C6B" w:rsidRPr="00967CEC" w:rsidRDefault="005732B6" w:rsidP="00967CEC">
      <w:pPr>
        <w:pStyle w:val="Heading1"/>
        <w:numPr>
          <w:ilvl w:val="0"/>
          <w:numId w:val="20"/>
        </w:numPr>
        <w:rPr>
          <w:bCs/>
          <w:smallCaps w:val="0"/>
          <w:noProof/>
        </w:rPr>
      </w:pPr>
      <w:r>
        <w:rPr>
          <w:noProof/>
        </w:rPr>
        <w:t>Izvajanje Instrumenta</w:t>
      </w:r>
    </w:p>
    <w:p w14:paraId="5730AE02" w14:textId="15500124" w:rsidR="005732B6" w:rsidRDefault="005732B6" w:rsidP="00967CEC">
      <w:pPr>
        <w:pStyle w:val="NumPar1"/>
        <w:numPr>
          <w:ilvl w:val="1"/>
          <w:numId w:val="20"/>
        </w:numPr>
        <w:spacing w:after="120"/>
        <w:rPr>
          <w:b/>
          <w:bCs/>
          <w:noProof/>
        </w:rPr>
      </w:pPr>
      <w:r>
        <w:rPr>
          <w:b/>
          <w:noProof/>
        </w:rPr>
        <w:t>Rezultati prvega razpisa za zbiranje predlogov v okviru instrumenta za posojila v javnem sektorju po šestih rokih za predložitev</w:t>
      </w:r>
    </w:p>
    <w:p w14:paraId="128C848E" w14:textId="6B8F664A" w:rsidR="00E21FE8" w:rsidRDefault="5BE5C4AD" w:rsidP="00843E89">
      <w:pPr>
        <w:spacing w:before="120" w:after="120"/>
        <w:rPr>
          <w:noProof/>
        </w:rPr>
      </w:pPr>
      <w:r>
        <w:rPr>
          <w:noProof/>
        </w:rPr>
        <w:t>Od prejšnjega poročila o izvajanju instrumenta za posojila v javnem sektorju so pretekli trije roki razpisa za zbiranje predlogov v okviru instrumenta za posojila v javnem sektorju. Za te tri roke je bilo predloženih 29 predlogov, od katerih jih je ocenjevalni odbor 13 izbral za financiranje. Posojila za nekatere še niso odobrena</w:t>
      </w:r>
      <w:r w:rsidR="005B34B2">
        <w:rPr>
          <w:rStyle w:val="FootnoteReference"/>
          <w:noProof/>
        </w:rPr>
        <w:footnoteReference w:id="7"/>
      </w:r>
      <w:r>
        <w:rPr>
          <w:noProof/>
        </w:rPr>
        <w:t xml:space="preserve"> (glej preglednico 1). Glede na zagotovljene informacije predložene vloge predstavljajo ocenjeni znesek v višini 123 milijonov EUR nepovratnih sredstev Komisije in ocenjeni znesek v višini 732 milijonov EUR posojil EIB</w:t>
      </w:r>
      <w:r w:rsidR="00FC5691" w:rsidRPr="326F9E3C">
        <w:rPr>
          <w:rStyle w:val="FootnoteReference"/>
          <w:noProof/>
        </w:rPr>
        <w:footnoteReference w:id="8"/>
      </w:r>
      <w:r>
        <w:rPr>
          <w:noProof/>
        </w:rPr>
        <w:t>. Komisija je za financiranje izbrala dva francoska predloga in ju uvrstila na rezervni seznam, ker iz francoskega nacionalnega proračuna niso bila dodeljena preostala sredstva. Rezervni seznam bo veljal do konca prvega razpisa za zbiranje predlogov v okviru instrumenta za posojila v javnem sektorju (konec decembra 2025), ko bodo preostala finančna sredstva zagotovljena brez predhodno dodeljenih nacionalnih deležev. Razpis za zbiranje predlogov v okviru instrumenta za posojila v javnem sektorju je bil 1. februarja 2024 spremenjen, da bi se izboljšala njegova učinkovitost in pojasnilo, da se vloge za projekte, ki jih predložijo države članice, za katere so bila nacionalna sredstva izčrpana, ne bodo štele za upravičene</w:t>
      </w:r>
      <w:r w:rsidR="00C32D9A">
        <w:rPr>
          <w:rStyle w:val="FootnoteReference"/>
          <w:noProof/>
        </w:rPr>
        <w:footnoteReference w:id="9"/>
      </w:r>
      <w:r>
        <w:rPr>
          <w:noProof/>
        </w:rPr>
        <w:t>. Poleg tega je bilo 10 predlogov nedopustnih, ker so bili nepopolni, en predlog (Francija) pa ni bil upravičen, ker so bila nacionalna sredstva, v okviru katerih je bil predložen, že porabljena (predlog je bil predložen po zgoraj navedeni spremembi razpisa za zbiranje predlogov). Poleg tega dva predloga (Francija, Irska) nista bila izbrana za financiranje, ker nista izpolnjevala meril za dodelitev, en predlog, ki je bil izbran za financiranje (Češka), pa je nosilec projekta umaknil zaradi drugih razpoložljivih virov financiranja.</w:t>
      </w:r>
    </w:p>
    <w:p w14:paraId="3A940988" w14:textId="7A8C90CF" w:rsidR="00596DBD" w:rsidRDefault="00E21FE8" w:rsidP="00917D91">
      <w:pPr>
        <w:pStyle w:val="NumPar1"/>
        <w:spacing w:before="120" w:after="120"/>
        <w:rPr>
          <w:noProof/>
          <w:szCs w:val="24"/>
        </w:rPr>
      </w:pPr>
      <w:r>
        <w:rPr>
          <w:noProof/>
        </w:rPr>
        <w:t>Od objave prvega razpisa za zbiranje predlogov v okviru instrumenta za posojila v javnem sektorju 19. julija 2022 je bilo skupaj predloženih 37 predlogov, od katerih jih je za financiranje ocenjevalni odbor izbral 15 (posojila za nekatere od njih še niso odobrena) in podpisani so bili štirje sporazumi o nepovratnih sredstvih v okviru instrumenta za posojila v javnem sektorju (za več podrobnosti glej oddelek 2.2). Glede na informacije iz predloženih vlog predstavljajo ocenjeni znesek v višini 148 milijonov EUR nepovratnih sredstev Komisije in ocenjeni znesek v višini 863 milijonov EUR posojil EIB</w:t>
      </w:r>
      <w:r w:rsidR="00FC5691">
        <w:rPr>
          <w:rStyle w:val="FootnoteReference"/>
          <w:iCs/>
          <w:noProof/>
        </w:rPr>
        <w:footnoteReference w:id="10"/>
      </w:r>
      <w:r>
        <w:rPr>
          <w:noProof/>
        </w:rPr>
        <w:t>.</w:t>
      </w:r>
    </w:p>
    <w:p w14:paraId="5ABF57CF" w14:textId="5AB6EFF2" w:rsidR="004C32B3" w:rsidRDefault="21BD87EA" w:rsidP="00843E89">
      <w:pPr>
        <w:spacing w:before="120" w:after="120"/>
        <w:rPr>
          <w:noProof/>
        </w:rPr>
      </w:pPr>
      <w:r>
        <w:rPr>
          <w:noProof/>
        </w:rPr>
        <w:t xml:space="preserve">Po zaključenih rokih za predložitev so bila nekatera nacionalna sredstva v celoti (Francija) ali skoraj v celoti (Švedska) porabljena. </w:t>
      </w:r>
    </w:p>
    <w:p w14:paraId="6764F9E3" w14:textId="03DF9559" w:rsidR="002B3AB7" w:rsidRDefault="00BD35B6" w:rsidP="00BD35B6">
      <w:pPr>
        <w:pStyle w:val="Caption"/>
        <w:jc w:val="center"/>
        <w:rPr>
          <w:noProof/>
        </w:rPr>
      </w:pPr>
      <w:r>
        <w:rPr>
          <w:noProof/>
        </w:rPr>
        <w:t>Slika </w:t>
      </w:r>
      <w:r w:rsidR="008E5E43">
        <w:rPr>
          <w:noProof/>
        </w:rPr>
        <w:fldChar w:fldCharType="begin"/>
      </w:r>
      <w:r w:rsidR="008E5E43">
        <w:rPr>
          <w:noProof/>
        </w:rPr>
        <w:instrText xml:space="preserve"> SEQ Figure \* ARABIC </w:instrText>
      </w:r>
      <w:r w:rsidR="008E5E43">
        <w:rPr>
          <w:noProof/>
        </w:rPr>
        <w:fldChar w:fldCharType="separate"/>
      </w:r>
      <w:r w:rsidR="00316D68">
        <w:rPr>
          <w:noProof/>
        </w:rPr>
        <w:t>1</w:t>
      </w:r>
      <w:r w:rsidR="008E5E43">
        <w:rPr>
          <w:noProof/>
        </w:rPr>
        <w:fldChar w:fldCharType="end"/>
      </w:r>
      <w:r>
        <w:rPr>
          <w:noProof/>
        </w:rPr>
        <w:t xml:space="preserve"> Nacionalni deleži (rezervirani do 31. decembra 2025) in njihova poraba glede na nepovratna sredstva, ki so bila dodeljena ali so predmet ocene</w:t>
      </w:r>
      <w:r w:rsidR="00D208F9">
        <w:rPr>
          <w:rStyle w:val="FootnoteReference"/>
          <w:noProof/>
        </w:rPr>
        <w:footnoteReference w:id="11"/>
      </w:r>
    </w:p>
    <w:p w14:paraId="0C7F68B3" w14:textId="666B56B4" w:rsidR="00D208F9" w:rsidRDefault="005119A7" w:rsidP="00DA537B">
      <w:pPr>
        <w:pStyle w:val="Caption"/>
        <w:spacing w:before="120" w:after="60"/>
        <w:jc w:val="center"/>
        <w:rPr>
          <w:noProof/>
        </w:rPr>
      </w:pPr>
      <w:r w:rsidRPr="005119A7">
        <w:rPr>
          <w:noProof/>
          <w:lang w:val="en-GB" w:eastAsia="en-GB"/>
        </w:rPr>
        <w:drawing>
          <wp:inline distT="0" distB="0" distL="0" distR="0" wp14:anchorId="4B604D5B" wp14:editId="6DB22611">
            <wp:extent cx="6029960" cy="3872230"/>
            <wp:effectExtent l="0" t="0" r="8890" b="0"/>
            <wp:docPr id="14454202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29960" cy="3872230"/>
                    </a:xfrm>
                    <a:prstGeom prst="rect">
                      <a:avLst/>
                    </a:prstGeom>
                    <a:noFill/>
                    <a:ln>
                      <a:noFill/>
                    </a:ln>
                  </pic:spPr>
                </pic:pic>
              </a:graphicData>
            </a:graphic>
          </wp:inline>
        </w:drawing>
      </w:r>
    </w:p>
    <w:p w14:paraId="0F9BEE83" w14:textId="31F9018B" w:rsidR="00CE68D6" w:rsidRPr="004D5B2D" w:rsidRDefault="008F436B" w:rsidP="00BD35B6">
      <w:pPr>
        <w:pStyle w:val="Caption"/>
        <w:keepNext/>
        <w:jc w:val="center"/>
        <w:rPr>
          <w:noProof/>
        </w:rPr>
      </w:pPr>
      <w:r>
        <w:rPr>
          <w:noProof/>
        </w:rPr>
        <w:t>Preglednica </w:t>
      </w:r>
      <w:r w:rsidR="008E5E43">
        <w:rPr>
          <w:noProof/>
        </w:rPr>
        <w:fldChar w:fldCharType="begin"/>
      </w:r>
      <w:r w:rsidR="008E5E43">
        <w:rPr>
          <w:noProof/>
        </w:rPr>
        <w:instrText xml:space="preserve"> SEQ Table \* ARABIC </w:instrText>
      </w:r>
      <w:r w:rsidR="008E5E43">
        <w:rPr>
          <w:noProof/>
        </w:rPr>
        <w:fldChar w:fldCharType="separate"/>
      </w:r>
      <w:r w:rsidR="00316D68">
        <w:rPr>
          <w:noProof/>
        </w:rPr>
        <w:t>1</w:t>
      </w:r>
      <w:r w:rsidR="008E5E43">
        <w:rPr>
          <w:noProof/>
        </w:rPr>
        <w:fldChar w:fldCharType="end"/>
      </w:r>
      <w:r>
        <w:rPr>
          <w:noProof/>
        </w:rPr>
        <w:t xml:space="preserve"> Povzetek ocene predlogov, prejetih pri razpisu za zbiranje predlogov v okviru instrumenta za posojila v javnem sektorju</w:t>
      </w:r>
    </w:p>
    <w:tbl>
      <w:tblPr>
        <w:tblStyle w:val="PlainTable1"/>
        <w:tblW w:w="9938" w:type="dxa"/>
        <w:tblLook w:val="04A0" w:firstRow="1" w:lastRow="0" w:firstColumn="1" w:lastColumn="0" w:noHBand="0" w:noVBand="1"/>
      </w:tblPr>
      <w:tblGrid>
        <w:gridCol w:w="1855"/>
        <w:gridCol w:w="1266"/>
        <w:gridCol w:w="1356"/>
        <w:gridCol w:w="1466"/>
        <w:gridCol w:w="1524"/>
        <w:gridCol w:w="2471"/>
      </w:tblGrid>
      <w:tr w:rsidR="00DA537B" w:rsidRPr="00917D91" w14:paraId="62ACE820" w14:textId="77777777" w:rsidTr="00A7BF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26C9AED" w14:textId="77777777" w:rsidR="00ED275C" w:rsidRPr="00917D91" w:rsidRDefault="00ED275C" w:rsidP="001A3076">
            <w:pPr>
              <w:spacing w:before="120" w:after="120"/>
              <w:jc w:val="center"/>
              <w:rPr>
                <w:noProof/>
                <w:sz w:val="20"/>
                <w:szCs w:val="18"/>
              </w:rPr>
            </w:pPr>
          </w:p>
        </w:tc>
        <w:tc>
          <w:tcPr>
            <w:tcW w:w="1281" w:type="dxa"/>
            <w:vAlign w:val="center"/>
          </w:tcPr>
          <w:p w14:paraId="5B804260" w14:textId="77777777" w:rsidR="00ED275C" w:rsidRPr="00917D91" w:rsidRDefault="00ED275C" w:rsidP="001A3076">
            <w:pPr>
              <w:spacing w:before="120" w:after="120"/>
              <w:jc w:val="center"/>
              <w:cnfStyle w:val="100000000000" w:firstRow="1" w:lastRow="0" w:firstColumn="0" w:lastColumn="0" w:oddVBand="0" w:evenVBand="0" w:oddHBand="0" w:evenHBand="0" w:firstRowFirstColumn="0" w:firstRowLastColumn="0" w:lastRowFirstColumn="0" w:lastRowLastColumn="0"/>
              <w:rPr>
                <w:noProof/>
                <w:sz w:val="20"/>
                <w:szCs w:val="18"/>
              </w:rPr>
            </w:pPr>
            <w:r>
              <w:rPr>
                <w:noProof/>
                <w:color w:val="000000"/>
                <w:sz w:val="20"/>
              </w:rPr>
              <w:t>Število predloženih predlogov</w:t>
            </w:r>
          </w:p>
        </w:tc>
        <w:tc>
          <w:tcPr>
            <w:tcW w:w="1402" w:type="dxa"/>
            <w:vAlign w:val="center"/>
          </w:tcPr>
          <w:p w14:paraId="627F3344" w14:textId="51EEE85C" w:rsidR="00ED275C" w:rsidRPr="00917D91" w:rsidRDefault="00ED275C" w:rsidP="001A3076">
            <w:pPr>
              <w:spacing w:before="120" w:after="120"/>
              <w:jc w:val="center"/>
              <w:cnfStyle w:val="100000000000" w:firstRow="1" w:lastRow="0" w:firstColumn="0" w:lastColumn="0" w:oddVBand="0" w:evenVBand="0" w:oddHBand="0" w:evenHBand="0" w:firstRowFirstColumn="0" w:firstRowLastColumn="0" w:lastRowFirstColumn="0" w:lastRowLastColumn="0"/>
              <w:rPr>
                <w:noProof/>
                <w:sz w:val="20"/>
                <w:szCs w:val="18"/>
              </w:rPr>
            </w:pPr>
            <w:r>
              <w:rPr>
                <w:noProof/>
                <w:color w:val="000000"/>
                <w:sz w:val="20"/>
              </w:rPr>
              <w:t>Število dopustnih in upravičenih predlogov</w:t>
            </w:r>
          </w:p>
        </w:tc>
        <w:tc>
          <w:tcPr>
            <w:tcW w:w="1548" w:type="dxa"/>
            <w:vAlign w:val="center"/>
          </w:tcPr>
          <w:p w14:paraId="44DEA21A" w14:textId="1F95B76A" w:rsidR="00ED275C" w:rsidRPr="00917D91" w:rsidRDefault="00ED275C" w:rsidP="001A3076">
            <w:pPr>
              <w:spacing w:before="120" w:after="120"/>
              <w:jc w:val="center"/>
              <w:cnfStyle w:val="100000000000" w:firstRow="1" w:lastRow="0" w:firstColumn="0" w:lastColumn="0" w:oddVBand="0" w:evenVBand="0" w:oddHBand="0" w:evenHBand="0" w:firstRowFirstColumn="0" w:firstRowLastColumn="0" w:lastRowFirstColumn="0" w:lastRowLastColumn="0"/>
              <w:rPr>
                <w:noProof/>
                <w:sz w:val="20"/>
                <w:szCs w:val="18"/>
              </w:rPr>
            </w:pPr>
            <w:r>
              <w:rPr>
                <w:noProof/>
                <w:color w:val="000000"/>
                <w:sz w:val="20"/>
              </w:rPr>
              <w:t xml:space="preserve">Število predlogov, ki jih je Komisija izbrala za financiranje </w:t>
            </w:r>
          </w:p>
        </w:tc>
        <w:tc>
          <w:tcPr>
            <w:tcW w:w="1615" w:type="dxa"/>
            <w:vAlign w:val="center"/>
          </w:tcPr>
          <w:p w14:paraId="2BFD9697" w14:textId="77777777" w:rsidR="00ED275C" w:rsidRPr="00917D91" w:rsidRDefault="00ED275C" w:rsidP="001A3076">
            <w:pPr>
              <w:spacing w:before="120" w:after="120"/>
              <w:jc w:val="center"/>
              <w:cnfStyle w:val="100000000000" w:firstRow="1" w:lastRow="0" w:firstColumn="0" w:lastColumn="0" w:oddVBand="0" w:evenVBand="0" w:oddHBand="0" w:evenHBand="0" w:firstRowFirstColumn="0" w:firstRowLastColumn="0" w:lastRowFirstColumn="0" w:lastRowLastColumn="0"/>
              <w:rPr>
                <w:noProof/>
                <w:sz w:val="20"/>
                <w:szCs w:val="18"/>
              </w:rPr>
            </w:pPr>
            <w:r>
              <w:rPr>
                <w:noProof/>
                <w:color w:val="000000"/>
                <w:sz w:val="20"/>
              </w:rPr>
              <w:t>Število predlogov, ki imajo zagotovljeno posojilo EIB ali njenih posrednikov</w:t>
            </w:r>
          </w:p>
        </w:tc>
        <w:tc>
          <w:tcPr>
            <w:tcW w:w="2742" w:type="dxa"/>
            <w:vAlign w:val="center"/>
          </w:tcPr>
          <w:p w14:paraId="3A86DBD9" w14:textId="77777777" w:rsidR="00ED275C" w:rsidRPr="00917D91" w:rsidRDefault="00ED275C" w:rsidP="001A3076">
            <w:pPr>
              <w:spacing w:before="120" w:after="120"/>
              <w:jc w:val="center"/>
              <w:cnfStyle w:val="100000000000" w:firstRow="1" w:lastRow="0" w:firstColumn="0" w:lastColumn="0" w:oddVBand="0" w:evenVBand="0" w:oddHBand="0" w:evenHBand="0" w:firstRowFirstColumn="0" w:firstRowLastColumn="0" w:lastRowFirstColumn="0" w:lastRowLastColumn="0"/>
              <w:rPr>
                <w:noProof/>
                <w:sz w:val="20"/>
                <w:szCs w:val="18"/>
              </w:rPr>
            </w:pPr>
            <w:r>
              <w:rPr>
                <w:noProof/>
                <w:color w:val="000000"/>
                <w:sz w:val="20"/>
              </w:rPr>
              <w:t>Opombe</w:t>
            </w:r>
          </w:p>
        </w:tc>
      </w:tr>
      <w:tr w:rsidR="00FD4F2F" w:rsidRPr="00917D91" w14:paraId="5DCDD085" w14:textId="77777777" w:rsidTr="00A7BF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51FABB" w14:textId="77777777" w:rsidR="00ED275C" w:rsidRPr="00917D91" w:rsidRDefault="00ED275C" w:rsidP="00DB076F">
            <w:pPr>
              <w:spacing w:before="120" w:after="120"/>
              <w:jc w:val="center"/>
              <w:rPr>
                <w:noProof/>
                <w:sz w:val="20"/>
                <w:szCs w:val="18"/>
              </w:rPr>
            </w:pPr>
            <w:r>
              <w:rPr>
                <w:noProof/>
                <w:color w:val="000000"/>
                <w:sz w:val="20"/>
              </w:rPr>
              <w:t>Rok predložitve 19. oktober 2022</w:t>
            </w:r>
          </w:p>
        </w:tc>
        <w:tc>
          <w:tcPr>
            <w:tcW w:w="1281" w:type="dxa"/>
            <w:vAlign w:val="center"/>
          </w:tcPr>
          <w:p w14:paraId="4A0C8903" w14:textId="77777777" w:rsidR="00ED275C" w:rsidRPr="00917D91" w:rsidRDefault="00ED275C" w:rsidP="00DB076F">
            <w:pPr>
              <w:spacing w:before="120" w:after="120"/>
              <w:jc w:val="center"/>
              <w:cnfStyle w:val="000000100000" w:firstRow="0" w:lastRow="0" w:firstColumn="0" w:lastColumn="0" w:oddVBand="0" w:evenVBand="0" w:oddHBand="1" w:evenHBand="0" w:firstRowFirstColumn="0" w:firstRowLastColumn="0" w:lastRowFirstColumn="0" w:lastRowLastColumn="0"/>
              <w:rPr>
                <w:noProof/>
                <w:sz w:val="20"/>
                <w:szCs w:val="18"/>
              </w:rPr>
            </w:pPr>
            <w:r>
              <w:rPr>
                <w:noProof/>
                <w:sz w:val="20"/>
              </w:rPr>
              <w:t>3</w:t>
            </w:r>
          </w:p>
        </w:tc>
        <w:tc>
          <w:tcPr>
            <w:tcW w:w="1402" w:type="dxa"/>
            <w:vAlign w:val="center"/>
          </w:tcPr>
          <w:p w14:paraId="5DF110F4" w14:textId="77777777" w:rsidR="00ED275C" w:rsidRPr="00917D91" w:rsidRDefault="00ED275C" w:rsidP="00DB076F">
            <w:pPr>
              <w:spacing w:before="120" w:after="120"/>
              <w:jc w:val="center"/>
              <w:cnfStyle w:val="000000100000" w:firstRow="0" w:lastRow="0" w:firstColumn="0" w:lastColumn="0" w:oddVBand="0" w:evenVBand="0" w:oddHBand="1" w:evenHBand="0" w:firstRowFirstColumn="0" w:firstRowLastColumn="0" w:lastRowFirstColumn="0" w:lastRowLastColumn="0"/>
              <w:rPr>
                <w:noProof/>
                <w:sz w:val="20"/>
                <w:szCs w:val="18"/>
              </w:rPr>
            </w:pPr>
            <w:r>
              <w:rPr>
                <w:noProof/>
                <w:sz w:val="20"/>
              </w:rPr>
              <w:t>1</w:t>
            </w:r>
          </w:p>
          <w:p w14:paraId="04244AD1" w14:textId="77777777" w:rsidR="00ED275C" w:rsidRPr="00917D91" w:rsidRDefault="00ED275C" w:rsidP="00DB076F">
            <w:pPr>
              <w:spacing w:before="120" w:after="120"/>
              <w:jc w:val="center"/>
              <w:cnfStyle w:val="000000100000" w:firstRow="0" w:lastRow="0" w:firstColumn="0" w:lastColumn="0" w:oddVBand="0" w:evenVBand="0" w:oddHBand="1" w:evenHBand="0" w:firstRowFirstColumn="0" w:firstRowLastColumn="0" w:lastRowFirstColumn="0" w:lastRowLastColumn="0"/>
              <w:rPr>
                <w:noProof/>
                <w:sz w:val="20"/>
                <w:szCs w:val="18"/>
              </w:rPr>
            </w:pPr>
            <w:r>
              <w:rPr>
                <w:noProof/>
                <w:sz w:val="20"/>
              </w:rPr>
              <w:t>(CZ)</w:t>
            </w:r>
          </w:p>
        </w:tc>
        <w:tc>
          <w:tcPr>
            <w:tcW w:w="1548" w:type="dxa"/>
            <w:vAlign w:val="center"/>
          </w:tcPr>
          <w:p w14:paraId="7F56F629" w14:textId="77777777" w:rsidR="00ED275C" w:rsidRPr="00917D91" w:rsidRDefault="00ED275C" w:rsidP="00DB076F">
            <w:pPr>
              <w:spacing w:before="120" w:after="120"/>
              <w:jc w:val="center"/>
              <w:cnfStyle w:val="000000100000" w:firstRow="0" w:lastRow="0" w:firstColumn="0" w:lastColumn="0" w:oddVBand="0" w:evenVBand="0" w:oddHBand="1" w:evenHBand="0" w:firstRowFirstColumn="0" w:firstRowLastColumn="0" w:lastRowFirstColumn="0" w:lastRowLastColumn="0"/>
              <w:rPr>
                <w:noProof/>
                <w:sz w:val="20"/>
                <w:szCs w:val="18"/>
              </w:rPr>
            </w:pPr>
            <w:r>
              <w:rPr>
                <w:noProof/>
                <w:sz w:val="20"/>
              </w:rPr>
              <w:t>1</w:t>
            </w:r>
          </w:p>
          <w:p w14:paraId="462E729D" w14:textId="77777777" w:rsidR="00ED275C" w:rsidRPr="00917D91" w:rsidRDefault="00ED275C" w:rsidP="00DB076F">
            <w:pPr>
              <w:spacing w:before="120" w:after="120"/>
              <w:jc w:val="center"/>
              <w:cnfStyle w:val="000000100000" w:firstRow="0" w:lastRow="0" w:firstColumn="0" w:lastColumn="0" w:oddVBand="0" w:evenVBand="0" w:oddHBand="1" w:evenHBand="0" w:firstRowFirstColumn="0" w:firstRowLastColumn="0" w:lastRowFirstColumn="0" w:lastRowLastColumn="0"/>
              <w:rPr>
                <w:noProof/>
                <w:sz w:val="20"/>
                <w:szCs w:val="18"/>
              </w:rPr>
            </w:pPr>
            <w:r>
              <w:rPr>
                <w:noProof/>
                <w:sz w:val="20"/>
              </w:rPr>
              <w:t>(CZ)</w:t>
            </w:r>
          </w:p>
        </w:tc>
        <w:tc>
          <w:tcPr>
            <w:tcW w:w="1615" w:type="dxa"/>
            <w:vAlign w:val="center"/>
          </w:tcPr>
          <w:p w14:paraId="7EEFC447" w14:textId="77777777" w:rsidR="00ED275C" w:rsidRPr="00917D91" w:rsidRDefault="00ED275C" w:rsidP="00DB076F">
            <w:pPr>
              <w:spacing w:before="120" w:after="120"/>
              <w:jc w:val="center"/>
              <w:cnfStyle w:val="000000100000" w:firstRow="0" w:lastRow="0" w:firstColumn="0" w:lastColumn="0" w:oddVBand="0" w:evenVBand="0" w:oddHBand="1" w:evenHBand="0" w:firstRowFirstColumn="0" w:firstRowLastColumn="0" w:lastRowFirstColumn="0" w:lastRowLastColumn="0"/>
              <w:rPr>
                <w:noProof/>
                <w:sz w:val="20"/>
                <w:szCs w:val="18"/>
              </w:rPr>
            </w:pPr>
            <w:r>
              <w:rPr>
                <w:noProof/>
                <w:sz w:val="20"/>
              </w:rPr>
              <w:t>0</w:t>
            </w:r>
          </w:p>
        </w:tc>
        <w:tc>
          <w:tcPr>
            <w:tcW w:w="2742" w:type="dxa"/>
            <w:vAlign w:val="center"/>
          </w:tcPr>
          <w:p w14:paraId="4F49D06D" w14:textId="76E67BA1" w:rsidR="001814B5" w:rsidRPr="00917D91" w:rsidRDefault="001814B5" w:rsidP="00945908">
            <w:pPr>
              <w:jc w:val="center"/>
              <w:cnfStyle w:val="000000100000" w:firstRow="0" w:lastRow="0" w:firstColumn="0" w:lastColumn="0" w:oddVBand="0" w:evenVBand="0" w:oddHBand="1" w:evenHBand="0" w:firstRowFirstColumn="0" w:firstRowLastColumn="0" w:lastRowFirstColumn="0" w:lastRowLastColumn="0"/>
              <w:rPr>
                <w:noProof/>
                <w:sz w:val="20"/>
                <w:szCs w:val="18"/>
              </w:rPr>
            </w:pPr>
            <w:r>
              <w:rPr>
                <w:noProof/>
                <w:sz w:val="20"/>
              </w:rPr>
              <w:t>Vložnik je vlogo CZ umaknil in jo ponovno vložil 20. septembra 2023 (četrti rok za predložitev)</w:t>
            </w:r>
          </w:p>
        </w:tc>
      </w:tr>
      <w:tr w:rsidR="00DA537B" w:rsidRPr="00917D91" w14:paraId="0BDA7410" w14:textId="77777777" w:rsidTr="00A7BF73">
        <w:tc>
          <w:tcPr>
            <w:cnfStyle w:val="001000000000" w:firstRow="0" w:lastRow="0" w:firstColumn="1" w:lastColumn="0" w:oddVBand="0" w:evenVBand="0" w:oddHBand="0" w:evenHBand="0" w:firstRowFirstColumn="0" w:firstRowLastColumn="0" w:lastRowFirstColumn="0" w:lastRowLastColumn="0"/>
            <w:tcW w:w="0" w:type="auto"/>
            <w:vAlign w:val="center"/>
          </w:tcPr>
          <w:p w14:paraId="3BC55FE0" w14:textId="5F6535BA" w:rsidR="00ED275C" w:rsidRPr="00917D91" w:rsidRDefault="00ED275C" w:rsidP="00DB076F">
            <w:pPr>
              <w:spacing w:before="120" w:after="120"/>
              <w:jc w:val="center"/>
              <w:rPr>
                <w:noProof/>
                <w:sz w:val="20"/>
                <w:szCs w:val="18"/>
              </w:rPr>
            </w:pPr>
            <w:r>
              <w:rPr>
                <w:noProof/>
                <w:color w:val="000000"/>
                <w:sz w:val="20"/>
              </w:rPr>
              <w:t>Rok za predložitev 19. januar 2023</w:t>
            </w:r>
          </w:p>
        </w:tc>
        <w:tc>
          <w:tcPr>
            <w:tcW w:w="1281" w:type="dxa"/>
            <w:vAlign w:val="center"/>
          </w:tcPr>
          <w:p w14:paraId="1DFBDAE3" w14:textId="77777777" w:rsidR="00ED275C" w:rsidRPr="00917D91" w:rsidRDefault="00ED275C" w:rsidP="00DB076F">
            <w:pPr>
              <w:spacing w:before="120" w:after="120"/>
              <w:jc w:val="center"/>
              <w:cnfStyle w:val="000000000000" w:firstRow="0" w:lastRow="0" w:firstColumn="0" w:lastColumn="0" w:oddVBand="0" w:evenVBand="0" w:oddHBand="0" w:evenHBand="0" w:firstRowFirstColumn="0" w:firstRowLastColumn="0" w:lastRowFirstColumn="0" w:lastRowLastColumn="0"/>
              <w:rPr>
                <w:noProof/>
                <w:sz w:val="20"/>
                <w:szCs w:val="18"/>
              </w:rPr>
            </w:pPr>
            <w:r>
              <w:rPr>
                <w:noProof/>
                <w:sz w:val="20"/>
              </w:rPr>
              <w:t>1</w:t>
            </w:r>
          </w:p>
        </w:tc>
        <w:tc>
          <w:tcPr>
            <w:tcW w:w="1402" w:type="dxa"/>
            <w:vAlign w:val="center"/>
          </w:tcPr>
          <w:p w14:paraId="6208E704" w14:textId="77777777" w:rsidR="00ED275C" w:rsidRPr="00917D91" w:rsidRDefault="00ED275C" w:rsidP="00DB076F">
            <w:pPr>
              <w:spacing w:before="120" w:after="120"/>
              <w:jc w:val="center"/>
              <w:cnfStyle w:val="000000000000" w:firstRow="0" w:lastRow="0" w:firstColumn="0" w:lastColumn="0" w:oddVBand="0" w:evenVBand="0" w:oddHBand="0" w:evenHBand="0" w:firstRowFirstColumn="0" w:firstRowLastColumn="0" w:lastRowFirstColumn="0" w:lastRowLastColumn="0"/>
              <w:rPr>
                <w:noProof/>
                <w:sz w:val="20"/>
                <w:szCs w:val="18"/>
              </w:rPr>
            </w:pPr>
            <w:r>
              <w:rPr>
                <w:noProof/>
                <w:sz w:val="20"/>
              </w:rPr>
              <w:t>0</w:t>
            </w:r>
          </w:p>
        </w:tc>
        <w:tc>
          <w:tcPr>
            <w:tcW w:w="1548" w:type="dxa"/>
            <w:vAlign w:val="center"/>
          </w:tcPr>
          <w:p w14:paraId="0A937945" w14:textId="77777777" w:rsidR="00ED275C" w:rsidRPr="00917D91" w:rsidRDefault="00ED275C" w:rsidP="00DB076F">
            <w:pPr>
              <w:spacing w:before="120" w:after="120"/>
              <w:jc w:val="center"/>
              <w:cnfStyle w:val="000000000000" w:firstRow="0" w:lastRow="0" w:firstColumn="0" w:lastColumn="0" w:oddVBand="0" w:evenVBand="0" w:oddHBand="0" w:evenHBand="0" w:firstRowFirstColumn="0" w:firstRowLastColumn="0" w:lastRowFirstColumn="0" w:lastRowLastColumn="0"/>
              <w:rPr>
                <w:noProof/>
                <w:sz w:val="20"/>
                <w:szCs w:val="18"/>
              </w:rPr>
            </w:pPr>
            <w:r>
              <w:rPr>
                <w:noProof/>
                <w:sz w:val="20"/>
              </w:rPr>
              <w:t>0</w:t>
            </w:r>
          </w:p>
        </w:tc>
        <w:tc>
          <w:tcPr>
            <w:tcW w:w="1615" w:type="dxa"/>
            <w:vAlign w:val="center"/>
          </w:tcPr>
          <w:p w14:paraId="56A0065C" w14:textId="77777777" w:rsidR="00ED275C" w:rsidRPr="00917D91" w:rsidRDefault="00ED275C" w:rsidP="00DB076F">
            <w:pPr>
              <w:spacing w:before="120" w:after="120"/>
              <w:jc w:val="center"/>
              <w:cnfStyle w:val="000000000000" w:firstRow="0" w:lastRow="0" w:firstColumn="0" w:lastColumn="0" w:oddVBand="0" w:evenVBand="0" w:oddHBand="0" w:evenHBand="0" w:firstRowFirstColumn="0" w:firstRowLastColumn="0" w:lastRowFirstColumn="0" w:lastRowLastColumn="0"/>
              <w:rPr>
                <w:noProof/>
                <w:sz w:val="20"/>
                <w:szCs w:val="18"/>
              </w:rPr>
            </w:pPr>
            <w:r>
              <w:rPr>
                <w:noProof/>
                <w:sz w:val="20"/>
              </w:rPr>
              <w:t>0</w:t>
            </w:r>
          </w:p>
        </w:tc>
        <w:tc>
          <w:tcPr>
            <w:tcW w:w="2742" w:type="dxa"/>
            <w:vAlign w:val="center"/>
          </w:tcPr>
          <w:p w14:paraId="5420DD66" w14:textId="77777777" w:rsidR="00ED275C" w:rsidRPr="00917D91" w:rsidRDefault="00ED275C" w:rsidP="001A3076">
            <w:pPr>
              <w:spacing w:before="120" w:after="120"/>
              <w:jc w:val="center"/>
              <w:cnfStyle w:val="000000000000" w:firstRow="0" w:lastRow="0" w:firstColumn="0" w:lastColumn="0" w:oddVBand="0" w:evenVBand="0" w:oddHBand="0" w:evenHBand="0" w:firstRowFirstColumn="0" w:firstRowLastColumn="0" w:lastRowFirstColumn="0" w:lastRowLastColumn="0"/>
              <w:rPr>
                <w:noProof/>
                <w:sz w:val="20"/>
                <w:szCs w:val="18"/>
              </w:rPr>
            </w:pPr>
            <w:r>
              <w:rPr>
                <w:noProof/>
                <w:sz w:val="20"/>
              </w:rPr>
              <w:t>-</w:t>
            </w:r>
          </w:p>
        </w:tc>
      </w:tr>
      <w:tr w:rsidR="00FD4F2F" w:rsidRPr="00917D91" w14:paraId="12E0FA2F" w14:textId="77777777" w:rsidTr="00A7BF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6A353C4" w14:textId="48CAFEE8" w:rsidR="00ED275C" w:rsidRPr="00917D91" w:rsidRDefault="00ED275C" w:rsidP="00DB076F">
            <w:pPr>
              <w:spacing w:before="120" w:after="120"/>
              <w:jc w:val="center"/>
              <w:rPr>
                <w:noProof/>
                <w:sz w:val="20"/>
                <w:szCs w:val="18"/>
              </w:rPr>
            </w:pPr>
            <w:r>
              <w:rPr>
                <w:noProof/>
                <w:color w:val="000000"/>
                <w:sz w:val="20"/>
              </w:rPr>
              <w:t>Rok za predložitev 19. april 2023</w:t>
            </w:r>
          </w:p>
        </w:tc>
        <w:tc>
          <w:tcPr>
            <w:tcW w:w="1281" w:type="dxa"/>
            <w:vAlign w:val="center"/>
          </w:tcPr>
          <w:p w14:paraId="52D16AC2" w14:textId="77777777" w:rsidR="00ED275C" w:rsidRPr="00917D91" w:rsidRDefault="00ED275C" w:rsidP="00DB076F">
            <w:pPr>
              <w:spacing w:before="120" w:after="120"/>
              <w:jc w:val="center"/>
              <w:cnfStyle w:val="000000100000" w:firstRow="0" w:lastRow="0" w:firstColumn="0" w:lastColumn="0" w:oddVBand="0" w:evenVBand="0" w:oddHBand="1" w:evenHBand="0" w:firstRowFirstColumn="0" w:firstRowLastColumn="0" w:lastRowFirstColumn="0" w:lastRowLastColumn="0"/>
              <w:rPr>
                <w:noProof/>
                <w:sz w:val="20"/>
                <w:szCs w:val="18"/>
              </w:rPr>
            </w:pPr>
            <w:r>
              <w:rPr>
                <w:noProof/>
                <w:sz w:val="20"/>
              </w:rPr>
              <w:t>4</w:t>
            </w:r>
          </w:p>
        </w:tc>
        <w:tc>
          <w:tcPr>
            <w:tcW w:w="1402" w:type="dxa"/>
            <w:vAlign w:val="center"/>
          </w:tcPr>
          <w:p w14:paraId="46F9652D" w14:textId="3501568E" w:rsidR="00ED275C" w:rsidRPr="00917D91" w:rsidRDefault="00ED275C" w:rsidP="00DB076F">
            <w:pPr>
              <w:spacing w:before="120" w:after="120"/>
              <w:jc w:val="center"/>
              <w:cnfStyle w:val="000000100000" w:firstRow="0" w:lastRow="0" w:firstColumn="0" w:lastColumn="0" w:oddVBand="0" w:evenVBand="0" w:oddHBand="1" w:evenHBand="0" w:firstRowFirstColumn="0" w:firstRowLastColumn="0" w:lastRowFirstColumn="0" w:lastRowLastColumn="0"/>
              <w:rPr>
                <w:noProof/>
                <w:sz w:val="20"/>
                <w:szCs w:val="18"/>
              </w:rPr>
            </w:pPr>
            <w:r>
              <w:rPr>
                <w:noProof/>
                <w:sz w:val="20"/>
              </w:rPr>
              <w:t>3</w:t>
            </w:r>
          </w:p>
          <w:p w14:paraId="68AB3AE0" w14:textId="77777777" w:rsidR="00ED275C" w:rsidRPr="00917D91" w:rsidRDefault="00ED275C" w:rsidP="00DB076F">
            <w:pPr>
              <w:spacing w:before="120" w:after="120"/>
              <w:jc w:val="center"/>
              <w:cnfStyle w:val="000000100000" w:firstRow="0" w:lastRow="0" w:firstColumn="0" w:lastColumn="0" w:oddVBand="0" w:evenVBand="0" w:oddHBand="1" w:evenHBand="0" w:firstRowFirstColumn="0" w:firstRowLastColumn="0" w:lastRowFirstColumn="0" w:lastRowLastColumn="0"/>
              <w:rPr>
                <w:noProof/>
                <w:sz w:val="20"/>
                <w:szCs w:val="18"/>
              </w:rPr>
            </w:pPr>
            <w:r>
              <w:rPr>
                <w:noProof/>
                <w:sz w:val="20"/>
              </w:rPr>
              <w:t>(EL, NL, SE)</w:t>
            </w:r>
          </w:p>
        </w:tc>
        <w:tc>
          <w:tcPr>
            <w:tcW w:w="1548" w:type="dxa"/>
            <w:vAlign w:val="center"/>
          </w:tcPr>
          <w:p w14:paraId="0BFE80D0" w14:textId="77777777" w:rsidR="00ED275C" w:rsidRPr="00917D91" w:rsidRDefault="00ED275C" w:rsidP="00DB076F">
            <w:pPr>
              <w:spacing w:before="120" w:after="120"/>
              <w:jc w:val="center"/>
              <w:cnfStyle w:val="000000100000" w:firstRow="0" w:lastRow="0" w:firstColumn="0" w:lastColumn="0" w:oddVBand="0" w:evenVBand="0" w:oddHBand="1" w:evenHBand="0" w:firstRowFirstColumn="0" w:firstRowLastColumn="0" w:lastRowFirstColumn="0" w:lastRowLastColumn="0"/>
              <w:rPr>
                <w:noProof/>
                <w:sz w:val="20"/>
                <w:szCs w:val="18"/>
              </w:rPr>
            </w:pPr>
            <w:r>
              <w:rPr>
                <w:noProof/>
                <w:sz w:val="20"/>
              </w:rPr>
              <w:t>2</w:t>
            </w:r>
          </w:p>
          <w:p w14:paraId="3DA07272" w14:textId="77777777" w:rsidR="00ED275C" w:rsidRPr="00917D91" w:rsidRDefault="00ED275C" w:rsidP="00DB076F">
            <w:pPr>
              <w:spacing w:before="120" w:after="120"/>
              <w:jc w:val="center"/>
              <w:cnfStyle w:val="000000100000" w:firstRow="0" w:lastRow="0" w:firstColumn="0" w:lastColumn="0" w:oddVBand="0" w:evenVBand="0" w:oddHBand="1" w:evenHBand="0" w:firstRowFirstColumn="0" w:firstRowLastColumn="0" w:lastRowFirstColumn="0" w:lastRowLastColumn="0"/>
              <w:rPr>
                <w:noProof/>
                <w:sz w:val="20"/>
                <w:szCs w:val="18"/>
              </w:rPr>
            </w:pPr>
            <w:r>
              <w:rPr>
                <w:noProof/>
                <w:sz w:val="20"/>
              </w:rPr>
              <w:t>(EL, SE)</w:t>
            </w:r>
          </w:p>
        </w:tc>
        <w:tc>
          <w:tcPr>
            <w:tcW w:w="1615" w:type="dxa"/>
            <w:vAlign w:val="center"/>
          </w:tcPr>
          <w:p w14:paraId="4F5352CF" w14:textId="65B87102" w:rsidR="00ED275C" w:rsidRPr="00917D91" w:rsidRDefault="001814B5" w:rsidP="00DB076F">
            <w:pPr>
              <w:spacing w:before="120" w:after="120"/>
              <w:jc w:val="center"/>
              <w:cnfStyle w:val="000000100000" w:firstRow="0" w:lastRow="0" w:firstColumn="0" w:lastColumn="0" w:oddVBand="0" w:evenVBand="0" w:oddHBand="1" w:evenHBand="0" w:firstRowFirstColumn="0" w:firstRowLastColumn="0" w:lastRowFirstColumn="0" w:lastRowLastColumn="0"/>
              <w:rPr>
                <w:noProof/>
                <w:sz w:val="20"/>
                <w:szCs w:val="18"/>
              </w:rPr>
            </w:pPr>
            <w:r>
              <w:rPr>
                <w:noProof/>
                <w:sz w:val="20"/>
              </w:rPr>
              <w:t>2</w:t>
            </w:r>
          </w:p>
          <w:p w14:paraId="4A9CAF68" w14:textId="1EAE2553" w:rsidR="00ED275C" w:rsidRPr="00917D91" w:rsidRDefault="00ED275C" w:rsidP="00DB076F">
            <w:pPr>
              <w:spacing w:before="120" w:after="120"/>
              <w:jc w:val="center"/>
              <w:cnfStyle w:val="000000100000" w:firstRow="0" w:lastRow="0" w:firstColumn="0" w:lastColumn="0" w:oddVBand="0" w:evenVBand="0" w:oddHBand="1" w:evenHBand="0" w:firstRowFirstColumn="0" w:firstRowLastColumn="0" w:lastRowFirstColumn="0" w:lastRowLastColumn="0"/>
              <w:rPr>
                <w:noProof/>
                <w:sz w:val="20"/>
                <w:szCs w:val="18"/>
              </w:rPr>
            </w:pPr>
            <w:r>
              <w:rPr>
                <w:noProof/>
                <w:sz w:val="20"/>
              </w:rPr>
              <w:t>(EL, SE)</w:t>
            </w:r>
          </w:p>
        </w:tc>
        <w:tc>
          <w:tcPr>
            <w:tcW w:w="2742" w:type="dxa"/>
            <w:vAlign w:val="center"/>
          </w:tcPr>
          <w:p w14:paraId="6909895E" w14:textId="6034FF46" w:rsidR="001814B5" w:rsidRPr="00917D91" w:rsidRDefault="00252080" w:rsidP="005E3450">
            <w:pPr>
              <w:pStyle w:val="Caption"/>
              <w:spacing w:before="0"/>
              <w:jc w:val="center"/>
              <w:cnfStyle w:val="000000100000" w:firstRow="0" w:lastRow="0" w:firstColumn="0" w:lastColumn="0" w:oddVBand="0" w:evenVBand="0" w:oddHBand="1" w:evenHBand="0" w:firstRowFirstColumn="0" w:firstRowLastColumn="0" w:lastRowFirstColumn="0" w:lastRowLastColumn="0"/>
              <w:rPr>
                <w:i w:val="0"/>
                <w:noProof/>
                <w:sz w:val="20"/>
                <w:szCs w:val="18"/>
              </w:rPr>
            </w:pPr>
            <w:r>
              <w:rPr>
                <w:i w:val="0"/>
                <w:noProof/>
                <w:sz w:val="20"/>
              </w:rPr>
              <w:t>Za predloga EL in SE sta bila podpisana sporazuma o nepovratnih sredstvih. Projekta se še izvajata.</w:t>
            </w:r>
          </w:p>
          <w:p w14:paraId="0178D070" w14:textId="57299A68" w:rsidR="00B511DF" w:rsidRPr="00917D91" w:rsidRDefault="00A1664A" w:rsidP="00DA537B">
            <w:pPr>
              <w:jc w:val="center"/>
              <w:cnfStyle w:val="000000100000" w:firstRow="0" w:lastRow="0" w:firstColumn="0" w:lastColumn="0" w:oddVBand="0" w:evenVBand="0" w:oddHBand="1" w:evenHBand="0" w:firstRowFirstColumn="0" w:firstRowLastColumn="0" w:lastRowFirstColumn="0" w:lastRowLastColumn="0"/>
              <w:rPr>
                <w:noProof/>
                <w:sz w:val="20"/>
                <w:szCs w:val="18"/>
              </w:rPr>
            </w:pPr>
            <w:r>
              <w:rPr>
                <w:noProof/>
                <w:sz w:val="20"/>
              </w:rPr>
              <w:t xml:space="preserve">Predlog NL ni izpolnjeval dveh meril za dodelitev, vendar je bil ponovno predložen 20. septembra 2023 (četrti rok za predložitev). </w:t>
            </w:r>
          </w:p>
        </w:tc>
      </w:tr>
      <w:tr w:rsidR="00C117BA" w:rsidRPr="00917D91" w14:paraId="5EE2F16B" w14:textId="77777777" w:rsidTr="00A7BF73">
        <w:tc>
          <w:tcPr>
            <w:cnfStyle w:val="001000000000" w:firstRow="0" w:lastRow="0" w:firstColumn="1" w:lastColumn="0" w:oddVBand="0" w:evenVBand="0" w:oddHBand="0" w:evenHBand="0" w:firstRowFirstColumn="0" w:firstRowLastColumn="0" w:lastRowFirstColumn="0" w:lastRowLastColumn="0"/>
            <w:tcW w:w="0" w:type="auto"/>
            <w:vAlign w:val="center"/>
          </w:tcPr>
          <w:p w14:paraId="0ED30F04" w14:textId="77777777" w:rsidR="00C117BA" w:rsidRPr="00917D91" w:rsidRDefault="00C117BA" w:rsidP="00DB076F">
            <w:pPr>
              <w:spacing w:before="120" w:after="120"/>
              <w:jc w:val="center"/>
              <w:rPr>
                <w:b w:val="0"/>
                <w:bCs w:val="0"/>
                <w:noProof/>
                <w:color w:val="000000"/>
                <w:sz w:val="20"/>
              </w:rPr>
            </w:pPr>
            <w:r>
              <w:rPr>
                <w:noProof/>
                <w:color w:val="000000"/>
                <w:sz w:val="20"/>
              </w:rPr>
              <w:t>Rok za predložitev 20. september 2023</w:t>
            </w:r>
          </w:p>
        </w:tc>
        <w:tc>
          <w:tcPr>
            <w:tcW w:w="1281" w:type="dxa"/>
            <w:vAlign w:val="center"/>
          </w:tcPr>
          <w:p w14:paraId="51F3C5D9" w14:textId="77777777" w:rsidR="00C117BA" w:rsidRPr="00917D91" w:rsidRDefault="00C117BA" w:rsidP="00DB076F">
            <w:pPr>
              <w:spacing w:before="120" w:after="12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15</w:t>
            </w:r>
          </w:p>
        </w:tc>
        <w:tc>
          <w:tcPr>
            <w:tcW w:w="1402" w:type="dxa"/>
            <w:vAlign w:val="center"/>
          </w:tcPr>
          <w:p w14:paraId="0FF9F4EB" w14:textId="77777777" w:rsidR="00C117BA" w:rsidRPr="00917D91" w:rsidRDefault="00C117BA" w:rsidP="00DB076F">
            <w:pPr>
              <w:spacing w:before="120" w:after="12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5</w:t>
            </w:r>
          </w:p>
          <w:p w14:paraId="0335A21C" w14:textId="77777777" w:rsidR="00C117BA" w:rsidRPr="00917D91" w:rsidRDefault="00C117BA" w:rsidP="00DB076F">
            <w:pPr>
              <w:spacing w:before="120" w:after="12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(CZ, FR, NL)</w:t>
            </w:r>
          </w:p>
        </w:tc>
        <w:tc>
          <w:tcPr>
            <w:tcW w:w="1548" w:type="dxa"/>
            <w:vAlign w:val="center"/>
          </w:tcPr>
          <w:p w14:paraId="3B98AB45" w14:textId="77777777" w:rsidR="00C117BA" w:rsidRPr="00917D91" w:rsidRDefault="00C117BA" w:rsidP="00DB076F">
            <w:pPr>
              <w:spacing w:before="120" w:after="12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5</w:t>
            </w:r>
          </w:p>
          <w:p w14:paraId="6AEF3827" w14:textId="77777777" w:rsidR="00C117BA" w:rsidRPr="00917D91" w:rsidRDefault="00C117BA" w:rsidP="00DB076F">
            <w:pPr>
              <w:spacing w:before="120" w:after="12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(CZ, FR, NL)</w:t>
            </w:r>
          </w:p>
        </w:tc>
        <w:tc>
          <w:tcPr>
            <w:tcW w:w="1615" w:type="dxa"/>
            <w:vAlign w:val="center"/>
          </w:tcPr>
          <w:p w14:paraId="764A28F3" w14:textId="77777777" w:rsidR="00C117BA" w:rsidRPr="00917D91" w:rsidRDefault="00C117BA" w:rsidP="00DB076F">
            <w:pPr>
              <w:spacing w:before="120" w:after="12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1</w:t>
            </w:r>
          </w:p>
          <w:p w14:paraId="1611EAFD" w14:textId="77777777" w:rsidR="00C117BA" w:rsidRPr="00917D91" w:rsidRDefault="00C117BA" w:rsidP="00DB076F">
            <w:pPr>
              <w:spacing w:before="120" w:after="12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(FR)</w:t>
            </w:r>
          </w:p>
        </w:tc>
        <w:tc>
          <w:tcPr>
            <w:tcW w:w="2742" w:type="dxa"/>
          </w:tcPr>
          <w:p w14:paraId="4870B75D" w14:textId="0F34693D" w:rsidR="00C117BA" w:rsidRPr="00917D91" w:rsidRDefault="00C22B43" w:rsidP="001A3076">
            <w:pPr>
              <w:jc w:val="center"/>
              <w:cnfStyle w:val="000000000000" w:firstRow="0" w:lastRow="0" w:firstColumn="0" w:lastColumn="0" w:oddVBand="0" w:evenVBand="0" w:oddHBand="0" w:evenHBand="0" w:firstRowFirstColumn="0" w:firstRowLastColumn="0" w:lastRowFirstColumn="0" w:lastRowLastColumn="0"/>
              <w:rPr>
                <w:noProof/>
                <w:sz w:val="20"/>
              </w:rPr>
            </w:pPr>
            <w:bookmarkStart w:id="9" w:name="_Hlk172709538"/>
            <w:r>
              <w:rPr>
                <w:noProof/>
                <w:sz w:val="20"/>
              </w:rPr>
              <w:t>Komisija je za financiranje izbrala predlog CZ, dva predloga FR in predlog NL. EIB še izvaja svoje ocenjevanje.</w:t>
            </w:r>
          </w:p>
          <w:p w14:paraId="0DCF259F" w14:textId="68B60387" w:rsidR="00C117BA" w:rsidRPr="00917D91" w:rsidRDefault="003E5AA4" w:rsidP="001D0313">
            <w:pPr>
              <w:spacing w:before="16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Podpisan je bil sporazum o nepovratnih sredstvih za en predlog FR in projekt</w:t>
            </w:r>
            <w:bookmarkEnd w:id="9"/>
            <w:r>
              <w:rPr>
                <w:noProof/>
              </w:rPr>
              <w:t xml:space="preserve"> </w:t>
            </w:r>
            <w:r>
              <w:rPr>
                <w:noProof/>
                <w:sz w:val="20"/>
              </w:rPr>
              <w:t>se izvaja.</w:t>
            </w:r>
          </w:p>
        </w:tc>
      </w:tr>
      <w:tr w:rsidR="00FD4F2F" w:rsidRPr="00917D91" w14:paraId="11B21514" w14:textId="77777777" w:rsidTr="00A7BF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54799A" w14:textId="77777777" w:rsidR="00C117BA" w:rsidRPr="00917D91" w:rsidRDefault="00C117BA" w:rsidP="00DB076F">
            <w:pPr>
              <w:spacing w:before="120" w:after="120"/>
              <w:jc w:val="center"/>
              <w:rPr>
                <w:noProof/>
                <w:color w:val="000000"/>
                <w:sz w:val="20"/>
              </w:rPr>
            </w:pPr>
            <w:r>
              <w:rPr>
                <w:noProof/>
                <w:color w:val="000000"/>
                <w:sz w:val="20"/>
              </w:rPr>
              <w:t>Rok za predložitev 19. januar 2024</w:t>
            </w:r>
          </w:p>
        </w:tc>
        <w:tc>
          <w:tcPr>
            <w:tcW w:w="1281" w:type="dxa"/>
            <w:vAlign w:val="center"/>
          </w:tcPr>
          <w:p w14:paraId="1AC9D9B8" w14:textId="77777777" w:rsidR="00C117BA" w:rsidRPr="00917D91" w:rsidRDefault="00C117BA" w:rsidP="00DB076F">
            <w:pPr>
              <w:spacing w:before="120" w:after="12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6</w:t>
            </w:r>
          </w:p>
        </w:tc>
        <w:tc>
          <w:tcPr>
            <w:tcW w:w="1402" w:type="dxa"/>
            <w:vAlign w:val="center"/>
          </w:tcPr>
          <w:p w14:paraId="4CB23A57" w14:textId="77777777" w:rsidR="00C117BA" w:rsidRPr="00917D91" w:rsidRDefault="00C117BA" w:rsidP="00DB076F">
            <w:pPr>
              <w:spacing w:before="120" w:after="12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6</w:t>
            </w:r>
          </w:p>
          <w:p w14:paraId="6C74F4EB" w14:textId="77777777" w:rsidR="00C117BA" w:rsidRPr="00917D91" w:rsidRDefault="00C117BA" w:rsidP="00DB076F">
            <w:pPr>
              <w:spacing w:before="120" w:after="12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(CZ, FR, PL)</w:t>
            </w:r>
          </w:p>
        </w:tc>
        <w:tc>
          <w:tcPr>
            <w:tcW w:w="1548" w:type="dxa"/>
            <w:vAlign w:val="center"/>
          </w:tcPr>
          <w:p w14:paraId="7BD918F4" w14:textId="77777777" w:rsidR="00C117BA" w:rsidRPr="00917D91" w:rsidRDefault="00C117BA" w:rsidP="00DB076F">
            <w:pPr>
              <w:spacing w:before="120" w:after="12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5</w:t>
            </w:r>
          </w:p>
          <w:p w14:paraId="5DE4C8FD" w14:textId="529F4D0A" w:rsidR="001814B5" w:rsidRPr="00917D91" w:rsidRDefault="001814B5" w:rsidP="00DB076F">
            <w:pPr>
              <w:spacing w:before="120" w:after="12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(CZ, FR, PL)</w:t>
            </w:r>
          </w:p>
        </w:tc>
        <w:tc>
          <w:tcPr>
            <w:tcW w:w="1615" w:type="dxa"/>
            <w:vAlign w:val="center"/>
          </w:tcPr>
          <w:p w14:paraId="7543AB48" w14:textId="7CBA3946" w:rsidR="00C117BA" w:rsidRPr="00917D91" w:rsidRDefault="00047883" w:rsidP="00DB076F">
            <w:pPr>
              <w:spacing w:before="120" w:after="12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1</w:t>
            </w:r>
          </w:p>
          <w:p w14:paraId="2CFF8839" w14:textId="2F2C45A9" w:rsidR="00C117BA" w:rsidRPr="00917D91" w:rsidRDefault="00C117BA" w:rsidP="00DB076F">
            <w:pPr>
              <w:spacing w:before="120" w:after="12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(CZ, PL)</w:t>
            </w:r>
          </w:p>
        </w:tc>
        <w:tc>
          <w:tcPr>
            <w:tcW w:w="2742" w:type="dxa"/>
          </w:tcPr>
          <w:p w14:paraId="10B3E7A7" w14:textId="61B81FAA" w:rsidR="00080520" w:rsidRPr="00917D91" w:rsidRDefault="00C21647" w:rsidP="001A3076">
            <w:pPr>
              <w:spacing w:before="16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Komisija je za financiranje izbrala dva predloga CZ. Nosilec projekta je en predlog CZ umaknil zaradi drugih razpoložljivih virov financiranja. Pri drugem projektu še poteka postopek podpisa posojila s finančnim posrednikom EIB.</w:t>
            </w:r>
          </w:p>
          <w:p w14:paraId="24860DBC" w14:textId="09EE7FD4" w:rsidR="00080520" w:rsidRPr="00917D91" w:rsidRDefault="0082416C" w:rsidP="00080520">
            <w:pPr>
              <w:spacing w:before="16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Komisija je za financiranje izbrala en predlog PL in posojilo je bilo podpisano z EIB. CINEA pripravlja sporazum o nepovratnih sredstvih.</w:t>
            </w:r>
          </w:p>
          <w:p w14:paraId="26655E38" w14:textId="410EDF14" w:rsidR="00CB6AE9" w:rsidRPr="00917D91" w:rsidRDefault="00CB6AE9" w:rsidP="00080520">
            <w:pPr>
              <w:spacing w:before="16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Komisija je za financiranje izbrala dva predloga FR in ju uvrstila na rezervni seznam, ker iz nacionalnega proračuna FR niso bila dodeljena preostala sredstva. </w:t>
            </w:r>
          </w:p>
          <w:p w14:paraId="6219C547" w14:textId="7D7863C6" w:rsidR="00C117BA" w:rsidRPr="00917D91" w:rsidRDefault="00080520" w:rsidP="001A3076">
            <w:pPr>
              <w:spacing w:before="16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En predlog FR ni izpolnil dveh meril za dodelitev.</w:t>
            </w:r>
          </w:p>
        </w:tc>
      </w:tr>
      <w:tr w:rsidR="00C117BA" w:rsidRPr="00917D91" w14:paraId="6CDDF961" w14:textId="77777777" w:rsidTr="00A7BF73">
        <w:tc>
          <w:tcPr>
            <w:cnfStyle w:val="001000000000" w:firstRow="0" w:lastRow="0" w:firstColumn="1" w:lastColumn="0" w:oddVBand="0" w:evenVBand="0" w:oddHBand="0" w:evenHBand="0" w:firstRowFirstColumn="0" w:firstRowLastColumn="0" w:lastRowFirstColumn="0" w:lastRowLastColumn="0"/>
            <w:tcW w:w="0" w:type="auto"/>
            <w:vAlign w:val="center"/>
          </w:tcPr>
          <w:p w14:paraId="385AAA72" w14:textId="4BFEC52F" w:rsidR="00C117BA" w:rsidRPr="00917D91" w:rsidRDefault="00C117BA" w:rsidP="00DB076F">
            <w:pPr>
              <w:spacing w:before="120" w:after="120"/>
              <w:jc w:val="center"/>
              <w:rPr>
                <w:noProof/>
                <w:color w:val="000000"/>
                <w:sz w:val="20"/>
              </w:rPr>
            </w:pPr>
            <w:bookmarkStart w:id="10" w:name="_Hlk164762754"/>
            <w:r>
              <w:rPr>
                <w:noProof/>
                <w:color w:val="000000"/>
                <w:sz w:val="20"/>
              </w:rPr>
              <w:t>Rok za predložitev 17. april 2024</w:t>
            </w:r>
          </w:p>
        </w:tc>
        <w:tc>
          <w:tcPr>
            <w:tcW w:w="1281" w:type="dxa"/>
            <w:vAlign w:val="center"/>
          </w:tcPr>
          <w:p w14:paraId="09499EAD" w14:textId="76DE83FA" w:rsidR="00C117BA" w:rsidRPr="00917D91" w:rsidRDefault="00C117BA" w:rsidP="00DB076F">
            <w:pPr>
              <w:spacing w:before="120" w:after="12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8</w:t>
            </w:r>
          </w:p>
        </w:tc>
        <w:tc>
          <w:tcPr>
            <w:tcW w:w="1402" w:type="dxa"/>
            <w:vAlign w:val="center"/>
          </w:tcPr>
          <w:p w14:paraId="76F4BC01" w14:textId="728BC768" w:rsidR="001814B5" w:rsidRPr="00917D91" w:rsidRDefault="009A2319" w:rsidP="00DB076F">
            <w:pPr>
              <w:spacing w:before="120" w:after="12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7</w:t>
            </w:r>
          </w:p>
          <w:p w14:paraId="6858FC5B" w14:textId="1E211A25" w:rsidR="00C117BA" w:rsidRPr="00917D91" w:rsidRDefault="00C117BA" w:rsidP="00DB076F">
            <w:pPr>
              <w:spacing w:before="120" w:after="12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(CZ, IE)</w:t>
            </w:r>
          </w:p>
        </w:tc>
        <w:tc>
          <w:tcPr>
            <w:tcW w:w="1548" w:type="dxa"/>
            <w:vAlign w:val="center"/>
          </w:tcPr>
          <w:p w14:paraId="072FA9F5" w14:textId="60C0C003" w:rsidR="00C117BA" w:rsidRPr="00917D91" w:rsidRDefault="007D47DE" w:rsidP="00DB076F">
            <w:pPr>
              <w:spacing w:before="120" w:after="12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6</w:t>
            </w:r>
          </w:p>
          <w:p w14:paraId="38D62106" w14:textId="5214FEE7" w:rsidR="007D47DE" w:rsidRPr="00917D91" w:rsidRDefault="007D47DE" w:rsidP="00DB076F">
            <w:pPr>
              <w:spacing w:before="120" w:after="12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(CZ)</w:t>
            </w:r>
          </w:p>
        </w:tc>
        <w:tc>
          <w:tcPr>
            <w:tcW w:w="1615" w:type="dxa"/>
            <w:vAlign w:val="center"/>
          </w:tcPr>
          <w:p w14:paraId="349BC8DA" w14:textId="77777777" w:rsidR="00C117BA" w:rsidRPr="00917D91" w:rsidRDefault="00946A3E" w:rsidP="00DB076F">
            <w:pPr>
              <w:spacing w:before="120" w:after="12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1</w:t>
            </w:r>
          </w:p>
          <w:p w14:paraId="09BDC796" w14:textId="6A6B79CE" w:rsidR="0097349F" w:rsidRPr="00917D91" w:rsidRDefault="0097349F" w:rsidP="00DB076F">
            <w:pPr>
              <w:spacing w:before="120" w:after="12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(CZ)</w:t>
            </w:r>
          </w:p>
        </w:tc>
        <w:tc>
          <w:tcPr>
            <w:tcW w:w="2742" w:type="dxa"/>
          </w:tcPr>
          <w:p w14:paraId="0416FA5D" w14:textId="0155DE0C" w:rsidR="007D47DE" w:rsidRPr="00917D91" w:rsidRDefault="00C22B43" w:rsidP="007D47DE">
            <w:pPr>
              <w:spacing w:before="16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Komisija je za financiranje izbrala pet predlogov CZ, postopek podpisa posojila s finančnim posrednikom EIB pa še poteka. </w:t>
            </w:r>
          </w:p>
          <w:p w14:paraId="08CCD570" w14:textId="56341E19" w:rsidR="00946A3E" w:rsidRPr="00917D91" w:rsidRDefault="00962069" w:rsidP="007D47DE">
            <w:pPr>
              <w:spacing w:before="16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Komisija je za financiranje izbrala en predlog CZ in posojilo je bilo podpisano z EIB. CINEA pripravlja sporazum o nepovratnih sredstvih.</w:t>
            </w:r>
          </w:p>
          <w:p w14:paraId="509E8841" w14:textId="4D5EDC4F" w:rsidR="00C117BA" w:rsidRPr="00917D91" w:rsidRDefault="007D47DE" w:rsidP="001A3076">
            <w:pPr>
              <w:spacing w:before="16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Predlog IE ni izpolnil enega merila za dodelitev.</w:t>
            </w:r>
          </w:p>
        </w:tc>
      </w:tr>
      <w:bookmarkEnd w:id="10"/>
    </w:tbl>
    <w:p w14:paraId="1D46DE61" w14:textId="77777777" w:rsidR="00811800" w:rsidRDefault="00811800" w:rsidP="00811800">
      <w:pPr>
        <w:spacing w:after="0"/>
        <w:jc w:val="center"/>
        <w:rPr>
          <w:i/>
          <w:noProof/>
          <w:sz w:val="22"/>
        </w:rPr>
      </w:pPr>
    </w:p>
    <w:p w14:paraId="6AAEFA2C" w14:textId="760C2C4D" w:rsidR="003F3EEE" w:rsidRDefault="001B2E3E" w:rsidP="00DA537B">
      <w:pPr>
        <w:pStyle w:val="NumPar1"/>
        <w:rPr>
          <w:noProof/>
        </w:rPr>
      </w:pPr>
      <w:r>
        <w:rPr>
          <w:noProof/>
        </w:rPr>
        <w:t>Predlogi projektov, ki jih je za financiranje doslej izbral ocenjevalni odbor instrumenta za posojila v javnem sektorju, zajemajo sektorje, kot so energijska učinkovitost, kultura, socialna stanovanja, javnozdravstvena infrastruktura in infrastruktura za trajnostno mobilnost, daljinsko ogrevanje in hlajenje ter prenova in regeneracija mest. Kar zadeva vrsto zahtevane podpore, so bila pri treh predlogih projektov zahtevana okvirna posojila, pet jih je samostojnih projektov, pri dveh pa sta se zahtevali posredniški posojili.</w:t>
      </w:r>
    </w:p>
    <w:p w14:paraId="51E55B20" w14:textId="5446DD40" w:rsidR="00521E84" w:rsidRDefault="00521E84" w:rsidP="00521E84">
      <w:pPr>
        <w:spacing w:before="240" w:after="0"/>
        <w:jc w:val="center"/>
        <w:rPr>
          <w:i/>
          <w:noProof/>
          <w:sz w:val="22"/>
        </w:rPr>
      </w:pPr>
      <w:r>
        <w:rPr>
          <w:i/>
          <w:noProof/>
          <w:sz w:val="22"/>
        </w:rPr>
        <w:t>Preglednica 2 Predlogi projektov, izbrani za financiranje z nepovratnimi sredstvi</w:t>
      </w:r>
    </w:p>
    <w:p w14:paraId="66E5AC38" w14:textId="77777777" w:rsidR="00521E84" w:rsidRPr="00811800" w:rsidRDefault="00521E84" w:rsidP="00521E84">
      <w:pPr>
        <w:spacing w:after="0"/>
        <w:jc w:val="center"/>
        <w:rPr>
          <w:i/>
          <w:noProof/>
          <w:sz w:val="22"/>
        </w:rPr>
      </w:pPr>
    </w:p>
    <w:tbl>
      <w:tblPr>
        <w:tblStyle w:val="PlainTable1"/>
        <w:tblW w:w="9607" w:type="dxa"/>
        <w:tblInd w:w="108" w:type="dxa"/>
        <w:tblLayout w:type="fixed"/>
        <w:tblLook w:val="04A0" w:firstRow="1" w:lastRow="0" w:firstColumn="1" w:lastColumn="0" w:noHBand="0" w:noVBand="1"/>
      </w:tblPr>
      <w:tblGrid>
        <w:gridCol w:w="738"/>
        <w:gridCol w:w="1309"/>
        <w:gridCol w:w="1920"/>
        <w:gridCol w:w="1680"/>
        <w:gridCol w:w="1320"/>
        <w:gridCol w:w="1320"/>
        <w:gridCol w:w="1320"/>
      </w:tblGrid>
      <w:tr w:rsidR="008C317F" w:rsidRPr="00917D91" w14:paraId="10EF37A0" w14:textId="77777777" w:rsidTr="00C22B43">
        <w:trPr>
          <w:cnfStyle w:val="100000000000" w:firstRow="1" w:lastRow="0" w:firstColumn="0" w:lastColumn="0" w:oddVBand="0" w:evenVBand="0" w:oddHBand="0" w:evenHBand="0"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738" w:type="dxa"/>
            <w:vAlign w:val="center"/>
          </w:tcPr>
          <w:p w14:paraId="140CD922" w14:textId="77777777" w:rsidR="00521E84" w:rsidRPr="00917D91" w:rsidRDefault="00521E84" w:rsidP="00812DC1">
            <w:pPr>
              <w:pStyle w:val="Caption"/>
              <w:jc w:val="center"/>
              <w:rPr>
                <w:i w:val="0"/>
                <w:iCs/>
                <w:noProof/>
                <w:sz w:val="20"/>
                <w:szCs w:val="18"/>
              </w:rPr>
            </w:pPr>
          </w:p>
        </w:tc>
        <w:tc>
          <w:tcPr>
            <w:tcW w:w="1309" w:type="dxa"/>
          </w:tcPr>
          <w:p w14:paraId="61FE773D" w14:textId="3C7EFFBD" w:rsidR="00521E84" w:rsidRPr="00917D91" w:rsidRDefault="00521E84" w:rsidP="00812DC1">
            <w:pPr>
              <w:pStyle w:val="Caption"/>
              <w:jc w:val="center"/>
              <w:cnfStyle w:val="100000000000" w:firstRow="1" w:lastRow="0" w:firstColumn="0" w:lastColumn="0" w:oddVBand="0" w:evenVBand="0" w:oddHBand="0" w:evenHBand="0" w:firstRowFirstColumn="0" w:firstRowLastColumn="0" w:lastRowFirstColumn="0" w:lastRowLastColumn="0"/>
              <w:rPr>
                <w:i w:val="0"/>
                <w:iCs/>
                <w:noProof/>
                <w:sz w:val="20"/>
                <w:szCs w:val="18"/>
              </w:rPr>
            </w:pPr>
            <w:r>
              <w:rPr>
                <w:i w:val="0"/>
                <w:noProof/>
                <w:sz w:val="20"/>
              </w:rPr>
              <w:t>Rok za predložitev</w:t>
            </w:r>
          </w:p>
        </w:tc>
        <w:tc>
          <w:tcPr>
            <w:tcW w:w="1920" w:type="dxa"/>
          </w:tcPr>
          <w:p w14:paraId="4BF29956" w14:textId="21C37223" w:rsidR="00521E84" w:rsidRPr="00917D91" w:rsidRDefault="00521E84" w:rsidP="00812DC1">
            <w:pPr>
              <w:pStyle w:val="Caption"/>
              <w:jc w:val="center"/>
              <w:cnfStyle w:val="100000000000" w:firstRow="1" w:lastRow="0" w:firstColumn="0" w:lastColumn="0" w:oddVBand="0" w:evenVBand="0" w:oddHBand="0" w:evenHBand="0" w:firstRowFirstColumn="0" w:firstRowLastColumn="0" w:lastRowFirstColumn="0" w:lastRowLastColumn="0"/>
              <w:rPr>
                <w:i w:val="0"/>
                <w:iCs/>
                <w:noProof/>
                <w:sz w:val="20"/>
                <w:szCs w:val="18"/>
              </w:rPr>
            </w:pPr>
            <w:r>
              <w:rPr>
                <w:i w:val="0"/>
                <w:noProof/>
                <w:sz w:val="20"/>
              </w:rPr>
              <w:t>Regija/ozemlje</w:t>
            </w:r>
          </w:p>
        </w:tc>
        <w:tc>
          <w:tcPr>
            <w:tcW w:w="1680" w:type="dxa"/>
          </w:tcPr>
          <w:p w14:paraId="34F1439F" w14:textId="77777777" w:rsidR="00521E84" w:rsidRPr="00917D91" w:rsidRDefault="00521E84" w:rsidP="00812DC1">
            <w:pPr>
              <w:pStyle w:val="Caption"/>
              <w:jc w:val="center"/>
              <w:cnfStyle w:val="100000000000" w:firstRow="1" w:lastRow="0" w:firstColumn="0" w:lastColumn="0" w:oddVBand="0" w:evenVBand="0" w:oddHBand="0" w:evenHBand="0" w:firstRowFirstColumn="0" w:firstRowLastColumn="0" w:lastRowFirstColumn="0" w:lastRowLastColumn="0"/>
              <w:rPr>
                <w:i w:val="0"/>
                <w:iCs/>
                <w:noProof/>
                <w:sz w:val="20"/>
                <w:szCs w:val="18"/>
              </w:rPr>
            </w:pPr>
            <w:r>
              <w:rPr>
                <w:i w:val="0"/>
                <w:noProof/>
                <w:sz w:val="20"/>
              </w:rPr>
              <w:t>Naslov predloga projekta</w:t>
            </w:r>
          </w:p>
        </w:tc>
        <w:tc>
          <w:tcPr>
            <w:tcW w:w="1320" w:type="dxa"/>
            <w:vAlign w:val="center"/>
          </w:tcPr>
          <w:p w14:paraId="26BBFA43" w14:textId="77777777" w:rsidR="00521E84" w:rsidRPr="00917D91" w:rsidRDefault="00521E84" w:rsidP="00812DC1">
            <w:pPr>
              <w:pStyle w:val="Caption"/>
              <w:jc w:val="center"/>
              <w:cnfStyle w:val="100000000000" w:firstRow="1" w:lastRow="0" w:firstColumn="0" w:lastColumn="0" w:oddVBand="0" w:evenVBand="0" w:oddHBand="0" w:evenHBand="0" w:firstRowFirstColumn="0" w:firstRowLastColumn="0" w:lastRowFirstColumn="0" w:lastRowLastColumn="0"/>
              <w:rPr>
                <w:i w:val="0"/>
                <w:iCs/>
                <w:noProof/>
                <w:sz w:val="20"/>
                <w:szCs w:val="18"/>
              </w:rPr>
            </w:pPr>
            <w:r>
              <w:rPr>
                <w:i w:val="0"/>
                <w:noProof/>
                <w:sz w:val="20"/>
              </w:rPr>
              <w:t>Sektor</w:t>
            </w:r>
          </w:p>
        </w:tc>
        <w:tc>
          <w:tcPr>
            <w:tcW w:w="1320" w:type="dxa"/>
            <w:vAlign w:val="center"/>
          </w:tcPr>
          <w:p w14:paraId="147CAB78" w14:textId="0E57C5F9" w:rsidR="00521E84" w:rsidRPr="00917D91" w:rsidRDefault="00521E84" w:rsidP="00812DC1">
            <w:pPr>
              <w:pStyle w:val="Caption"/>
              <w:jc w:val="center"/>
              <w:cnfStyle w:val="100000000000" w:firstRow="1" w:lastRow="0" w:firstColumn="0" w:lastColumn="0" w:oddVBand="0" w:evenVBand="0" w:oddHBand="0" w:evenHBand="0" w:firstRowFirstColumn="0" w:firstRowLastColumn="0" w:lastRowFirstColumn="0" w:lastRowLastColumn="0"/>
              <w:rPr>
                <w:i w:val="0"/>
                <w:iCs/>
                <w:noProof/>
                <w:sz w:val="20"/>
                <w:szCs w:val="18"/>
              </w:rPr>
            </w:pPr>
            <w:r>
              <w:rPr>
                <w:i w:val="0"/>
                <w:noProof/>
                <w:sz w:val="20"/>
              </w:rPr>
              <w:t>Znesek zahtevanih nepovratnih sredstev (EUR)</w:t>
            </w:r>
          </w:p>
        </w:tc>
        <w:tc>
          <w:tcPr>
            <w:tcW w:w="1320" w:type="dxa"/>
            <w:vAlign w:val="center"/>
          </w:tcPr>
          <w:p w14:paraId="0DCAC6E1" w14:textId="587499DF" w:rsidR="00521E84" w:rsidRPr="00917D91" w:rsidRDefault="00521E84" w:rsidP="00812DC1">
            <w:pPr>
              <w:pStyle w:val="Caption"/>
              <w:jc w:val="center"/>
              <w:cnfStyle w:val="100000000000" w:firstRow="1" w:lastRow="0" w:firstColumn="0" w:lastColumn="0" w:oddVBand="0" w:evenVBand="0" w:oddHBand="0" w:evenHBand="0" w:firstRowFirstColumn="0" w:firstRowLastColumn="0" w:lastRowFirstColumn="0" w:lastRowLastColumn="0"/>
              <w:rPr>
                <w:i w:val="0"/>
                <w:iCs/>
                <w:noProof/>
                <w:sz w:val="20"/>
                <w:szCs w:val="18"/>
              </w:rPr>
            </w:pPr>
            <w:r>
              <w:rPr>
                <w:i w:val="0"/>
                <w:noProof/>
                <w:sz w:val="20"/>
              </w:rPr>
              <w:t>Znesek zahtevanega posojila (EUR)</w:t>
            </w:r>
          </w:p>
        </w:tc>
      </w:tr>
      <w:tr w:rsidR="008C317F" w:rsidRPr="00917D91" w14:paraId="655F316D" w14:textId="77777777" w:rsidTr="00C22B43">
        <w:trPr>
          <w:cnfStyle w:val="000000100000" w:firstRow="0" w:lastRow="0" w:firstColumn="0" w:lastColumn="0" w:oddVBand="0" w:evenVBand="0" w:oddHBand="1" w:evenHBand="0" w:firstRowFirstColumn="0" w:firstRowLastColumn="0" w:lastRowFirstColumn="0" w:lastRowLastColumn="0"/>
          <w:trHeight w:val="1978"/>
        </w:trPr>
        <w:tc>
          <w:tcPr>
            <w:cnfStyle w:val="001000000000" w:firstRow="0" w:lastRow="0" w:firstColumn="1" w:lastColumn="0" w:oddVBand="0" w:evenVBand="0" w:oddHBand="0" w:evenHBand="0" w:firstRowFirstColumn="0" w:firstRowLastColumn="0" w:lastRowFirstColumn="0" w:lastRowLastColumn="0"/>
            <w:tcW w:w="738" w:type="dxa"/>
            <w:vAlign w:val="center"/>
          </w:tcPr>
          <w:p w14:paraId="00593E7E" w14:textId="2FAF91C5" w:rsidR="00521E84" w:rsidRPr="00917D91" w:rsidRDefault="00521E84" w:rsidP="00CA2C5D">
            <w:pPr>
              <w:pStyle w:val="Caption"/>
              <w:jc w:val="center"/>
              <w:rPr>
                <w:i w:val="0"/>
                <w:iCs/>
                <w:noProof/>
                <w:sz w:val="20"/>
                <w:szCs w:val="18"/>
              </w:rPr>
            </w:pPr>
            <w:r>
              <w:rPr>
                <w:i w:val="0"/>
                <w:noProof/>
                <w:sz w:val="20"/>
              </w:rPr>
              <w:t>FR</w:t>
            </w:r>
          </w:p>
        </w:tc>
        <w:tc>
          <w:tcPr>
            <w:tcW w:w="1309" w:type="dxa"/>
            <w:vAlign w:val="center"/>
          </w:tcPr>
          <w:p w14:paraId="4F756EE0" w14:textId="4440C7B9" w:rsidR="00521E84" w:rsidRPr="00917D91" w:rsidRDefault="00521E84" w:rsidP="00CA2C5D">
            <w:pPr>
              <w:pStyle w:val="Caption"/>
              <w:jc w:val="center"/>
              <w:cnfStyle w:val="000000100000" w:firstRow="0" w:lastRow="0" w:firstColumn="0" w:lastColumn="0" w:oddVBand="0" w:evenVBand="0" w:oddHBand="1" w:evenHBand="0" w:firstRowFirstColumn="0" w:firstRowLastColumn="0" w:lastRowFirstColumn="0" w:lastRowLastColumn="0"/>
              <w:rPr>
                <w:i w:val="0"/>
                <w:iCs/>
                <w:noProof/>
                <w:sz w:val="20"/>
                <w:szCs w:val="18"/>
              </w:rPr>
            </w:pPr>
            <w:r>
              <w:rPr>
                <w:i w:val="0"/>
                <w:noProof/>
                <w:color w:val="000000"/>
                <w:sz w:val="20"/>
              </w:rPr>
              <w:t>20. september 2023</w:t>
            </w:r>
          </w:p>
        </w:tc>
        <w:tc>
          <w:tcPr>
            <w:tcW w:w="1920" w:type="dxa"/>
            <w:vAlign w:val="center"/>
          </w:tcPr>
          <w:p w14:paraId="7ABF05F7" w14:textId="548663D0" w:rsidR="00521E84" w:rsidRPr="00917D91" w:rsidRDefault="00783471" w:rsidP="00CA2C5D">
            <w:pPr>
              <w:pStyle w:val="Caption"/>
              <w:jc w:val="center"/>
              <w:cnfStyle w:val="000000100000" w:firstRow="0" w:lastRow="0" w:firstColumn="0" w:lastColumn="0" w:oddVBand="0" w:evenVBand="0" w:oddHBand="1" w:evenHBand="0" w:firstRowFirstColumn="0" w:firstRowLastColumn="0" w:lastRowFirstColumn="0" w:lastRowLastColumn="0"/>
              <w:rPr>
                <w:i w:val="0"/>
                <w:iCs/>
                <w:noProof/>
                <w:sz w:val="20"/>
                <w:szCs w:val="18"/>
              </w:rPr>
            </w:pPr>
            <w:r>
              <w:rPr>
                <w:i w:val="0"/>
                <w:noProof/>
                <w:sz w:val="20"/>
              </w:rPr>
              <w:t>Regija Provansa - Alpe - Azurna obala, Marseille</w:t>
            </w:r>
          </w:p>
        </w:tc>
        <w:tc>
          <w:tcPr>
            <w:tcW w:w="1680" w:type="dxa"/>
            <w:vAlign w:val="center"/>
          </w:tcPr>
          <w:p w14:paraId="0D54DCA8" w14:textId="39C29B22" w:rsidR="00521E84" w:rsidRPr="00917D91" w:rsidRDefault="00521E84" w:rsidP="00CA2C5D">
            <w:pPr>
              <w:pStyle w:val="Caption"/>
              <w:jc w:val="center"/>
              <w:cnfStyle w:val="000000100000" w:firstRow="0" w:lastRow="0" w:firstColumn="0" w:lastColumn="0" w:oddVBand="0" w:evenVBand="0" w:oddHBand="1" w:evenHBand="0" w:firstRowFirstColumn="0" w:firstRowLastColumn="0" w:lastRowFirstColumn="0" w:lastRowLastColumn="0"/>
              <w:rPr>
                <w:noProof/>
                <w:sz w:val="20"/>
                <w:szCs w:val="18"/>
              </w:rPr>
            </w:pPr>
            <w:r>
              <w:rPr>
                <w:noProof/>
                <w:sz w:val="20"/>
              </w:rPr>
              <w:t xml:space="preserve">Faza 1 podaljšanja tramvajske proge med južnim in severnim </w:t>
            </w:r>
            <w:r w:rsidR="005119A7">
              <w:rPr>
                <w:noProof/>
                <w:sz w:val="20"/>
              </w:rPr>
              <w:t>Marseillem</w:t>
            </w:r>
          </w:p>
        </w:tc>
        <w:tc>
          <w:tcPr>
            <w:tcW w:w="1320" w:type="dxa"/>
            <w:vAlign w:val="center"/>
          </w:tcPr>
          <w:p w14:paraId="0BA1C791" w14:textId="55D19C0A" w:rsidR="00521E84" w:rsidRPr="00917D91" w:rsidRDefault="008C317F" w:rsidP="00CA2C5D">
            <w:pPr>
              <w:pStyle w:val="Caption"/>
              <w:jc w:val="center"/>
              <w:cnfStyle w:val="000000100000" w:firstRow="0" w:lastRow="0" w:firstColumn="0" w:lastColumn="0" w:oddVBand="0" w:evenVBand="0" w:oddHBand="1" w:evenHBand="0" w:firstRowFirstColumn="0" w:firstRowLastColumn="0" w:lastRowFirstColumn="0" w:lastRowLastColumn="0"/>
              <w:rPr>
                <w:i w:val="0"/>
                <w:iCs/>
                <w:noProof/>
                <w:sz w:val="20"/>
                <w:szCs w:val="18"/>
              </w:rPr>
            </w:pPr>
            <w:r>
              <w:rPr>
                <w:i w:val="0"/>
                <w:noProof/>
                <w:sz w:val="20"/>
              </w:rPr>
              <w:t>Trajnostna mobilnost</w:t>
            </w:r>
          </w:p>
        </w:tc>
        <w:tc>
          <w:tcPr>
            <w:tcW w:w="1320" w:type="dxa"/>
            <w:vAlign w:val="center"/>
          </w:tcPr>
          <w:p w14:paraId="2C32EBF7" w14:textId="581432DB" w:rsidR="00521E84" w:rsidRPr="00917D91" w:rsidRDefault="00521E84" w:rsidP="00CA2C5D">
            <w:pPr>
              <w:spacing w:after="0"/>
              <w:jc w:val="center"/>
              <w:cnfStyle w:val="000000100000" w:firstRow="0" w:lastRow="0" w:firstColumn="0" w:lastColumn="0" w:oddVBand="0" w:evenVBand="0" w:oddHBand="1" w:evenHBand="0" w:firstRowFirstColumn="0" w:firstRowLastColumn="0" w:lastRowFirstColumn="0" w:lastRowLastColumn="0"/>
              <w:rPr>
                <w:iCs/>
                <w:noProof/>
                <w:sz w:val="20"/>
                <w:szCs w:val="18"/>
              </w:rPr>
            </w:pPr>
            <w:r>
              <w:rPr>
                <w:noProof/>
                <w:sz w:val="20"/>
              </w:rPr>
              <w:t>15 000 000</w:t>
            </w:r>
          </w:p>
          <w:p w14:paraId="5871B16F" w14:textId="213AA2FC" w:rsidR="00521E84" w:rsidRPr="00917D91" w:rsidRDefault="00521E84" w:rsidP="00CA2C5D">
            <w:pPr>
              <w:pStyle w:val="Caption"/>
              <w:jc w:val="center"/>
              <w:cnfStyle w:val="000000100000" w:firstRow="0" w:lastRow="0" w:firstColumn="0" w:lastColumn="0" w:oddVBand="0" w:evenVBand="0" w:oddHBand="1" w:evenHBand="0" w:firstRowFirstColumn="0" w:firstRowLastColumn="0" w:lastRowFirstColumn="0" w:lastRowLastColumn="0"/>
              <w:rPr>
                <w:i w:val="0"/>
                <w:iCs/>
                <w:noProof/>
                <w:sz w:val="20"/>
                <w:szCs w:val="18"/>
                <w:lang w:val="fr-FR"/>
              </w:rPr>
            </w:pPr>
          </w:p>
        </w:tc>
        <w:tc>
          <w:tcPr>
            <w:tcW w:w="1320" w:type="dxa"/>
            <w:vAlign w:val="center"/>
          </w:tcPr>
          <w:p w14:paraId="24BA3639" w14:textId="4388BF15" w:rsidR="00521E84" w:rsidRPr="00917D91" w:rsidRDefault="00521E84" w:rsidP="00CA2C5D">
            <w:pPr>
              <w:spacing w:after="0"/>
              <w:jc w:val="center"/>
              <w:cnfStyle w:val="000000100000" w:firstRow="0" w:lastRow="0" w:firstColumn="0" w:lastColumn="0" w:oddVBand="0" w:evenVBand="0" w:oddHBand="1" w:evenHBand="0" w:firstRowFirstColumn="0" w:firstRowLastColumn="0" w:lastRowFirstColumn="0" w:lastRowLastColumn="0"/>
              <w:rPr>
                <w:iCs/>
                <w:noProof/>
                <w:sz w:val="20"/>
                <w:szCs w:val="18"/>
              </w:rPr>
            </w:pPr>
            <w:r>
              <w:rPr>
                <w:noProof/>
                <w:sz w:val="20"/>
              </w:rPr>
              <w:t>100 000 000</w:t>
            </w:r>
          </w:p>
          <w:p w14:paraId="1CB0CC2A" w14:textId="02364351" w:rsidR="00521E84" w:rsidRPr="00917D91" w:rsidRDefault="00521E84" w:rsidP="00CA2C5D">
            <w:pPr>
              <w:pStyle w:val="Caption"/>
              <w:jc w:val="center"/>
              <w:cnfStyle w:val="000000100000" w:firstRow="0" w:lastRow="0" w:firstColumn="0" w:lastColumn="0" w:oddVBand="0" w:evenVBand="0" w:oddHBand="1" w:evenHBand="0" w:firstRowFirstColumn="0" w:firstRowLastColumn="0" w:lastRowFirstColumn="0" w:lastRowLastColumn="0"/>
              <w:rPr>
                <w:i w:val="0"/>
                <w:iCs/>
                <w:noProof/>
                <w:sz w:val="20"/>
                <w:szCs w:val="18"/>
                <w:lang w:val="fr-FR"/>
              </w:rPr>
            </w:pPr>
          </w:p>
        </w:tc>
      </w:tr>
      <w:tr w:rsidR="008C317F" w:rsidRPr="00917D91" w14:paraId="34959C0A" w14:textId="77777777" w:rsidTr="00C22B43">
        <w:trPr>
          <w:trHeight w:val="1195"/>
        </w:trPr>
        <w:tc>
          <w:tcPr>
            <w:cnfStyle w:val="001000000000" w:firstRow="0" w:lastRow="0" w:firstColumn="1" w:lastColumn="0" w:oddVBand="0" w:evenVBand="0" w:oddHBand="0" w:evenHBand="0" w:firstRowFirstColumn="0" w:firstRowLastColumn="0" w:lastRowFirstColumn="0" w:lastRowLastColumn="0"/>
            <w:tcW w:w="738" w:type="dxa"/>
            <w:vAlign w:val="center"/>
          </w:tcPr>
          <w:p w14:paraId="4C548188" w14:textId="68C43D50" w:rsidR="00521E84" w:rsidRPr="00917D91" w:rsidRDefault="00521E84" w:rsidP="00CA2C5D">
            <w:pPr>
              <w:pStyle w:val="Caption"/>
              <w:jc w:val="center"/>
              <w:rPr>
                <w:i w:val="0"/>
                <w:iCs/>
                <w:noProof/>
                <w:sz w:val="20"/>
                <w:szCs w:val="18"/>
              </w:rPr>
            </w:pPr>
            <w:r>
              <w:rPr>
                <w:i w:val="0"/>
                <w:noProof/>
                <w:sz w:val="20"/>
              </w:rPr>
              <w:t>FR</w:t>
            </w:r>
          </w:p>
        </w:tc>
        <w:tc>
          <w:tcPr>
            <w:tcW w:w="1309" w:type="dxa"/>
            <w:vAlign w:val="center"/>
          </w:tcPr>
          <w:p w14:paraId="078ABDA7" w14:textId="060EACE7" w:rsidR="00521E84" w:rsidRPr="00917D91" w:rsidRDefault="00521E84" w:rsidP="00CA2C5D">
            <w:pPr>
              <w:pStyle w:val="Caption"/>
              <w:jc w:val="center"/>
              <w:cnfStyle w:val="000000000000" w:firstRow="0" w:lastRow="0" w:firstColumn="0" w:lastColumn="0" w:oddVBand="0" w:evenVBand="0" w:oddHBand="0" w:evenHBand="0" w:firstRowFirstColumn="0" w:firstRowLastColumn="0" w:lastRowFirstColumn="0" w:lastRowLastColumn="0"/>
              <w:rPr>
                <w:i w:val="0"/>
                <w:iCs/>
                <w:noProof/>
                <w:sz w:val="20"/>
                <w:szCs w:val="18"/>
              </w:rPr>
            </w:pPr>
            <w:r>
              <w:rPr>
                <w:i w:val="0"/>
                <w:noProof/>
                <w:sz w:val="20"/>
              </w:rPr>
              <w:t>20. september 2023</w:t>
            </w:r>
          </w:p>
        </w:tc>
        <w:tc>
          <w:tcPr>
            <w:tcW w:w="1920" w:type="dxa"/>
            <w:vAlign w:val="center"/>
          </w:tcPr>
          <w:p w14:paraId="60FA16BF" w14:textId="0B6354FE" w:rsidR="00521E84" w:rsidRPr="00917D91" w:rsidRDefault="00783471" w:rsidP="00CA2C5D">
            <w:pPr>
              <w:pStyle w:val="Caption"/>
              <w:jc w:val="center"/>
              <w:cnfStyle w:val="000000000000" w:firstRow="0" w:lastRow="0" w:firstColumn="0" w:lastColumn="0" w:oddVBand="0" w:evenVBand="0" w:oddHBand="0" w:evenHBand="0" w:firstRowFirstColumn="0" w:firstRowLastColumn="0" w:lastRowFirstColumn="0" w:lastRowLastColumn="0"/>
              <w:rPr>
                <w:i w:val="0"/>
                <w:iCs/>
                <w:noProof/>
                <w:sz w:val="20"/>
                <w:szCs w:val="18"/>
              </w:rPr>
            </w:pPr>
            <w:r>
              <w:rPr>
                <w:i w:val="0"/>
                <w:noProof/>
                <w:sz w:val="20"/>
              </w:rPr>
              <w:t>Hauts de France (Nord Pas de Calais), Lille</w:t>
            </w:r>
          </w:p>
        </w:tc>
        <w:tc>
          <w:tcPr>
            <w:tcW w:w="1680" w:type="dxa"/>
            <w:vAlign w:val="center"/>
          </w:tcPr>
          <w:p w14:paraId="75477D24" w14:textId="4C364865" w:rsidR="00521E84" w:rsidRPr="00917D91" w:rsidRDefault="00521E84" w:rsidP="00CA2C5D">
            <w:pPr>
              <w:pStyle w:val="Caption"/>
              <w:jc w:val="center"/>
              <w:cnfStyle w:val="000000000000" w:firstRow="0" w:lastRow="0" w:firstColumn="0" w:lastColumn="0" w:oddVBand="0" w:evenVBand="0" w:oddHBand="0" w:evenHBand="0" w:firstRowFirstColumn="0" w:firstRowLastColumn="0" w:lastRowFirstColumn="0" w:lastRowLastColumn="0"/>
              <w:rPr>
                <w:noProof/>
                <w:sz w:val="20"/>
                <w:szCs w:val="18"/>
              </w:rPr>
            </w:pPr>
            <w:r>
              <w:rPr>
                <w:noProof/>
                <w:sz w:val="20"/>
              </w:rPr>
              <w:t>Zelena mobilnost v MEL</w:t>
            </w:r>
          </w:p>
        </w:tc>
        <w:tc>
          <w:tcPr>
            <w:tcW w:w="1320" w:type="dxa"/>
            <w:vAlign w:val="center"/>
          </w:tcPr>
          <w:p w14:paraId="5298D386" w14:textId="655C0060" w:rsidR="00521E84" w:rsidRPr="00917D91" w:rsidRDefault="00DD05F2" w:rsidP="00CA2C5D">
            <w:pPr>
              <w:pStyle w:val="Caption"/>
              <w:jc w:val="center"/>
              <w:cnfStyle w:val="000000000000" w:firstRow="0" w:lastRow="0" w:firstColumn="0" w:lastColumn="0" w:oddVBand="0" w:evenVBand="0" w:oddHBand="0" w:evenHBand="0" w:firstRowFirstColumn="0" w:firstRowLastColumn="0" w:lastRowFirstColumn="0" w:lastRowLastColumn="0"/>
              <w:rPr>
                <w:i w:val="0"/>
                <w:iCs/>
                <w:noProof/>
                <w:sz w:val="20"/>
                <w:szCs w:val="18"/>
              </w:rPr>
            </w:pPr>
            <w:r>
              <w:rPr>
                <w:i w:val="0"/>
                <w:noProof/>
                <w:sz w:val="20"/>
              </w:rPr>
              <w:t>Trajnostna mobilnost</w:t>
            </w:r>
          </w:p>
        </w:tc>
        <w:tc>
          <w:tcPr>
            <w:tcW w:w="1320" w:type="dxa"/>
            <w:vAlign w:val="center"/>
          </w:tcPr>
          <w:p w14:paraId="4BF7A8DA" w14:textId="6925E76D" w:rsidR="00521E84" w:rsidRPr="00917D91" w:rsidRDefault="00521E84" w:rsidP="00CA2C5D">
            <w:pPr>
              <w:pStyle w:val="Caption"/>
              <w:jc w:val="center"/>
              <w:cnfStyle w:val="000000000000" w:firstRow="0" w:lastRow="0" w:firstColumn="0" w:lastColumn="0" w:oddVBand="0" w:evenVBand="0" w:oddHBand="0" w:evenHBand="0" w:firstRowFirstColumn="0" w:firstRowLastColumn="0" w:lastRowFirstColumn="0" w:lastRowLastColumn="0"/>
              <w:rPr>
                <w:i w:val="0"/>
                <w:iCs/>
                <w:noProof/>
                <w:sz w:val="20"/>
                <w:szCs w:val="18"/>
              </w:rPr>
            </w:pPr>
            <w:r>
              <w:rPr>
                <w:i w:val="0"/>
                <w:noProof/>
                <w:sz w:val="20"/>
              </w:rPr>
              <w:t>31 500 000</w:t>
            </w:r>
          </w:p>
        </w:tc>
        <w:tc>
          <w:tcPr>
            <w:tcW w:w="1320" w:type="dxa"/>
            <w:vAlign w:val="center"/>
          </w:tcPr>
          <w:p w14:paraId="77157F9E" w14:textId="3D70F3AC" w:rsidR="00521E84" w:rsidRPr="00917D91" w:rsidRDefault="00521E84" w:rsidP="00CA2C5D">
            <w:pPr>
              <w:pStyle w:val="Caption"/>
              <w:jc w:val="center"/>
              <w:cnfStyle w:val="000000000000" w:firstRow="0" w:lastRow="0" w:firstColumn="0" w:lastColumn="0" w:oddVBand="0" w:evenVBand="0" w:oddHBand="0" w:evenHBand="0" w:firstRowFirstColumn="0" w:firstRowLastColumn="0" w:lastRowFirstColumn="0" w:lastRowLastColumn="0"/>
              <w:rPr>
                <w:i w:val="0"/>
                <w:iCs/>
                <w:noProof/>
                <w:sz w:val="20"/>
                <w:szCs w:val="18"/>
              </w:rPr>
            </w:pPr>
            <w:r>
              <w:rPr>
                <w:i w:val="0"/>
                <w:noProof/>
                <w:sz w:val="20"/>
              </w:rPr>
              <w:t>210 000 000</w:t>
            </w:r>
          </w:p>
        </w:tc>
      </w:tr>
      <w:tr w:rsidR="008C317F" w:rsidRPr="00917D91" w14:paraId="1815D812" w14:textId="77777777" w:rsidTr="00C22B43">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738" w:type="dxa"/>
            <w:vAlign w:val="center"/>
          </w:tcPr>
          <w:p w14:paraId="5BD9D05A" w14:textId="4016A2A2" w:rsidR="00521E84" w:rsidRPr="00917D91" w:rsidRDefault="00521E84" w:rsidP="00CA2C5D">
            <w:pPr>
              <w:pStyle w:val="Caption"/>
              <w:jc w:val="center"/>
              <w:rPr>
                <w:i w:val="0"/>
                <w:iCs/>
                <w:noProof/>
                <w:sz w:val="20"/>
                <w:szCs w:val="18"/>
              </w:rPr>
            </w:pPr>
            <w:r>
              <w:rPr>
                <w:i w:val="0"/>
                <w:noProof/>
                <w:sz w:val="20"/>
              </w:rPr>
              <w:t>NL</w:t>
            </w:r>
          </w:p>
        </w:tc>
        <w:tc>
          <w:tcPr>
            <w:tcW w:w="1309" w:type="dxa"/>
            <w:vAlign w:val="center"/>
          </w:tcPr>
          <w:p w14:paraId="70E27131" w14:textId="1D853E4E" w:rsidR="00521E84" w:rsidRPr="00917D91" w:rsidRDefault="00521E84" w:rsidP="00CA2C5D">
            <w:pPr>
              <w:pStyle w:val="Caption"/>
              <w:jc w:val="center"/>
              <w:cnfStyle w:val="000000100000" w:firstRow="0" w:lastRow="0" w:firstColumn="0" w:lastColumn="0" w:oddVBand="0" w:evenVBand="0" w:oddHBand="1" w:evenHBand="0" w:firstRowFirstColumn="0" w:firstRowLastColumn="0" w:lastRowFirstColumn="0" w:lastRowLastColumn="0"/>
              <w:rPr>
                <w:i w:val="0"/>
                <w:iCs/>
                <w:noProof/>
                <w:sz w:val="20"/>
                <w:szCs w:val="18"/>
              </w:rPr>
            </w:pPr>
            <w:r>
              <w:rPr>
                <w:i w:val="0"/>
                <w:noProof/>
                <w:sz w:val="20"/>
              </w:rPr>
              <w:t>20. september 2023</w:t>
            </w:r>
          </w:p>
        </w:tc>
        <w:tc>
          <w:tcPr>
            <w:tcW w:w="1920" w:type="dxa"/>
            <w:vAlign w:val="center"/>
          </w:tcPr>
          <w:p w14:paraId="4E1AE4E3" w14:textId="735B0660" w:rsidR="00521E84" w:rsidRPr="00917D91" w:rsidRDefault="00783471" w:rsidP="00CA2C5D">
            <w:pPr>
              <w:pStyle w:val="Caption"/>
              <w:jc w:val="center"/>
              <w:cnfStyle w:val="000000100000" w:firstRow="0" w:lastRow="0" w:firstColumn="0" w:lastColumn="0" w:oddVBand="0" w:evenVBand="0" w:oddHBand="1" w:evenHBand="0" w:firstRowFirstColumn="0" w:firstRowLastColumn="0" w:lastRowFirstColumn="0" w:lastRowLastColumn="0"/>
              <w:rPr>
                <w:i w:val="0"/>
                <w:iCs/>
                <w:noProof/>
                <w:sz w:val="20"/>
                <w:szCs w:val="18"/>
              </w:rPr>
            </w:pPr>
            <w:r>
              <w:rPr>
                <w:i w:val="0"/>
                <w:noProof/>
                <w:sz w:val="20"/>
              </w:rPr>
              <w:t>Zuid-Limburg, Mijnwater</w:t>
            </w:r>
          </w:p>
        </w:tc>
        <w:tc>
          <w:tcPr>
            <w:tcW w:w="1680" w:type="dxa"/>
            <w:vAlign w:val="center"/>
          </w:tcPr>
          <w:p w14:paraId="78CBAA49" w14:textId="2D700934" w:rsidR="00521E84" w:rsidRPr="00917D91" w:rsidRDefault="00521E84" w:rsidP="00CA2C5D">
            <w:pPr>
              <w:pStyle w:val="Caption"/>
              <w:jc w:val="center"/>
              <w:cnfStyle w:val="000000100000" w:firstRow="0" w:lastRow="0" w:firstColumn="0" w:lastColumn="0" w:oddVBand="0" w:evenVBand="0" w:oddHBand="1" w:evenHBand="0" w:firstRowFirstColumn="0" w:firstRowLastColumn="0" w:lastRowFirstColumn="0" w:lastRowLastColumn="0"/>
              <w:rPr>
                <w:noProof/>
                <w:sz w:val="20"/>
                <w:szCs w:val="18"/>
              </w:rPr>
            </w:pPr>
            <w:r>
              <w:rPr>
                <w:noProof/>
                <w:sz w:val="20"/>
              </w:rPr>
              <w:t>Faza 1 razširitve glavnega načrta podjetja Mijnwater</w:t>
            </w:r>
          </w:p>
        </w:tc>
        <w:tc>
          <w:tcPr>
            <w:tcW w:w="1320" w:type="dxa"/>
            <w:vAlign w:val="center"/>
          </w:tcPr>
          <w:p w14:paraId="385099D9" w14:textId="15874D6D" w:rsidR="00521E84" w:rsidRPr="00917D91" w:rsidRDefault="00DD05F2" w:rsidP="00CA2C5D">
            <w:pPr>
              <w:pStyle w:val="Caption"/>
              <w:jc w:val="center"/>
              <w:cnfStyle w:val="000000100000" w:firstRow="0" w:lastRow="0" w:firstColumn="0" w:lastColumn="0" w:oddVBand="0" w:evenVBand="0" w:oddHBand="1" w:evenHBand="0" w:firstRowFirstColumn="0" w:firstRowLastColumn="0" w:lastRowFirstColumn="0" w:lastRowLastColumn="0"/>
              <w:rPr>
                <w:i w:val="0"/>
                <w:iCs/>
                <w:noProof/>
                <w:sz w:val="20"/>
                <w:szCs w:val="18"/>
              </w:rPr>
            </w:pPr>
            <w:r>
              <w:rPr>
                <w:i w:val="0"/>
                <w:noProof/>
                <w:sz w:val="20"/>
              </w:rPr>
              <w:t>Trajnostno daljinsko ogrevanje in hlajenje</w:t>
            </w:r>
          </w:p>
        </w:tc>
        <w:tc>
          <w:tcPr>
            <w:tcW w:w="1320" w:type="dxa"/>
            <w:vAlign w:val="center"/>
          </w:tcPr>
          <w:p w14:paraId="072ADFE5" w14:textId="5A2D64AC" w:rsidR="00521E84" w:rsidRPr="00917D91" w:rsidRDefault="00521E84" w:rsidP="00CA2C5D">
            <w:pPr>
              <w:pStyle w:val="Caption"/>
              <w:jc w:val="center"/>
              <w:cnfStyle w:val="000000100000" w:firstRow="0" w:lastRow="0" w:firstColumn="0" w:lastColumn="0" w:oddVBand="0" w:evenVBand="0" w:oddHBand="1" w:evenHBand="0" w:firstRowFirstColumn="0" w:firstRowLastColumn="0" w:lastRowFirstColumn="0" w:lastRowLastColumn="0"/>
              <w:rPr>
                <w:i w:val="0"/>
                <w:iCs/>
                <w:noProof/>
                <w:sz w:val="20"/>
                <w:szCs w:val="18"/>
              </w:rPr>
            </w:pPr>
            <w:r>
              <w:rPr>
                <w:i w:val="0"/>
                <w:noProof/>
                <w:sz w:val="20"/>
              </w:rPr>
              <w:t>13 500 000</w:t>
            </w:r>
          </w:p>
        </w:tc>
        <w:tc>
          <w:tcPr>
            <w:tcW w:w="1320" w:type="dxa"/>
            <w:vAlign w:val="center"/>
          </w:tcPr>
          <w:p w14:paraId="12DC014D" w14:textId="10AADC86" w:rsidR="00521E84" w:rsidRPr="00917D91" w:rsidRDefault="00521E84" w:rsidP="00CA2C5D">
            <w:pPr>
              <w:pStyle w:val="Caption"/>
              <w:jc w:val="center"/>
              <w:cnfStyle w:val="000000100000" w:firstRow="0" w:lastRow="0" w:firstColumn="0" w:lastColumn="0" w:oddVBand="0" w:evenVBand="0" w:oddHBand="1" w:evenHBand="0" w:firstRowFirstColumn="0" w:firstRowLastColumn="0" w:lastRowFirstColumn="0" w:lastRowLastColumn="0"/>
              <w:rPr>
                <w:i w:val="0"/>
                <w:iCs/>
                <w:noProof/>
                <w:sz w:val="20"/>
                <w:szCs w:val="18"/>
              </w:rPr>
            </w:pPr>
            <w:r>
              <w:rPr>
                <w:i w:val="0"/>
                <w:noProof/>
                <w:sz w:val="20"/>
              </w:rPr>
              <w:t>90 000 000</w:t>
            </w:r>
          </w:p>
        </w:tc>
      </w:tr>
      <w:tr w:rsidR="008C317F" w:rsidRPr="00917D91" w14:paraId="4BD09B80" w14:textId="77777777" w:rsidTr="00C22B43">
        <w:trPr>
          <w:trHeight w:val="669"/>
        </w:trPr>
        <w:tc>
          <w:tcPr>
            <w:cnfStyle w:val="001000000000" w:firstRow="0" w:lastRow="0" w:firstColumn="1" w:lastColumn="0" w:oddVBand="0" w:evenVBand="0" w:oddHBand="0" w:evenHBand="0" w:firstRowFirstColumn="0" w:firstRowLastColumn="0" w:lastRowFirstColumn="0" w:lastRowLastColumn="0"/>
            <w:tcW w:w="738" w:type="dxa"/>
            <w:vAlign w:val="center"/>
          </w:tcPr>
          <w:p w14:paraId="609EC693" w14:textId="0C6D7003" w:rsidR="008C317F" w:rsidRPr="00917D91" w:rsidRDefault="008C317F" w:rsidP="00CA2C5D">
            <w:pPr>
              <w:pStyle w:val="Caption"/>
              <w:jc w:val="center"/>
              <w:rPr>
                <w:i w:val="0"/>
                <w:iCs/>
                <w:noProof/>
                <w:sz w:val="20"/>
                <w:szCs w:val="18"/>
              </w:rPr>
            </w:pPr>
            <w:r>
              <w:rPr>
                <w:i w:val="0"/>
                <w:noProof/>
                <w:sz w:val="20"/>
              </w:rPr>
              <w:t>CZ</w:t>
            </w:r>
          </w:p>
        </w:tc>
        <w:tc>
          <w:tcPr>
            <w:tcW w:w="1309" w:type="dxa"/>
            <w:vAlign w:val="center"/>
          </w:tcPr>
          <w:p w14:paraId="4634E1AC" w14:textId="5A4C528D" w:rsidR="008C317F" w:rsidRPr="00917D91" w:rsidRDefault="008C317F" w:rsidP="00CA2C5D">
            <w:pPr>
              <w:pStyle w:val="Caption"/>
              <w:jc w:val="center"/>
              <w:cnfStyle w:val="000000000000" w:firstRow="0" w:lastRow="0" w:firstColumn="0" w:lastColumn="0" w:oddVBand="0" w:evenVBand="0" w:oddHBand="0" w:evenHBand="0" w:firstRowFirstColumn="0" w:firstRowLastColumn="0" w:lastRowFirstColumn="0" w:lastRowLastColumn="0"/>
              <w:rPr>
                <w:i w:val="0"/>
                <w:iCs/>
                <w:noProof/>
                <w:sz w:val="20"/>
                <w:szCs w:val="18"/>
              </w:rPr>
            </w:pPr>
            <w:r>
              <w:rPr>
                <w:i w:val="0"/>
                <w:noProof/>
                <w:sz w:val="20"/>
              </w:rPr>
              <w:t>19. januar 2024</w:t>
            </w:r>
          </w:p>
        </w:tc>
        <w:tc>
          <w:tcPr>
            <w:tcW w:w="1920" w:type="dxa"/>
            <w:vAlign w:val="center"/>
          </w:tcPr>
          <w:p w14:paraId="75C26F61" w14:textId="6BA3DB4F" w:rsidR="008C317F" w:rsidRPr="00917D91" w:rsidRDefault="00783471" w:rsidP="00CA2C5D">
            <w:pPr>
              <w:pStyle w:val="Caption"/>
              <w:jc w:val="center"/>
              <w:cnfStyle w:val="000000000000" w:firstRow="0" w:lastRow="0" w:firstColumn="0" w:lastColumn="0" w:oddVBand="0" w:evenVBand="0" w:oddHBand="0" w:evenHBand="0" w:firstRowFirstColumn="0" w:firstRowLastColumn="0" w:lastRowFirstColumn="0" w:lastRowLastColumn="0"/>
              <w:rPr>
                <w:i w:val="0"/>
                <w:iCs/>
                <w:noProof/>
                <w:sz w:val="20"/>
                <w:szCs w:val="18"/>
              </w:rPr>
            </w:pPr>
            <w:r>
              <w:rPr>
                <w:i w:val="0"/>
                <w:noProof/>
                <w:sz w:val="20"/>
              </w:rPr>
              <w:t>Regija Ústí, Ústí nad Labem</w:t>
            </w:r>
          </w:p>
        </w:tc>
        <w:tc>
          <w:tcPr>
            <w:tcW w:w="1680" w:type="dxa"/>
            <w:vAlign w:val="center"/>
          </w:tcPr>
          <w:p w14:paraId="3F37CBA8" w14:textId="30D0FA83" w:rsidR="008C317F" w:rsidRPr="00917D91" w:rsidRDefault="008C317F" w:rsidP="00CA2C5D">
            <w:pPr>
              <w:pStyle w:val="Caption"/>
              <w:jc w:val="center"/>
              <w:cnfStyle w:val="000000000000" w:firstRow="0" w:lastRow="0" w:firstColumn="0" w:lastColumn="0" w:oddVBand="0" w:evenVBand="0" w:oddHBand="0" w:evenHBand="0" w:firstRowFirstColumn="0" w:firstRowLastColumn="0" w:lastRowFirstColumn="0" w:lastRowLastColumn="0"/>
              <w:rPr>
                <w:noProof/>
                <w:sz w:val="20"/>
                <w:szCs w:val="18"/>
              </w:rPr>
            </w:pPr>
            <w:r>
              <w:rPr>
                <w:noProof/>
                <w:sz w:val="20"/>
              </w:rPr>
              <w:t>Javni prevoz v mestu Ústí nad Labem</w:t>
            </w:r>
          </w:p>
        </w:tc>
        <w:tc>
          <w:tcPr>
            <w:tcW w:w="1320" w:type="dxa"/>
            <w:vAlign w:val="center"/>
          </w:tcPr>
          <w:p w14:paraId="5A8CC9C4" w14:textId="02B20D51" w:rsidR="008C317F" w:rsidRPr="00917D91" w:rsidRDefault="00DD05F2" w:rsidP="00CA2C5D">
            <w:pPr>
              <w:pStyle w:val="Caption"/>
              <w:jc w:val="center"/>
              <w:cnfStyle w:val="000000000000" w:firstRow="0" w:lastRow="0" w:firstColumn="0" w:lastColumn="0" w:oddVBand="0" w:evenVBand="0" w:oddHBand="0" w:evenHBand="0" w:firstRowFirstColumn="0" w:firstRowLastColumn="0" w:lastRowFirstColumn="0" w:lastRowLastColumn="0"/>
              <w:rPr>
                <w:i w:val="0"/>
                <w:iCs/>
                <w:noProof/>
                <w:sz w:val="20"/>
                <w:szCs w:val="18"/>
              </w:rPr>
            </w:pPr>
            <w:r>
              <w:rPr>
                <w:i w:val="0"/>
                <w:noProof/>
                <w:sz w:val="20"/>
              </w:rPr>
              <w:t>Trajnostna mobilnost, energijska učinkovitost</w:t>
            </w:r>
          </w:p>
        </w:tc>
        <w:tc>
          <w:tcPr>
            <w:tcW w:w="1320" w:type="dxa"/>
            <w:vAlign w:val="center"/>
          </w:tcPr>
          <w:p w14:paraId="662546F5" w14:textId="10719210" w:rsidR="008C317F" w:rsidRPr="00917D91" w:rsidRDefault="008C317F" w:rsidP="00CA2C5D">
            <w:pPr>
              <w:pStyle w:val="Caption"/>
              <w:jc w:val="center"/>
              <w:cnfStyle w:val="000000000000" w:firstRow="0" w:lastRow="0" w:firstColumn="0" w:lastColumn="0" w:oddVBand="0" w:evenVBand="0" w:oddHBand="0" w:evenHBand="0" w:firstRowFirstColumn="0" w:firstRowLastColumn="0" w:lastRowFirstColumn="0" w:lastRowLastColumn="0"/>
              <w:rPr>
                <w:i w:val="0"/>
                <w:iCs/>
                <w:noProof/>
                <w:sz w:val="20"/>
                <w:szCs w:val="18"/>
              </w:rPr>
            </w:pPr>
            <w:r>
              <w:rPr>
                <w:i w:val="0"/>
                <w:noProof/>
                <w:sz w:val="20"/>
              </w:rPr>
              <w:t>430 612</w:t>
            </w:r>
          </w:p>
        </w:tc>
        <w:tc>
          <w:tcPr>
            <w:tcW w:w="1320" w:type="dxa"/>
            <w:vAlign w:val="center"/>
          </w:tcPr>
          <w:p w14:paraId="3F200E47" w14:textId="5A50F71E" w:rsidR="008C317F" w:rsidRPr="00917D91" w:rsidRDefault="008C317F" w:rsidP="00CA2C5D">
            <w:pPr>
              <w:pStyle w:val="Caption"/>
              <w:jc w:val="center"/>
              <w:cnfStyle w:val="000000000000" w:firstRow="0" w:lastRow="0" w:firstColumn="0" w:lastColumn="0" w:oddVBand="0" w:evenVBand="0" w:oddHBand="0" w:evenHBand="0" w:firstRowFirstColumn="0" w:firstRowLastColumn="0" w:lastRowFirstColumn="0" w:lastRowLastColumn="0"/>
              <w:rPr>
                <w:i w:val="0"/>
                <w:iCs/>
                <w:noProof/>
                <w:sz w:val="20"/>
                <w:szCs w:val="18"/>
              </w:rPr>
            </w:pPr>
            <w:r>
              <w:rPr>
                <w:i w:val="0"/>
                <w:noProof/>
                <w:sz w:val="20"/>
              </w:rPr>
              <w:t>1 722 449</w:t>
            </w:r>
          </w:p>
        </w:tc>
      </w:tr>
      <w:tr w:rsidR="00B73140" w:rsidRPr="00917D91" w14:paraId="7C92AC42" w14:textId="77777777" w:rsidTr="00C22B43">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738" w:type="dxa"/>
            <w:vAlign w:val="center"/>
          </w:tcPr>
          <w:p w14:paraId="3BB842BE" w14:textId="75B27154" w:rsidR="00B73140" w:rsidRPr="00917D91" w:rsidRDefault="00B73140" w:rsidP="00CA2C5D">
            <w:pPr>
              <w:pStyle w:val="Caption"/>
              <w:jc w:val="center"/>
              <w:rPr>
                <w:i w:val="0"/>
                <w:iCs/>
                <w:noProof/>
                <w:sz w:val="20"/>
                <w:szCs w:val="18"/>
              </w:rPr>
            </w:pPr>
            <w:r>
              <w:rPr>
                <w:i w:val="0"/>
                <w:noProof/>
                <w:sz w:val="20"/>
              </w:rPr>
              <w:t>PL</w:t>
            </w:r>
          </w:p>
        </w:tc>
        <w:tc>
          <w:tcPr>
            <w:tcW w:w="1309" w:type="dxa"/>
            <w:vAlign w:val="center"/>
          </w:tcPr>
          <w:p w14:paraId="26E536C3" w14:textId="31BBE425" w:rsidR="00B73140" w:rsidRPr="00917D91" w:rsidRDefault="00B73140" w:rsidP="00CA2C5D">
            <w:pPr>
              <w:pStyle w:val="Caption"/>
              <w:jc w:val="center"/>
              <w:cnfStyle w:val="000000100000" w:firstRow="0" w:lastRow="0" w:firstColumn="0" w:lastColumn="0" w:oddVBand="0" w:evenVBand="0" w:oddHBand="1" w:evenHBand="0" w:firstRowFirstColumn="0" w:firstRowLastColumn="0" w:lastRowFirstColumn="0" w:lastRowLastColumn="0"/>
              <w:rPr>
                <w:i w:val="0"/>
                <w:iCs/>
                <w:noProof/>
                <w:sz w:val="20"/>
                <w:szCs w:val="18"/>
              </w:rPr>
            </w:pPr>
            <w:r>
              <w:rPr>
                <w:i w:val="0"/>
                <w:noProof/>
                <w:sz w:val="20"/>
              </w:rPr>
              <w:t>19. januar 2024</w:t>
            </w:r>
          </w:p>
        </w:tc>
        <w:tc>
          <w:tcPr>
            <w:tcW w:w="1920" w:type="dxa"/>
            <w:vAlign w:val="center"/>
          </w:tcPr>
          <w:p w14:paraId="4272921C" w14:textId="0B78F283" w:rsidR="00B73140" w:rsidRPr="00917D91" w:rsidRDefault="00B73140" w:rsidP="00CA2C5D">
            <w:pPr>
              <w:pStyle w:val="Caption"/>
              <w:jc w:val="center"/>
              <w:cnfStyle w:val="000000100000" w:firstRow="0" w:lastRow="0" w:firstColumn="0" w:lastColumn="0" w:oddVBand="0" w:evenVBand="0" w:oddHBand="1" w:evenHBand="0" w:firstRowFirstColumn="0" w:firstRowLastColumn="0" w:lastRowFirstColumn="0" w:lastRowLastColumn="0"/>
              <w:rPr>
                <w:i w:val="0"/>
                <w:iCs/>
                <w:noProof/>
                <w:sz w:val="20"/>
                <w:szCs w:val="18"/>
              </w:rPr>
            </w:pPr>
            <w:r>
              <w:rPr>
                <w:i w:val="0"/>
                <w:noProof/>
                <w:sz w:val="20"/>
              </w:rPr>
              <w:t>Šlezija, Dąbrowa Górnic</w:t>
            </w:r>
          </w:p>
        </w:tc>
        <w:tc>
          <w:tcPr>
            <w:tcW w:w="1680" w:type="dxa"/>
            <w:vAlign w:val="center"/>
          </w:tcPr>
          <w:p w14:paraId="405C09A6" w14:textId="1F42875F" w:rsidR="00B73140" w:rsidRPr="00917D91" w:rsidRDefault="00B73140" w:rsidP="00CA2C5D">
            <w:pPr>
              <w:pStyle w:val="Caption"/>
              <w:jc w:val="center"/>
              <w:cnfStyle w:val="000000100000" w:firstRow="0" w:lastRow="0" w:firstColumn="0" w:lastColumn="0" w:oddVBand="0" w:evenVBand="0" w:oddHBand="1" w:evenHBand="0" w:firstRowFirstColumn="0" w:firstRowLastColumn="0" w:lastRowFirstColumn="0" w:lastRowLastColumn="0"/>
              <w:rPr>
                <w:noProof/>
                <w:sz w:val="20"/>
                <w:szCs w:val="18"/>
              </w:rPr>
            </w:pPr>
            <w:r>
              <w:rPr>
                <w:noProof/>
                <w:sz w:val="20"/>
              </w:rPr>
              <w:t>Trajnostni razvoj v mestu Dąbrowa Górnicza</w:t>
            </w:r>
          </w:p>
        </w:tc>
        <w:tc>
          <w:tcPr>
            <w:tcW w:w="1320" w:type="dxa"/>
            <w:vAlign w:val="center"/>
          </w:tcPr>
          <w:p w14:paraId="25EAF81A" w14:textId="03B5912E" w:rsidR="00B73140" w:rsidRPr="00917D91" w:rsidRDefault="00B73140" w:rsidP="00CA2C5D">
            <w:pPr>
              <w:pStyle w:val="Caption"/>
              <w:jc w:val="center"/>
              <w:cnfStyle w:val="000000100000" w:firstRow="0" w:lastRow="0" w:firstColumn="0" w:lastColumn="0" w:oddVBand="0" w:evenVBand="0" w:oddHBand="1" w:evenHBand="0" w:firstRowFirstColumn="0" w:firstRowLastColumn="0" w:lastRowFirstColumn="0" w:lastRowLastColumn="0"/>
              <w:rPr>
                <w:i w:val="0"/>
                <w:iCs/>
                <w:noProof/>
                <w:sz w:val="20"/>
                <w:szCs w:val="18"/>
              </w:rPr>
            </w:pPr>
            <w:r>
              <w:rPr>
                <w:i w:val="0"/>
                <w:noProof/>
                <w:sz w:val="20"/>
              </w:rPr>
              <w:t>Energijska učinkovitost, trajnostna mobilnost</w:t>
            </w:r>
          </w:p>
        </w:tc>
        <w:tc>
          <w:tcPr>
            <w:tcW w:w="1320" w:type="dxa"/>
            <w:vAlign w:val="center"/>
          </w:tcPr>
          <w:p w14:paraId="423CCC45" w14:textId="2F725050" w:rsidR="00B73140" w:rsidRPr="00917D91" w:rsidRDefault="00B73140" w:rsidP="00CA2C5D">
            <w:pPr>
              <w:pStyle w:val="Caption"/>
              <w:jc w:val="center"/>
              <w:cnfStyle w:val="000000100000" w:firstRow="0" w:lastRow="0" w:firstColumn="0" w:lastColumn="0" w:oddVBand="0" w:evenVBand="0" w:oddHBand="1" w:evenHBand="0" w:firstRowFirstColumn="0" w:firstRowLastColumn="0" w:lastRowFirstColumn="0" w:lastRowLastColumn="0"/>
              <w:rPr>
                <w:i w:val="0"/>
                <w:iCs/>
                <w:noProof/>
                <w:sz w:val="20"/>
                <w:szCs w:val="18"/>
              </w:rPr>
            </w:pPr>
            <w:r>
              <w:rPr>
                <w:i w:val="0"/>
                <w:noProof/>
                <w:sz w:val="20"/>
              </w:rPr>
              <w:t>2 784 793</w:t>
            </w:r>
          </w:p>
        </w:tc>
        <w:tc>
          <w:tcPr>
            <w:tcW w:w="1320" w:type="dxa"/>
            <w:vAlign w:val="center"/>
          </w:tcPr>
          <w:p w14:paraId="31755034" w14:textId="77A7AAA6" w:rsidR="00B73140" w:rsidRPr="00917D91" w:rsidRDefault="00B73140" w:rsidP="00CA2C5D">
            <w:pPr>
              <w:pStyle w:val="Caption"/>
              <w:jc w:val="center"/>
              <w:cnfStyle w:val="000000100000" w:firstRow="0" w:lastRow="0" w:firstColumn="0" w:lastColumn="0" w:oddVBand="0" w:evenVBand="0" w:oddHBand="1" w:evenHBand="0" w:firstRowFirstColumn="0" w:firstRowLastColumn="0" w:lastRowFirstColumn="0" w:lastRowLastColumn="0"/>
              <w:rPr>
                <w:i w:val="0"/>
                <w:iCs/>
                <w:noProof/>
                <w:sz w:val="20"/>
                <w:szCs w:val="18"/>
              </w:rPr>
            </w:pPr>
            <w:r>
              <w:rPr>
                <w:i w:val="0"/>
                <w:noProof/>
                <w:sz w:val="20"/>
              </w:rPr>
              <w:t>11 139 173</w:t>
            </w:r>
          </w:p>
        </w:tc>
      </w:tr>
      <w:tr w:rsidR="00B73140" w:rsidRPr="00917D91" w14:paraId="6E6028F4" w14:textId="77777777" w:rsidTr="00C22B43">
        <w:trPr>
          <w:trHeight w:val="669"/>
        </w:trPr>
        <w:tc>
          <w:tcPr>
            <w:cnfStyle w:val="001000000000" w:firstRow="0" w:lastRow="0" w:firstColumn="1" w:lastColumn="0" w:oddVBand="0" w:evenVBand="0" w:oddHBand="0" w:evenHBand="0" w:firstRowFirstColumn="0" w:firstRowLastColumn="0" w:lastRowFirstColumn="0" w:lastRowLastColumn="0"/>
            <w:tcW w:w="738" w:type="dxa"/>
            <w:vAlign w:val="center"/>
          </w:tcPr>
          <w:p w14:paraId="04FC5C9B" w14:textId="275A91A2" w:rsidR="00B73140" w:rsidRPr="00917D91" w:rsidRDefault="00B73140" w:rsidP="00CA2C5D">
            <w:pPr>
              <w:pStyle w:val="Caption"/>
              <w:jc w:val="center"/>
              <w:rPr>
                <w:i w:val="0"/>
                <w:iCs/>
                <w:noProof/>
                <w:sz w:val="20"/>
                <w:szCs w:val="18"/>
              </w:rPr>
            </w:pPr>
            <w:r>
              <w:rPr>
                <w:i w:val="0"/>
                <w:noProof/>
                <w:sz w:val="20"/>
              </w:rPr>
              <w:t>CZ</w:t>
            </w:r>
          </w:p>
        </w:tc>
        <w:tc>
          <w:tcPr>
            <w:tcW w:w="1309" w:type="dxa"/>
            <w:vAlign w:val="center"/>
          </w:tcPr>
          <w:p w14:paraId="60795A15" w14:textId="6C02D72E" w:rsidR="00B73140" w:rsidRPr="00917D91" w:rsidRDefault="00B73140" w:rsidP="00CA2C5D">
            <w:pPr>
              <w:pStyle w:val="Caption"/>
              <w:jc w:val="center"/>
              <w:cnfStyle w:val="000000000000" w:firstRow="0" w:lastRow="0" w:firstColumn="0" w:lastColumn="0" w:oddVBand="0" w:evenVBand="0" w:oddHBand="0" w:evenHBand="0" w:firstRowFirstColumn="0" w:firstRowLastColumn="0" w:lastRowFirstColumn="0" w:lastRowLastColumn="0"/>
              <w:rPr>
                <w:i w:val="0"/>
                <w:iCs/>
                <w:noProof/>
                <w:sz w:val="20"/>
                <w:szCs w:val="18"/>
              </w:rPr>
            </w:pPr>
            <w:r>
              <w:rPr>
                <w:i w:val="0"/>
                <w:noProof/>
                <w:sz w:val="20"/>
              </w:rPr>
              <w:t>17. april 2024</w:t>
            </w:r>
          </w:p>
        </w:tc>
        <w:tc>
          <w:tcPr>
            <w:tcW w:w="1920" w:type="dxa"/>
            <w:vAlign w:val="center"/>
          </w:tcPr>
          <w:p w14:paraId="2A81C52D" w14:textId="304C7E67" w:rsidR="00B73140" w:rsidRPr="00917D91" w:rsidRDefault="00B73140" w:rsidP="00CA2C5D">
            <w:pPr>
              <w:pStyle w:val="Caption"/>
              <w:jc w:val="center"/>
              <w:cnfStyle w:val="000000000000" w:firstRow="0" w:lastRow="0" w:firstColumn="0" w:lastColumn="0" w:oddVBand="0" w:evenVBand="0" w:oddHBand="0" w:evenHBand="0" w:firstRowFirstColumn="0" w:firstRowLastColumn="0" w:lastRowFirstColumn="0" w:lastRowLastColumn="0"/>
              <w:rPr>
                <w:i w:val="0"/>
                <w:iCs/>
                <w:noProof/>
                <w:sz w:val="20"/>
                <w:szCs w:val="18"/>
              </w:rPr>
            </w:pPr>
            <w:r>
              <w:rPr>
                <w:i w:val="0"/>
                <w:noProof/>
                <w:sz w:val="20"/>
              </w:rPr>
              <w:t>Regija Ústí, Děčín</w:t>
            </w:r>
          </w:p>
        </w:tc>
        <w:tc>
          <w:tcPr>
            <w:tcW w:w="1680" w:type="dxa"/>
            <w:vAlign w:val="center"/>
          </w:tcPr>
          <w:p w14:paraId="4F761841" w14:textId="678F4064" w:rsidR="00B73140" w:rsidRPr="00917D91" w:rsidRDefault="00B73140" w:rsidP="00CA2C5D">
            <w:pPr>
              <w:pStyle w:val="Caption"/>
              <w:jc w:val="center"/>
              <w:cnfStyle w:val="000000000000" w:firstRow="0" w:lastRow="0" w:firstColumn="0" w:lastColumn="0" w:oddVBand="0" w:evenVBand="0" w:oddHBand="0" w:evenHBand="0" w:firstRowFirstColumn="0" w:firstRowLastColumn="0" w:lastRowFirstColumn="0" w:lastRowLastColumn="0"/>
              <w:rPr>
                <w:noProof/>
                <w:sz w:val="20"/>
                <w:szCs w:val="18"/>
              </w:rPr>
            </w:pPr>
            <w:r>
              <w:rPr>
                <w:noProof/>
                <w:sz w:val="20"/>
              </w:rPr>
              <w:t xml:space="preserve">Pogodbeno zagotavljanje prihranka energije v Děčínu </w:t>
            </w:r>
          </w:p>
        </w:tc>
        <w:tc>
          <w:tcPr>
            <w:tcW w:w="1320" w:type="dxa"/>
            <w:vAlign w:val="center"/>
          </w:tcPr>
          <w:p w14:paraId="008D4557" w14:textId="7DA63360" w:rsidR="00B73140" w:rsidRPr="00917D91" w:rsidRDefault="00B73140" w:rsidP="00CA2C5D">
            <w:pPr>
              <w:pStyle w:val="Caption"/>
              <w:jc w:val="center"/>
              <w:cnfStyle w:val="000000000000" w:firstRow="0" w:lastRow="0" w:firstColumn="0" w:lastColumn="0" w:oddVBand="0" w:evenVBand="0" w:oddHBand="0" w:evenHBand="0" w:firstRowFirstColumn="0" w:firstRowLastColumn="0" w:lastRowFirstColumn="0" w:lastRowLastColumn="0"/>
              <w:rPr>
                <w:i w:val="0"/>
                <w:iCs/>
                <w:noProof/>
                <w:sz w:val="20"/>
                <w:szCs w:val="18"/>
              </w:rPr>
            </w:pPr>
            <w:r>
              <w:rPr>
                <w:i w:val="0"/>
                <w:noProof/>
                <w:sz w:val="20"/>
              </w:rPr>
              <w:t>Energijska učinkovitost, trajnostno gospodarjenje z vodo</w:t>
            </w:r>
          </w:p>
        </w:tc>
        <w:tc>
          <w:tcPr>
            <w:tcW w:w="1320" w:type="dxa"/>
            <w:vAlign w:val="center"/>
          </w:tcPr>
          <w:p w14:paraId="46A9D845" w14:textId="64E2C39D" w:rsidR="00B73140" w:rsidRPr="00917D91" w:rsidRDefault="00B73140" w:rsidP="00CA2C5D">
            <w:pPr>
              <w:pStyle w:val="Caption"/>
              <w:jc w:val="center"/>
              <w:cnfStyle w:val="000000000000" w:firstRow="0" w:lastRow="0" w:firstColumn="0" w:lastColumn="0" w:oddVBand="0" w:evenVBand="0" w:oddHBand="0" w:evenHBand="0" w:firstRowFirstColumn="0" w:firstRowLastColumn="0" w:lastRowFirstColumn="0" w:lastRowLastColumn="0"/>
              <w:rPr>
                <w:i w:val="0"/>
                <w:iCs/>
                <w:noProof/>
                <w:sz w:val="20"/>
                <w:szCs w:val="18"/>
              </w:rPr>
            </w:pPr>
            <w:r>
              <w:rPr>
                <w:i w:val="0"/>
                <w:noProof/>
                <w:sz w:val="20"/>
              </w:rPr>
              <w:t>391 843</w:t>
            </w:r>
          </w:p>
        </w:tc>
        <w:tc>
          <w:tcPr>
            <w:tcW w:w="1320" w:type="dxa"/>
            <w:vAlign w:val="center"/>
          </w:tcPr>
          <w:p w14:paraId="7CDABBB6" w14:textId="7E2835B2" w:rsidR="00B73140" w:rsidRPr="00917D91" w:rsidRDefault="00B73140" w:rsidP="00CA2C5D">
            <w:pPr>
              <w:pStyle w:val="Caption"/>
              <w:jc w:val="center"/>
              <w:cnfStyle w:val="000000000000" w:firstRow="0" w:lastRow="0" w:firstColumn="0" w:lastColumn="0" w:oddVBand="0" w:evenVBand="0" w:oddHBand="0" w:evenHBand="0" w:firstRowFirstColumn="0" w:firstRowLastColumn="0" w:lastRowFirstColumn="0" w:lastRowLastColumn="0"/>
              <w:rPr>
                <w:i w:val="0"/>
                <w:iCs/>
                <w:noProof/>
                <w:sz w:val="20"/>
                <w:szCs w:val="18"/>
              </w:rPr>
            </w:pPr>
            <w:r>
              <w:rPr>
                <w:i w:val="0"/>
                <w:noProof/>
                <w:sz w:val="20"/>
              </w:rPr>
              <w:t>1 567 370</w:t>
            </w:r>
          </w:p>
        </w:tc>
      </w:tr>
      <w:tr w:rsidR="00B73140" w:rsidRPr="00917D91" w14:paraId="351D2368" w14:textId="77777777" w:rsidTr="00C22B43">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738" w:type="dxa"/>
            <w:vAlign w:val="center"/>
          </w:tcPr>
          <w:p w14:paraId="7BF5B4FA" w14:textId="20CA1251" w:rsidR="00B73140" w:rsidRPr="00917D91" w:rsidRDefault="00B73140" w:rsidP="00CA2C5D">
            <w:pPr>
              <w:pStyle w:val="Caption"/>
              <w:jc w:val="center"/>
              <w:rPr>
                <w:i w:val="0"/>
                <w:iCs/>
                <w:noProof/>
                <w:sz w:val="20"/>
                <w:szCs w:val="18"/>
              </w:rPr>
            </w:pPr>
            <w:r>
              <w:rPr>
                <w:i w:val="0"/>
                <w:noProof/>
                <w:sz w:val="20"/>
              </w:rPr>
              <w:t>CZ</w:t>
            </w:r>
          </w:p>
        </w:tc>
        <w:tc>
          <w:tcPr>
            <w:tcW w:w="1309" w:type="dxa"/>
            <w:vAlign w:val="center"/>
          </w:tcPr>
          <w:p w14:paraId="1C2CD555" w14:textId="7FEB2414" w:rsidR="00B73140" w:rsidRPr="00917D91" w:rsidRDefault="00B73140" w:rsidP="00CA2C5D">
            <w:pPr>
              <w:pStyle w:val="Caption"/>
              <w:jc w:val="center"/>
              <w:cnfStyle w:val="000000100000" w:firstRow="0" w:lastRow="0" w:firstColumn="0" w:lastColumn="0" w:oddVBand="0" w:evenVBand="0" w:oddHBand="1" w:evenHBand="0" w:firstRowFirstColumn="0" w:firstRowLastColumn="0" w:lastRowFirstColumn="0" w:lastRowLastColumn="0"/>
              <w:rPr>
                <w:i w:val="0"/>
                <w:iCs/>
                <w:noProof/>
                <w:sz w:val="20"/>
                <w:szCs w:val="18"/>
              </w:rPr>
            </w:pPr>
            <w:r>
              <w:rPr>
                <w:i w:val="0"/>
                <w:noProof/>
                <w:sz w:val="20"/>
              </w:rPr>
              <w:t>17. april 2024</w:t>
            </w:r>
          </w:p>
        </w:tc>
        <w:tc>
          <w:tcPr>
            <w:tcW w:w="1920" w:type="dxa"/>
            <w:vAlign w:val="center"/>
          </w:tcPr>
          <w:p w14:paraId="7F00D0C0" w14:textId="31B1913D" w:rsidR="00B73140" w:rsidRPr="00917D91" w:rsidRDefault="00B73140" w:rsidP="00CA2C5D">
            <w:pPr>
              <w:pStyle w:val="Caption"/>
              <w:jc w:val="center"/>
              <w:cnfStyle w:val="000000100000" w:firstRow="0" w:lastRow="0" w:firstColumn="0" w:lastColumn="0" w:oddVBand="0" w:evenVBand="0" w:oddHBand="1" w:evenHBand="0" w:firstRowFirstColumn="0" w:firstRowLastColumn="0" w:lastRowFirstColumn="0" w:lastRowLastColumn="0"/>
              <w:rPr>
                <w:i w:val="0"/>
                <w:iCs/>
                <w:noProof/>
                <w:sz w:val="20"/>
                <w:szCs w:val="18"/>
              </w:rPr>
            </w:pPr>
            <w:r>
              <w:rPr>
                <w:i w:val="0"/>
                <w:noProof/>
                <w:sz w:val="20"/>
              </w:rPr>
              <w:t>Regija Ústí, Děčín</w:t>
            </w:r>
          </w:p>
        </w:tc>
        <w:tc>
          <w:tcPr>
            <w:tcW w:w="1680" w:type="dxa"/>
            <w:vAlign w:val="center"/>
          </w:tcPr>
          <w:p w14:paraId="5D5562C3" w14:textId="7DD1D7BA" w:rsidR="00B73140" w:rsidRPr="00917D91" w:rsidRDefault="00B73140" w:rsidP="00CA2C5D">
            <w:pPr>
              <w:pStyle w:val="Caption"/>
              <w:jc w:val="center"/>
              <w:cnfStyle w:val="000000100000" w:firstRow="0" w:lastRow="0" w:firstColumn="0" w:lastColumn="0" w:oddVBand="0" w:evenVBand="0" w:oddHBand="1" w:evenHBand="0" w:firstRowFirstColumn="0" w:firstRowLastColumn="0" w:lastRowFirstColumn="0" w:lastRowLastColumn="0"/>
              <w:rPr>
                <w:noProof/>
                <w:sz w:val="20"/>
                <w:szCs w:val="18"/>
              </w:rPr>
            </w:pPr>
            <w:r>
              <w:rPr>
                <w:noProof/>
                <w:sz w:val="20"/>
              </w:rPr>
              <w:t>Faza D prenove zgodovinskega dela v soseščini Podmokly</w:t>
            </w:r>
          </w:p>
        </w:tc>
        <w:tc>
          <w:tcPr>
            <w:tcW w:w="1320" w:type="dxa"/>
            <w:vAlign w:val="center"/>
          </w:tcPr>
          <w:p w14:paraId="2FBACD59" w14:textId="6E2A23CE" w:rsidR="00B73140" w:rsidRPr="00917D91" w:rsidRDefault="00B73140" w:rsidP="00CA2C5D">
            <w:pPr>
              <w:pStyle w:val="Caption"/>
              <w:jc w:val="center"/>
              <w:cnfStyle w:val="000000100000" w:firstRow="0" w:lastRow="0" w:firstColumn="0" w:lastColumn="0" w:oddVBand="0" w:evenVBand="0" w:oddHBand="1" w:evenHBand="0" w:firstRowFirstColumn="0" w:firstRowLastColumn="0" w:lastRowFirstColumn="0" w:lastRowLastColumn="0"/>
              <w:rPr>
                <w:i w:val="0"/>
                <w:iCs/>
                <w:noProof/>
                <w:sz w:val="20"/>
                <w:szCs w:val="18"/>
              </w:rPr>
            </w:pPr>
            <w:r>
              <w:rPr>
                <w:i w:val="0"/>
                <w:noProof/>
                <w:sz w:val="20"/>
              </w:rPr>
              <w:t>Regeneracija mest, trajnostna mobilnost, trajnostni turizem</w:t>
            </w:r>
          </w:p>
        </w:tc>
        <w:tc>
          <w:tcPr>
            <w:tcW w:w="1320" w:type="dxa"/>
            <w:vAlign w:val="center"/>
          </w:tcPr>
          <w:p w14:paraId="2C64A880" w14:textId="360DA006" w:rsidR="00B73140" w:rsidRPr="00917D91" w:rsidRDefault="00B73140" w:rsidP="00CA2C5D">
            <w:pPr>
              <w:pStyle w:val="Caption"/>
              <w:jc w:val="center"/>
              <w:cnfStyle w:val="000000100000" w:firstRow="0" w:lastRow="0" w:firstColumn="0" w:lastColumn="0" w:oddVBand="0" w:evenVBand="0" w:oddHBand="1" w:evenHBand="0" w:firstRowFirstColumn="0" w:firstRowLastColumn="0" w:lastRowFirstColumn="0" w:lastRowLastColumn="0"/>
              <w:rPr>
                <w:i w:val="0"/>
                <w:iCs/>
                <w:noProof/>
                <w:sz w:val="20"/>
                <w:szCs w:val="18"/>
              </w:rPr>
            </w:pPr>
            <w:r>
              <w:rPr>
                <w:i w:val="0"/>
                <w:noProof/>
                <w:sz w:val="20"/>
              </w:rPr>
              <w:t>581 624</w:t>
            </w:r>
          </w:p>
        </w:tc>
        <w:tc>
          <w:tcPr>
            <w:tcW w:w="1320" w:type="dxa"/>
            <w:vAlign w:val="center"/>
          </w:tcPr>
          <w:p w14:paraId="2CA0EFD2" w14:textId="55991CF1" w:rsidR="00B73140" w:rsidRPr="00917D91" w:rsidRDefault="00B73140" w:rsidP="00CA2C5D">
            <w:pPr>
              <w:pStyle w:val="Caption"/>
              <w:jc w:val="center"/>
              <w:cnfStyle w:val="000000100000" w:firstRow="0" w:lastRow="0" w:firstColumn="0" w:lastColumn="0" w:oddVBand="0" w:evenVBand="0" w:oddHBand="1" w:evenHBand="0" w:firstRowFirstColumn="0" w:firstRowLastColumn="0" w:lastRowFirstColumn="0" w:lastRowLastColumn="0"/>
              <w:rPr>
                <w:i w:val="0"/>
                <w:iCs/>
                <w:noProof/>
                <w:sz w:val="20"/>
                <w:szCs w:val="18"/>
              </w:rPr>
            </w:pPr>
            <w:r>
              <w:rPr>
                <w:i w:val="0"/>
                <w:noProof/>
                <w:sz w:val="20"/>
              </w:rPr>
              <w:t>2 326 498</w:t>
            </w:r>
          </w:p>
        </w:tc>
      </w:tr>
      <w:tr w:rsidR="00B73140" w:rsidRPr="00917D91" w14:paraId="0ED78364" w14:textId="77777777" w:rsidTr="00C22B43">
        <w:trPr>
          <w:trHeight w:val="669"/>
        </w:trPr>
        <w:tc>
          <w:tcPr>
            <w:cnfStyle w:val="001000000000" w:firstRow="0" w:lastRow="0" w:firstColumn="1" w:lastColumn="0" w:oddVBand="0" w:evenVBand="0" w:oddHBand="0" w:evenHBand="0" w:firstRowFirstColumn="0" w:firstRowLastColumn="0" w:lastRowFirstColumn="0" w:lastRowLastColumn="0"/>
            <w:tcW w:w="738" w:type="dxa"/>
            <w:vAlign w:val="center"/>
          </w:tcPr>
          <w:p w14:paraId="4B57D730" w14:textId="63EB3F91" w:rsidR="00B73140" w:rsidRPr="00917D91" w:rsidRDefault="00B73140" w:rsidP="00CA2C5D">
            <w:pPr>
              <w:pStyle w:val="Caption"/>
              <w:jc w:val="center"/>
              <w:rPr>
                <w:i w:val="0"/>
                <w:iCs/>
                <w:noProof/>
                <w:sz w:val="20"/>
                <w:szCs w:val="18"/>
              </w:rPr>
            </w:pPr>
            <w:r>
              <w:rPr>
                <w:i w:val="0"/>
                <w:noProof/>
                <w:sz w:val="20"/>
              </w:rPr>
              <w:t>CZ</w:t>
            </w:r>
          </w:p>
        </w:tc>
        <w:tc>
          <w:tcPr>
            <w:tcW w:w="1309" w:type="dxa"/>
            <w:vAlign w:val="center"/>
          </w:tcPr>
          <w:p w14:paraId="03E72D2D" w14:textId="3D9D3512" w:rsidR="00B73140" w:rsidRPr="00917D91" w:rsidRDefault="00B73140" w:rsidP="00CA2C5D">
            <w:pPr>
              <w:pStyle w:val="Caption"/>
              <w:jc w:val="center"/>
              <w:cnfStyle w:val="000000000000" w:firstRow="0" w:lastRow="0" w:firstColumn="0" w:lastColumn="0" w:oddVBand="0" w:evenVBand="0" w:oddHBand="0" w:evenHBand="0" w:firstRowFirstColumn="0" w:firstRowLastColumn="0" w:lastRowFirstColumn="0" w:lastRowLastColumn="0"/>
              <w:rPr>
                <w:i w:val="0"/>
                <w:iCs/>
                <w:noProof/>
                <w:sz w:val="20"/>
                <w:szCs w:val="18"/>
              </w:rPr>
            </w:pPr>
            <w:r>
              <w:rPr>
                <w:i w:val="0"/>
                <w:noProof/>
                <w:sz w:val="20"/>
              </w:rPr>
              <w:t>17. april 2024</w:t>
            </w:r>
          </w:p>
        </w:tc>
        <w:tc>
          <w:tcPr>
            <w:tcW w:w="1920" w:type="dxa"/>
            <w:vAlign w:val="center"/>
          </w:tcPr>
          <w:p w14:paraId="56BCB791" w14:textId="38D122A7" w:rsidR="00B73140" w:rsidRPr="00917D91" w:rsidRDefault="00B73140" w:rsidP="00CA2C5D">
            <w:pPr>
              <w:pStyle w:val="Caption"/>
              <w:jc w:val="center"/>
              <w:cnfStyle w:val="000000000000" w:firstRow="0" w:lastRow="0" w:firstColumn="0" w:lastColumn="0" w:oddVBand="0" w:evenVBand="0" w:oddHBand="0" w:evenHBand="0" w:firstRowFirstColumn="0" w:firstRowLastColumn="0" w:lastRowFirstColumn="0" w:lastRowLastColumn="0"/>
              <w:rPr>
                <w:i w:val="0"/>
                <w:iCs/>
                <w:noProof/>
                <w:sz w:val="20"/>
                <w:szCs w:val="18"/>
              </w:rPr>
            </w:pPr>
            <w:r>
              <w:rPr>
                <w:i w:val="0"/>
                <w:noProof/>
                <w:sz w:val="20"/>
              </w:rPr>
              <w:t>Regija Ústí, Litvínov</w:t>
            </w:r>
          </w:p>
        </w:tc>
        <w:tc>
          <w:tcPr>
            <w:tcW w:w="1680" w:type="dxa"/>
            <w:vAlign w:val="center"/>
          </w:tcPr>
          <w:p w14:paraId="20DB1390" w14:textId="61AC7FDC" w:rsidR="00B73140" w:rsidRPr="00917D91" w:rsidRDefault="00B73140" w:rsidP="00CA2C5D">
            <w:pPr>
              <w:pStyle w:val="Caption"/>
              <w:jc w:val="center"/>
              <w:cnfStyle w:val="000000000000" w:firstRow="0" w:lastRow="0" w:firstColumn="0" w:lastColumn="0" w:oddVBand="0" w:evenVBand="0" w:oddHBand="0" w:evenHBand="0" w:firstRowFirstColumn="0" w:firstRowLastColumn="0" w:lastRowFirstColumn="0" w:lastRowLastColumn="0"/>
              <w:rPr>
                <w:noProof/>
                <w:sz w:val="20"/>
                <w:szCs w:val="18"/>
              </w:rPr>
            </w:pPr>
            <w:r>
              <w:rPr>
                <w:noProof/>
                <w:sz w:val="20"/>
              </w:rPr>
              <w:t>Gradnja novega plavalnega objekta v rekreacijskem območju Koldům v mestu Litvínov</w:t>
            </w:r>
          </w:p>
        </w:tc>
        <w:tc>
          <w:tcPr>
            <w:tcW w:w="1320" w:type="dxa"/>
            <w:vAlign w:val="center"/>
          </w:tcPr>
          <w:p w14:paraId="0F8A45A5" w14:textId="31B1F5A9" w:rsidR="00B73140" w:rsidRPr="00917D91" w:rsidRDefault="00B73140" w:rsidP="00CA2C5D">
            <w:pPr>
              <w:pStyle w:val="Caption"/>
              <w:jc w:val="center"/>
              <w:cnfStyle w:val="000000000000" w:firstRow="0" w:lastRow="0" w:firstColumn="0" w:lastColumn="0" w:oddVBand="0" w:evenVBand="0" w:oddHBand="0" w:evenHBand="0" w:firstRowFirstColumn="0" w:firstRowLastColumn="0" w:lastRowFirstColumn="0" w:lastRowLastColumn="0"/>
              <w:rPr>
                <w:i w:val="0"/>
                <w:iCs/>
                <w:noProof/>
                <w:sz w:val="20"/>
                <w:szCs w:val="18"/>
              </w:rPr>
            </w:pPr>
            <w:r>
              <w:rPr>
                <w:i w:val="0"/>
                <w:noProof/>
                <w:sz w:val="20"/>
              </w:rPr>
              <w:t>Socialna infrastruktura</w:t>
            </w:r>
          </w:p>
        </w:tc>
        <w:tc>
          <w:tcPr>
            <w:tcW w:w="1320" w:type="dxa"/>
            <w:vAlign w:val="center"/>
          </w:tcPr>
          <w:p w14:paraId="469E859C" w14:textId="6AEA5E04" w:rsidR="00B73140" w:rsidRPr="00917D91" w:rsidRDefault="00B73140" w:rsidP="00CA2C5D">
            <w:pPr>
              <w:pStyle w:val="Caption"/>
              <w:jc w:val="center"/>
              <w:cnfStyle w:val="000000000000" w:firstRow="0" w:lastRow="0" w:firstColumn="0" w:lastColumn="0" w:oddVBand="0" w:evenVBand="0" w:oddHBand="0" w:evenHBand="0" w:firstRowFirstColumn="0" w:firstRowLastColumn="0" w:lastRowFirstColumn="0" w:lastRowLastColumn="0"/>
              <w:rPr>
                <w:i w:val="0"/>
                <w:iCs/>
                <w:noProof/>
                <w:sz w:val="20"/>
                <w:szCs w:val="18"/>
              </w:rPr>
            </w:pPr>
            <w:r>
              <w:rPr>
                <w:i w:val="0"/>
                <w:noProof/>
                <w:sz w:val="20"/>
              </w:rPr>
              <w:t>1 975 894</w:t>
            </w:r>
          </w:p>
        </w:tc>
        <w:tc>
          <w:tcPr>
            <w:tcW w:w="1320" w:type="dxa"/>
            <w:vAlign w:val="center"/>
          </w:tcPr>
          <w:p w14:paraId="4A789421" w14:textId="0F86DE29" w:rsidR="00B73140" w:rsidRPr="00917D91" w:rsidRDefault="00B73140" w:rsidP="00CA2C5D">
            <w:pPr>
              <w:pStyle w:val="Caption"/>
              <w:jc w:val="center"/>
              <w:cnfStyle w:val="000000000000" w:firstRow="0" w:lastRow="0" w:firstColumn="0" w:lastColumn="0" w:oddVBand="0" w:evenVBand="0" w:oddHBand="0" w:evenHBand="0" w:firstRowFirstColumn="0" w:firstRowLastColumn="0" w:lastRowFirstColumn="0" w:lastRowLastColumn="0"/>
              <w:rPr>
                <w:i w:val="0"/>
                <w:iCs/>
                <w:noProof/>
                <w:sz w:val="20"/>
                <w:szCs w:val="18"/>
              </w:rPr>
            </w:pPr>
            <w:r>
              <w:rPr>
                <w:i w:val="0"/>
                <w:noProof/>
                <w:sz w:val="20"/>
              </w:rPr>
              <w:t>7 903 576</w:t>
            </w:r>
          </w:p>
        </w:tc>
      </w:tr>
      <w:tr w:rsidR="00B73140" w:rsidRPr="00917D91" w14:paraId="087C976B" w14:textId="77777777" w:rsidTr="00C22B43">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738" w:type="dxa"/>
            <w:vAlign w:val="center"/>
          </w:tcPr>
          <w:p w14:paraId="3229023E" w14:textId="22BC6974" w:rsidR="00B73140" w:rsidRPr="00917D91" w:rsidRDefault="00B73140" w:rsidP="00CA2C5D">
            <w:pPr>
              <w:pStyle w:val="Caption"/>
              <w:jc w:val="center"/>
              <w:rPr>
                <w:i w:val="0"/>
                <w:iCs/>
                <w:noProof/>
                <w:sz w:val="20"/>
                <w:szCs w:val="18"/>
              </w:rPr>
            </w:pPr>
            <w:r>
              <w:rPr>
                <w:i w:val="0"/>
                <w:noProof/>
                <w:sz w:val="20"/>
              </w:rPr>
              <w:t>CZ</w:t>
            </w:r>
          </w:p>
        </w:tc>
        <w:tc>
          <w:tcPr>
            <w:tcW w:w="1309" w:type="dxa"/>
            <w:vAlign w:val="center"/>
          </w:tcPr>
          <w:p w14:paraId="6A47C33C" w14:textId="230DEC4A" w:rsidR="00B73140" w:rsidRPr="00917D91" w:rsidRDefault="00B73140" w:rsidP="00CA2C5D">
            <w:pPr>
              <w:pStyle w:val="Caption"/>
              <w:jc w:val="center"/>
              <w:cnfStyle w:val="000000100000" w:firstRow="0" w:lastRow="0" w:firstColumn="0" w:lastColumn="0" w:oddVBand="0" w:evenVBand="0" w:oddHBand="1" w:evenHBand="0" w:firstRowFirstColumn="0" w:firstRowLastColumn="0" w:lastRowFirstColumn="0" w:lastRowLastColumn="0"/>
              <w:rPr>
                <w:i w:val="0"/>
                <w:iCs/>
                <w:noProof/>
                <w:sz w:val="20"/>
                <w:szCs w:val="18"/>
              </w:rPr>
            </w:pPr>
            <w:r>
              <w:rPr>
                <w:i w:val="0"/>
                <w:noProof/>
                <w:sz w:val="20"/>
              </w:rPr>
              <w:t>17. april 2024</w:t>
            </w:r>
          </w:p>
        </w:tc>
        <w:tc>
          <w:tcPr>
            <w:tcW w:w="1920" w:type="dxa"/>
            <w:vAlign w:val="center"/>
          </w:tcPr>
          <w:p w14:paraId="5E19D645" w14:textId="5BF96830" w:rsidR="00B73140" w:rsidRPr="00917D91" w:rsidRDefault="00B73140" w:rsidP="00CA2C5D">
            <w:pPr>
              <w:pStyle w:val="Caption"/>
              <w:jc w:val="center"/>
              <w:cnfStyle w:val="000000100000" w:firstRow="0" w:lastRow="0" w:firstColumn="0" w:lastColumn="0" w:oddVBand="0" w:evenVBand="0" w:oddHBand="1" w:evenHBand="0" w:firstRowFirstColumn="0" w:firstRowLastColumn="0" w:lastRowFirstColumn="0" w:lastRowLastColumn="0"/>
              <w:rPr>
                <w:i w:val="0"/>
                <w:iCs/>
                <w:noProof/>
                <w:sz w:val="20"/>
                <w:szCs w:val="18"/>
              </w:rPr>
            </w:pPr>
            <w:r>
              <w:rPr>
                <w:i w:val="0"/>
                <w:noProof/>
                <w:sz w:val="20"/>
              </w:rPr>
              <w:t>Regija Ústí, Ústí nad Labem</w:t>
            </w:r>
          </w:p>
        </w:tc>
        <w:tc>
          <w:tcPr>
            <w:tcW w:w="1680" w:type="dxa"/>
            <w:vAlign w:val="center"/>
          </w:tcPr>
          <w:p w14:paraId="203E107A" w14:textId="5CF7ECD1" w:rsidR="00B73140" w:rsidRPr="00917D91" w:rsidRDefault="00B73140" w:rsidP="00CA2C5D">
            <w:pPr>
              <w:pStyle w:val="Caption"/>
              <w:jc w:val="center"/>
              <w:cnfStyle w:val="000000100000" w:firstRow="0" w:lastRow="0" w:firstColumn="0" w:lastColumn="0" w:oddVBand="0" w:evenVBand="0" w:oddHBand="1" w:evenHBand="0" w:firstRowFirstColumn="0" w:firstRowLastColumn="0" w:lastRowFirstColumn="0" w:lastRowLastColumn="0"/>
              <w:rPr>
                <w:noProof/>
                <w:sz w:val="20"/>
                <w:szCs w:val="18"/>
              </w:rPr>
            </w:pPr>
            <w:r>
              <w:rPr>
                <w:noProof/>
                <w:sz w:val="20"/>
              </w:rPr>
              <w:t>Posodobitev izbranih delov železniške infrastrukture v regiji Ústí nad Labem</w:t>
            </w:r>
          </w:p>
        </w:tc>
        <w:tc>
          <w:tcPr>
            <w:tcW w:w="1320" w:type="dxa"/>
            <w:vAlign w:val="center"/>
          </w:tcPr>
          <w:p w14:paraId="080AD205" w14:textId="132A2CF6" w:rsidR="00B73140" w:rsidRPr="00917D91" w:rsidRDefault="00B73140" w:rsidP="00CA2C5D">
            <w:pPr>
              <w:pStyle w:val="Caption"/>
              <w:jc w:val="center"/>
              <w:cnfStyle w:val="000000100000" w:firstRow="0" w:lastRow="0" w:firstColumn="0" w:lastColumn="0" w:oddVBand="0" w:evenVBand="0" w:oddHBand="1" w:evenHBand="0" w:firstRowFirstColumn="0" w:firstRowLastColumn="0" w:lastRowFirstColumn="0" w:lastRowLastColumn="0"/>
              <w:rPr>
                <w:i w:val="0"/>
                <w:iCs/>
                <w:noProof/>
                <w:sz w:val="20"/>
                <w:szCs w:val="18"/>
              </w:rPr>
            </w:pPr>
            <w:r>
              <w:rPr>
                <w:i w:val="0"/>
                <w:noProof/>
                <w:sz w:val="20"/>
              </w:rPr>
              <w:t>Trajnostna mobilnost</w:t>
            </w:r>
          </w:p>
        </w:tc>
        <w:tc>
          <w:tcPr>
            <w:tcW w:w="1320" w:type="dxa"/>
            <w:vAlign w:val="center"/>
          </w:tcPr>
          <w:p w14:paraId="2227B80D" w14:textId="38A5516A" w:rsidR="00B73140" w:rsidRPr="00917D91" w:rsidRDefault="00B73140" w:rsidP="00CA2C5D">
            <w:pPr>
              <w:pStyle w:val="Caption"/>
              <w:jc w:val="center"/>
              <w:cnfStyle w:val="000000100000" w:firstRow="0" w:lastRow="0" w:firstColumn="0" w:lastColumn="0" w:oddVBand="0" w:evenVBand="0" w:oddHBand="1" w:evenHBand="0" w:firstRowFirstColumn="0" w:firstRowLastColumn="0" w:lastRowFirstColumn="0" w:lastRowLastColumn="0"/>
              <w:rPr>
                <w:i w:val="0"/>
                <w:iCs/>
                <w:noProof/>
                <w:sz w:val="20"/>
                <w:szCs w:val="18"/>
              </w:rPr>
            </w:pPr>
            <w:r>
              <w:rPr>
                <w:i w:val="0"/>
                <w:noProof/>
                <w:sz w:val="20"/>
              </w:rPr>
              <w:t>2 348 773</w:t>
            </w:r>
          </w:p>
        </w:tc>
        <w:tc>
          <w:tcPr>
            <w:tcW w:w="1320" w:type="dxa"/>
            <w:vAlign w:val="center"/>
          </w:tcPr>
          <w:p w14:paraId="68CC80F8" w14:textId="2E9326ED" w:rsidR="00B73140" w:rsidRPr="00917D91" w:rsidRDefault="00B73140" w:rsidP="00CA2C5D">
            <w:pPr>
              <w:pStyle w:val="Caption"/>
              <w:jc w:val="center"/>
              <w:cnfStyle w:val="000000100000" w:firstRow="0" w:lastRow="0" w:firstColumn="0" w:lastColumn="0" w:oddVBand="0" w:evenVBand="0" w:oddHBand="1" w:evenHBand="0" w:firstRowFirstColumn="0" w:firstRowLastColumn="0" w:lastRowFirstColumn="0" w:lastRowLastColumn="0"/>
              <w:rPr>
                <w:i w:val="0"/>
                <w:iCs/>
                <w:noProof/>
                <w:sz w:val="20"/>
                <w:szCs w:val="18"/>
              </w:rPr>
            </w:pPr>
            <w:r>
              <w:rPr>
                <w:i w:val="0"/>
                <w:noProof/>
                <w:sz w:val="20"/>
              </w:rPr>
              <w:t>9 395 092</w:t>
            </w:r>
          </w:p>
        </w:tc>
      </w:tr>
      <w:tr w:rsidR="00B73140" w:rsidRPr="00917D91" w14:paraId="21131B0A" w14:textId="77777777" w:rsidTr="00C22B43">
        <w:trPr>
          <w:trHeight w:val="669"/>
        </w:trPr>
        <w:tc>
          <w:tcPr>
            <w:cnfStyle w:val="001000000000" w:firstRow="0" w:lastRow="0" w:firstColumn="1" w:lastColumn="0" w:oddVBand="0" w:evenVBand="0" w:oddHBand="0" w:evenHBand="0" w:firstRowFirstColumn="0" w:firstRowLastColumn="0" w:lastRowFirstColumn="0" w:lastRowLastColumn="0"/>
            <w:tcW w:w="738" w:type="dxa"/>
            <w:vAlign w:val="center"/>
          </w:tcPr>
          <w:p w14:paraId="19309F27" w14:textId="37CE4BDF" w:rsidR="00B73140" w:rsidRPr="00917D91" w:rsidRDefault="00B73140" w:rsidP="00CA2C5D">
            <w:pPr>
              <w:pStyle w:val="Caption"/>
              <w:jc w:val="center"/>
              <w:rPr>
                <w:i w:val="0"/>
                <w:iCs/>
                <w:noProof/>
                <w:sz w:val="20"/>
                <w:szCs w:val="18"/>
              </w:rPr>
            </w:pPr>
            <w:r>
              <w:rPr>
                <w:i w:val="0"/>
                <w:noProof/>
                <w:sz w:val="20"/>
              </w:rPr>
              <w:t>CZ</w:t>
            </w:r>
          </w:p>
        </w:tc>
        <w:tc>
          <w:tcPr>
            <w:tcW w:w="1309" w:type="dxa"/>
            <w:vAlign w:val="center"/>
          </w:tcPr>
          <w:p w14:paraId="79564799" w14:textId="6880E100" w:rsidR="00B73140" w:rsidRPr="00917D91" w:rsidRDefault="00B73140" w:rsidP="00CA2C5D">
            <w:pPr>
              <w:pStyle w:val="Caption"/>
              <w:jc w:val="center"/>
              <w:cnfStyle w:val="000000000000" w:firstRow="0" w:lastRow="0" w:firstColumn="0" w:lastColumn="0" w:oddVBand="0" w:evenVBand="0" w:oddHBand="0" w:evenHBand="0" w:firstRowFirstColumn="0" w:firstRowLastColumn="0" w:lastRowFirstColumn="0" w:lastRowLastColumn="0"/>
              <w:rPr>
                <w:i w:val="0"/>
                <w:iCs/>
                <w:noProof/>
                <w:sz w:val="20"/>
                <w:szCs w:val="18"/>
              </w:rPr>
            </w:pPr>
            <w:r>
              <w:rPr>
                <w:i w:val="0"/>
                <w:noProof/>
                <w:sz w:val="20"/>
              </w:rPr>
              <w:t>17. april 2024</w:t>
            </w:r>
          </w:p>
        </w:tc>
        <w:tc>
          <w:tcPr>
            <w:tcW w:w="1920" w:type="dxa"/>
            <w:vAlign w:val="center"/>
          </w:tcPr>
          <w:p w14:paraId="7E05ADC4" w14:textId="6C1BD67A" w:rsidR="00B73140" w:rsidRPr="00917D91" w:rsidRDefault="00B73140" w:rsidP="00CA2C5D">
            <w:pPr>
              <w:pStyle w:val="Caption"/>
              <w:jc w:val="center"/>
              <w:cnfStyle w:val="000000000000" w:firstRow="0" w:lastRow="0" w:firstColumn="0" w:lastColumn="0" w:oddVBand="0" w:evenVBand="0" w:oddHBand="0" w:evenHBand="0" w:firstRowFirstColumn="0" w:firstRowLastColumn="0" w:lastRowFirstColumn="0" w:lastRowLastColumn="0"/>
              <w:rPr>
                <w:i w:val="0"/>
                <w:iCs/>
                <w:noProof/>
                <w:sz w:val="20"/>
                <w:szCs w:val="18"/>
              </w:rPr>
            </w:pPr>
            <w:r>
              <w:rPr>
                <w:i w:val="0"/>
                <w:noProof/>
                <w:sz w:val="20"/>
              </w:rPr>
              <w:t>Regija Ústí, Postoloprty</w:t>
            </w:r>
          </w:p>
        </w:tc>
        <w:tc>
          <w:tcPr>
            <w:tcW w:w="1680" w:type="dxa"/>
            <w:vAlign w:val="center"/>
          </w:tcPr>
          <w:p w14:paraId="3AE83BB4" w14:textId="306952A3" w:rsidR="00B73140" w:rsidRPr="00917D91" w:rsidRDefault="00B73140" w:rsidP="00CA2C5D">
            <w:pPr>
              <w:pStyle w:val="Caption"/>
              <w:jc w:val="center"/>
              <w:cnfStyle w:val="000000000000" w:firstRow="0" w:lastRow="0" w:firstColumn="0" w:lastColumn="0" w:oddVBand="0" w:evenVBand="0" w:oddHBand="0" w:evenHBand="0" w:firstRowFirstColumn="0" w:firstRowLastColumn="0" w:lastRowFirstColumn="0" w:lastRowLastColumn="0"/>
              <w:rPr>
                <w:noProof/>
                <w:sz w:val="20"/>
                <w:szCs w:val="18"/>
              </w:rPr>
            </w:pPr>
            <w:r>
              <w:rPr>
                <w:noProof/>
                <w:sz w:val="20"/>
              </w:rPr>
              <w:t>Trg miru v mestu Postoloprty</w:t>
            </w:r>
          </w:p>
        </w:tc>
        <w:tc>
          <w:tcPr>
            <w:tcW w:w="1320" w:type="dxa"/>
            <w:vAlign w:val="center"/>
          </w:tcPr>
          <w:p w14:paraId="7A4739D6" w14:textId="2DBD4216" w:rsidR="00B73140" w:rsidRPr="00917D91" w:rsidRDefault="00B73140" w:rsidP="00CA2C5D">
            <w:pPr>
              <w:pStyle w:val="Caption"/>
              <w:jc w:val="center"/>
              <w:cnfStyle w:val="000000000000" w:firstRow="0" w:lastRow="0" w:firstColumn="0" w:lastColumn="0" w:oddVBand="0" w:evenVBand="0" w:oddHBand="0" w:evenHBand="0" w:firstRowFirstColumn="0" w:firstRowLastColumn="0" w:lastRowFirstColumn="0" w:lastRowLastColumn="0"/>
              <w:rPr>
                <w:i w:val="0"/>
                <w:iCs/>
                <w:noProof/>
                <w:sz w:val="20"/>
                <w:szCs w:val="18"/>
              </w:rPr>
            </w:pPr>
            <w:r>
              <w:rPr>
                <w:i w:val="0"/>
                <w:noProof/>
                <w:sz w:val="20"/>
              </w:rPr>
              <w:t>Trajnostni turizem, regeneracija mesta</w:t>
            </w:r>
          </w:p>
        </w:tc>
        <w:tc>
          <w:tcPr>
            <w:tcW w:w="1320" w:type="dxa"/>
            <w:vAlign w:val="center"/>
          </w:tcPr>
          <w:p w14:paraId="1982B198" w14:textId="04E02D1C" w:rsidR="00B73140" w:rsidRPr="00917D91" w:rsidRDefault="00B73140" w:rsidP="00CA2C5D">
            <w:pPr>
              <w:pStyle w:val="Caption"/>
              <w:jc w:val="center"/>
              <w:cnfStyle w:val="000000000000" w:firstRow="0" w:lastRow="0" w:firstColumn="0" w:lastColumn="0" w:oddVBand="0" w:evenVBand="0" w:oddHBand="0" w:evenHBand="0" w:firstRowFirstColumn="0" w:firstRowLastColumn="0" w:lastRowFirstColumn="0" w:lastRowLastColumn="0"/>
              <w:rPr>
                <w:i w:val="0"/>
                <w:iCs/>
                <w:noProof/>
                <w:sz w:val="20"/>
                <w:szCs w:val="18"/>
              </w:rPr>
            </w:pPr>
            <w:r>
              <w:rPr>
                <w:i w:val="0"/>
                <w:noProof/>
                <w:sz w:val="20"/>
              </w:rPr>
              <w:t>535 714</w:t>
            </w:r>
          </w:p>
        </w:tc>
        <w:tc>
          <w:tcPr>
            <w:tcW w:w="1320" w:type="dxa"/>
            <w:vAlign w:val="center"/>
          </w:tcPr>
          <w:p w14:paraId="45E3C898" w14:textId="5A01DDCC" w:rsidR="00B73140" w:rsidRPr="00917D91" w:rsidRDefault="00B73140" w:rsidP="00CA2C5D">
            <w:pPr>
              <w:pStyle w:val="Caption"/>
              <w:jc w:val="center"/>
              <w:cnfStyle w:val="000000000000" w:firstRow="0" w:lastRow="0" w:firstColumn="0" w:lastColumn="0" w:oddVBand="0" w:evenVBand="0" w:oddHBand="0" w:evenHBand="0" w:firstRowFirstColumn="0" w:firstRowLastColumn="0" w:lastRowFirstColumn="0" w:lastRowLastColumn="0"/>
              <w:rPr>
                <w:i w:val="0"/>
                <w:iCs/>
                <w:noProof/>
                <w:sz w:val="20"/>
                <w:szCs w:val="18"/>
              </w:rPr>
            </w:pPr>
            <w:r>
              <w:rPr>
                <w:i w:val="0"/>
                <w:noProof/>
                <w:sz w:val="20"/>
              </w:rPr>
              <w:t>2 142 857</w:t>
            </w:r>
          </w:p>
        </w:tc>
      </w:tr>
      <w:tr w:rsidR="00B73140" w:rsidRPr="00917D91" w14:paraId="4A02CD61" w14:textId="77777777" w:rsidTr="00C22B43">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738" w:type="dxa"/>
            <w:vAlign w:val="center"/>
          </w:tcPr>
          <w:p w14:paraId="6A3A759F" w14:textId="59730BB7" w:rsidR="00B73140" w:rsidRPr="00917D91" w:rsidRDefault="00B73140" w:rsidP="00CA2C5D">
            <w:pPr>
              <w:pStyle w:val="Caption"/>
              <w:jc w:val="center"/>
              <w:rPr>
                <w:i w:val="0"/>
                <w:iCs/>
                <w:noProof/>
                <w:sz w:val="20"/>
                <w:szCs w:val="18"/>
              </w:rPr>
            </w:pPr>
            <w:r>
              <w:rPr>
                <w:i w:val="0"/>
                <w:noProof/>
                <w:sz w:val="20"/>
              </w:rPr>
              <w:t>CZ</w:t>
            </w:r>
          </w:p>
        </w:tc>
        <w:tc>
          <w:tcPr>
            <w:tcW w:w="1309" w:type="dxa"/>
            <w:vAlign w:val="center"/>
          </w:tcPr>
          <w:p w14:paraId="5FBF3A4A" w14:textId="56F519E5" w:rsidR="00B73140" w:rsidRPr="00917D91" w:rsidRDefault="00B73140" w:rsidP="00CA2C5D">
            <w:pPr>
              <w:pStyle w:val="Caption"/>
              <w:jc w:val="center"/>
              <w:cnfStyle w:val="000000100000" w:firstRow="0" w:lastRow="0" w:firstColumn="0" w:lastColumn="0" w:oddVBand="0" w:evenVBand="0" w:oddHBand="1" w:evenHBand="0" w:firstRowFirstColumn="0" w:firstRowLastColumn="0" w:lastRowFirstColumn="0" w:lastRowLastColumn="0"/>
              <w:rPr>
                <w:i w:val="0"/>
                <w:iCs/>
                <w:noProof/>
                <w:sz w:val="20"/>
                <w:szCs w:val="18"/>
              </w:rPr>
            </w:pPr>
            <w:r>
              <w:rPr>
                <w:i w:val="0"/>
                <w:noProof/>
                <w:sz w:val="20"/>
              </w:rPr>
              <w:t>17. april 2024</w:t>
            </w:r>
          </w:p>
        </w:tc>
        <w:tc>
          <w:tcPr>
            <w:tcW w:w="1920" w:type="dxa"/>
            <w:tcBorders>
              <w:bottom w:val="single" w:sz="4" w:space="0" w:color="BFBFBF" w:themeColor="background1" w:themeShade="BF"/>
            </w:tcBorders>
            <w:vAlign w:val="center"/>
          </w:tcPr>
          <w:p w14:paraId="5C64257B" w14:textId="77777777" w:rsidR="00B73140" w:rsidRPr="00917D91" w:rsidRDefault="00B73140" w:rsidP="00CA2C5D">
            <w:pPr>
              <w:pStyle w:val="Caption"/>
              <w:jc w:val="center"/>
              <w:cnfStyle w:val="000000100000" w:firstRow="0" w:lastRow="0" w:firstColumn="0" w:lastColumn="0" w:oddVBand="0" w:evenVBand="0" w:oddHBand="1" w:evenHBand="0" w:firstRowFirstColumn="0" w:firstRowLastColumn="0" w:lastRowFirstColumn="0" w:lastRowLastColumn="0"/>
              <w:rPr>
                <w:i w:val="0"/>
                <w:iCs/>
                <w:noProof/>
                <w:sz w:val="20"/>
                <w:szCs w:val="18"/>
              </w:rPr>
            </w:pPr>
            <w:r>
              <w:rPr>
                <w:i w:val="0"/>
                <w:noProof/>
                <w:sz w:val="20"/>
              </w:rPr>
              <w:t>Moravska-Šlezija, Ostrava</w:t>
            </w:r>
          </w:p>
          <w:p w14:paraId="462C0771" w14:textId="13EF3F82" w:rsidR="00B73140" w:rsidRPr="00917D91" w:rsidRDefault="00B73140" w:rsidP="00CA2C5D">
            <w:pPr>
              <w:pStyle w:val="Caption"/>
              <w:jc w:val="center"/>
              <w:cnfStyle w:val="000000100000" w:firstRow="0" w:lastRow="0" w:firstColumn="0" w:lastColumn="0" w:oddVBand="0" w:evenVBand="0" w:oddHBand="1" w:evenHBand="0" w:firstRowFirstColumn="0" w:firstRowLastColumn="0" w:lastRowFirstColumn="0" w:lastRowLastColumn="0"/>
              <w:rPr>
                <w:i w:val="0"/>
                <w:iCs/>
                <w:noProof/>
                <w:sz w:val="20"/>
                <w:szCs w:val="18"/>
                <w:lang w:val="en-IE"/>
              </w:rPr>
            </w:pPr>
          </w:p>
        </w:tc>
        <w:tc>
          <w:tcPr>
            <w:tcW w:w="1680" w:type="dxa"/>
            <w:tcBorders>
              <w:bottom w:val="single" w:sz="4" w:space="0" w:color="BFBFBF" w:themeColor="background1" w:themeShade="BF"/>
            </w:tcBorders>
            <w:vAlign w:val="center"/>
          </w:tcPr>
          <w:p w14:paraId="22265CBC" w14:textId="33618A57" w:rsidR="00B73140" w:rsidRPr="00917D91" w:rsidRDefault="00B73140" w:rsidP="00CA2C5D">
            <w:pPr>
              <w:pStyle w:val="Caption"/>
              <w:jc w:val="center"/>
              <w:cnfStyle w:val="000000100000" w:firstRow="0" w:lastRow="0" w:firstColumn="0" w:lastColumn="0" w:oddVBand="0" w:evenVBand="0" w:oddHBand="1" w:evenHBand="0" w:firstRowFirstColumn="0" w:firstRowLastColumn="0" w:lastRowFirstColumn="0" w:lastRowLastColumn="0"/>
              <w:rPr>
                <w:noProof/>
                <w:sz w:val="20"/>
                <w:szCs w:val="18"/>
              </w:rPr>
            </w:pPr>
            <w:r>
              <w:rPr>
                <w:noProof/>
                <w:sz w:val="20"/>
              </w:rPr>
              <w:t>Izboljšanje kakovosti in razširitev zmogljivosti cenovno dostopnih študentskih stanovanj v študentskem domu Univerze v Ostravi</w:t>
            </w:r>
          </w:p>
        </w:tc>
        <w:tc>
          <w:tcPr>
            <w:tcW w:w="1320" w:type="dxa"/>
            <w:tcBorders>
              <w:bottom w:val="single" w:sz="4" w:space="0" w:color="BFBFBF" w:themeColor="background1" w:themeShade="BF"/>
            </w:tcBorders>
            <w:vAlign w:val="center"/>
          </w:tcPr>
          <w:p w14:paraId="34C0543E" w14:textId="5D81AF53" w:rsidR="00B73140" w:rsidRPr="00917D91" w:rsidRDefault="00756523" w:rsidP="00CA2C5D">
            <w:pPr>
              <w:pStyle w:val="Caption"/>
              <w:jc w:val="center"/>
              <w:cnfStyle w:val="000000100000" w:firstRow="0" w:lastRow="0" w:firstColumn="0" w:lastColumn="0" w:oddVBand="0" w:evenVBand="0" w:oddHBand="1" w:evenHBand="0" w:firstRowFirstColumn="0" w:firstRowLastColumn="0" w:lastRowFirstColumn="0" w:lastRowLastColumn="0"/>
              <w:rPr>
                <w:i w:val="0"/>
                <w:iCs/>
                <w:noProof/>
                <w:sz w:val="20"/>
                <w:szCs w:val="18"/>
              </w:rPr>
            </w:pPr>
            <w:r>
              <w:rPr>
                <w:i w:val="0"/>
                <w:noProof/>
                <w:sz w:val="20"/>
              </w:rPr>
              <w:t>Izobraževanje, socialna infrastruktura</w:t>
            </w:r>
          </w:p>
        </w:tc>
        <w:tc>
          <w:tcPr>
            <w:tcW w:w="1320" w:type="dxa"/>
            <w:vAlign w:val="center"/>
          </w:tcPr>
          <w:p w14:paraId="516C8DFD" w14:textId="0FE52B9B" w:rsidR="00B73140" w:rsidRPr="00917D91" w:rsidRDefault="00B73140" w:rsidP="00CA2C5D">
            <w:pPr>
              <w:pStyle w:val="Caption"/>
              <w:jc w:val="center"/>
              <w:cnfStyle w:val="000000100000" w:firstRow="0" w:lastRow="0" w:firstColumn="0" w:lastColumn="0" w:oddVBand="0" w:evenVBand="0" w:oddHBand="1" w:evenHBand="0" w:firstRowFirstColumn="0" w:firstRowLastColumn="0" w:lastRowFirstColumn="0" w:lastRowLastColumn="0"/>
              <w:rPr>
                <w:i w:val="0"/>
                <w:iCs/>
                <w:noProof/>
                <w:sz w:val="20"/>
                <w:szCs w:val="18"/>
              </w:rPr>
            </w:pPr>
            <w:r>
              <w:rPr>
                <w:i w:val="0"/>
                <w:noProof/>
                <w:sz w:val="20"/>
              </w:rPr>
              <w:t>3 007 428</w:t>
            </w:r>
          </w:p>
        </w:tc>
        <w:tc>
          <w:tcPr>
            <w:tcW w:w="1320" w:type="dxa"/>
            <w:vAlign w:val="center"/>
          </w:tcPr>
          <w:p w14:paraId="4C8FF6FB" w14:textId="0B4AC142" w:rsidR="00B73140" w:rsidRPr="00917D91" w:rsidRDefault="00B73140" w:rsidP="00CA2C5D">
            <w:pPr>
              <w:pStyle w:val="Caption"/>
              <w:jc w:val="center"/>
              <w:cnfStyle w:val="000000100000" w:firstRow="0" w:lastRow="0" w:firstColumn="0" w:lastColumn="0" w:oddVBand="0" w:evenVBand="0" w:oddHBand="1" w:evenHBand="0" w:firstRowFirstColumn="0" w:firstRowLastColumn="0" w:lastRowFirstColumn="0" w:lastRowLastColumn="0"/>
              <w:rPr>
                <w:i w:val="0"/>
                <w:iCs/>
                <w:noProof/>
                <w:sz w:val="20"/>
                <w:szCs w:val="18"/>
              </w:rPr>
            </w:pPr>
            <w:r>
              <w:rPr>
                <w:i w:val="0"/>
                <w:noProof/>
                <w:sz w:val="20"/>
              </w:rPr>
              <w:t>12 029 713</w:t>
            </w:r>
          </w:p>
        </w:tc>
      </w:tr>
    </w:tbl>
    <w:p w14:paraId="6E675E5D" w14:textId="77777777" w:rsidR="00521E84" w:rsidRDefault="00521E84" w:rsidP="00DA537B">
      <w:pPr>
        <w:pStyle w:val="NumPar1"/>
        <w:rPr>
          <w:noProof/>
          <w:lang w:val="en-IE"/>
        </w:rPr>
      </w:pPr>
    </w:p>
    <w:p w14:paraId="69D46C84" w14:textId="068B16F4" w:rsidR="0072643E" w:rsidRDefault="008C3B92" w:rsidP="00967CEC">
      <w:pPr>
        <w:pStyle w:val="NumPar1"/>
        <w:numPr>
          <w:ilvl w:val="1"/>
          <w:numId w:val="20"/>
        </w:numPr>
        <w:spacing w:after="120"/>
        <w:rPr>
          <w:b/>
          <w:bCs/>
          <w:noProof/>
        </w:rPr>
      </w:pPr>
      <w:r>
        <w:rPr>
          <w:b/>
          <w:noProof/>
        </w:rPr>
        <w:t>Prvi projekti, financirani v okviru instrumenta za posojila v javnem sektorju</w:t>
      </w:r>
    </w:p>
    <w:p w14:paraId="46760037" w14:textId="6D0B240B" w:rsidR="008F436B" w:rsidRDefault="008F436B" w:rsidP="00644B12">
      <w:pPr>
        <w:pStyle w:val="Caption"/>
        <w:jc w:val="center"/>
        <w:rPr>
          <w:b/>
          <w:bCs/>
          <w:noProof/>
        </w:rPr>
      </w:pPr>
      <w:r>
        <w:rPr>
          <w:noProof/>
        </w:rPr>
        <w:t>Preglednica 3 Predstavitev projektov s podpisanimi sporazumi o nepovratnih sredstvih v okviru instrumenta za posojila v javnem sektorju</w:t>
      </w:r>
    </w:p>
    <w:tbl>
      <w:tblPr>
        <w:tblStyle w:val="TableGrid"/>
        <w:tblW w:w="9918" w:type="dxa"/>
        <w:tblLayout w:type="fixed"/>
        <w:tblLook w:val="04A0" w:firstRow="1" w:lastRow="0" w:firstColumn="1" w:lastColumn="0" w:noHBand="0" w:noVBand="1"/>
      </w:tblPr>
      <w:tblGrid>
        <w:gridCol w:w="1315"/>
        <w:gridCol w:w="1320"/>
        <w:gridCol w:w="4448"/>
        <w:gridCol w:w="1305"/>
        <w:gridCol w:w="1530"/>
      </w:tblGrid>
      <w:tr w:rsidR="00FB4AA0" w:rsidRPr="00917D91" w14:paraId="47A0130B" w14:textId="77777777" w:rsidTr="00A7BF73">
        <w:tc>
          <w:tcPr>
            <w:tcW w:w="9918" w:type="dxa"/>
            <w:gridSpan w:val="5"/>
          </w:tcPr>
          <w:p w14:paraId="7FD27359" w14:textId="73023D75" w:rsidR="00FB4AA0" w:rsidRPr="00917D91" w:rsidRDefault="00FB4AA0" w:rsidP="002F4C84">
            <w:pPr>
              <w:pStyle w:val="NumPar1"/>
              <w:jc w:val="center"/>
              <w:rPr>
                <w:rFonts w:ascii="Times New Roman" w:hAnsi="Times New Roman" w:cs="Times New Roman"/>
                <w:b/>
                <w:bCs/>
                <w:noProof/>
                <w:sz w:val="20"/>
                <w:szCs w:val="20"/>
              </w:rPr>
            </w:pPr>
            <w:bookmarkStart w:id="11" w:name="_Hlk173233988"/>
            <w:r>
              <w:rPr>
                <w:rFonts w:ascii="Times New Roman" w:hAnsi="Times New Roman"/>
                <w:b/>
                <w:noProof/>
                <w:sz w:val="20"/>
              </w:rPr>
              <w:t>Socialno-ekonomski prehod Zahodne Makedonije</w:t>
            </w:r>
            <w:r w:rsidRPr="00917D91">
              <w:rPr>
                <w:rStyle w:val="FootnoteReference"/>
                <w:rFonts w:ascii="Times New Roman" w:hAnsi="Times New Roman" w:cs="Times New Roman"/>
                <w:b/>
                <w:bCs/>
                <w:noProof/>
                <w:sz w:val="20"/>
                <w:szCs w:val="20"/>
              </w:rPr>
              <w:footnoteReference w:id="12"/>
            </w:r>
          </w:p>
        </w:tc>
      </w:tr>
      <w:tr w:rsidR="00FB4AA0" w:rsidRPr="00917D91" w14:paraId="0D1A294F" w14:textId="77777777" w:rsidTr="00917D91">
        <w:tc>
          <w:tcPr>
            <w:tcW w:w="1315" w:type="dxa"/>
            <w:vAlign w:val="center"/>
          </w:tcPr>
          <w:p w14:paraId="41BF9EDE" w14:textId="4B79B73D" w:rsidR="00FB4AA0" w:rsidRPr="00917D91" w:rsidRDefault="00FB4AA0" w:rsidP="002F4C84">
            <w:pPr>
              <w:pStyle w:val="NumPar1"/>
              <w:jc w:val="center"/>
              <w:rPr>
                <w:rFonts w:ascii="Times New Roman" w:hAnsi="Times New Roman" w:cs="Times New Roman"/>
                <w:b/>
                <w:bCs/>
                <w:noProof/>
                <w:sz w:val="20"/>
                <w:szCs w:val="20"/>
              </w:rPr>
            </w:pPr>
            <w:r>
              <w:rPr>
                <w:rFonts w:ascii="Times New Roman" w:hAnsi="Times New Roman"/>
                <w:b/>
                <w:noProof/>
                <w:sz w:val="20"/>
              </w:rPr>
              <w:t>Regija pravičnega prehoda</w:t>
            </w:r>
          </w:p>
        </w:tc>
        <w:tc>
          <w:tcPr>
            <w:tcW w:w="1320" w:type="dxa"/>
            <w:vAlign w:val="center"/>
          </w:tcPr>
          <w:p w14:paraId="18FC492D" w14:textId="2871271C" w:rsidR="00FB4AA0" w:rsidRPr="00917D91" w:rsidRDefault="00FB4AA0" w:rsidP="00350B23">
            <w:pPr>
              <w:pStyle w:val="NumPar1"/>
              <w:jc w:val="center"/>
              <w:rPr>
                <w:rFonts w:ascii="Times New Roman" w:hAnsi="Times New Roman" w:cs="Times New Roman"/>
                <w:b/>
                <w:bCs/>
                <w:noProof/>
                <w:sz w:val="20"/>
                <w:szCs w:val="20"/>
              </w:rPr>
            </w:pPr>
            <w:r>
              <w:rPr>
                <w:rFonts w:ascii="Times New Roman" w:hAnsi="Times New Roman"/>
                <w:b/>
                <w:noProof/>
                <w:sz w:val="20"/>
              </w:rPr>
              <w:t>Rok za predložitev</w:t>
            </w:r>
          </w:p>
        </w:tc>
        <w:tc>
          <w:tcPr>
            <w:tcW w:w="4448" w:type="dxa"/>
            <w:vAlign w:val="center"/>
          </w:tcPr>
          <w:p w14:paraId="6307749F" w14:textId="15207384" w:rsidR="00FB4AA0" w:rsidRPr="00917D91" w:rsidRDefault="00FB4AA0" w:rsidP="002F4C84">
            <w:pPr>
              <w:pStyle w:val="NumPar1"/>
              <w:jc w:val="center"/>
              <w:rPr>
                <w:rFonts w:ascii="Times New Roman" w:hAnsi="Times New Roman" w:cs="Times New Roman"/>
                <w:b/>
                <w:bCs/>
                <w:noProof/>
                <w:sz w:val="20"/>
                <w:szCs w:val="20"/>
              </w:rPr>
            </w:pPr>
            <w:r>
              <w:rPr>
                <w:rFonts w:ascii="Times New Roman" w:hAnsi="Times New Roman"/>
                <w:b/>
                <w:noProof/>
                <w:sz w:val="20"/>
              </w:rPr>
              <w:t>Opis projekta</w:t>
            </w:r>
          </w:p>
        </w:tc>
        <w:tc>
          <w:tcPr>
            <w:tcW w:w="1305" w:type="dxa"/>
            <w:vAlign w:val="center"/>
          </w:tcPr>
          <w:p w14:paraId="37D664C8" w14:textId="49C69E69" w:rsidR="00FB4AA0" w:rsidRPr="00917D91" w:rsidRDefault="00FB4AA0" w:rsidP="002F4C84">
            <w:pPr>
              <w:pStyle w:val="NumPar1"/>
              <w:jc w:val="center"/>
              <w:rPr>
                <w:rFonts w:ascii="Times New Roman" w:hAnsi="Times New Roman" w:cs="Times New Roman"/>
                <w:b/>
                <w:bCs/>
                <w:noProof/>
                <w:sz w:val="20"/>
                <w:szCs w:val="20"/>
              </w:rPr>
            </w:pPr>
            <w:r>
              <w:rPr>
                <w:rFonts w:ascii="Times New Roman" w:hAnsi="Times New Roman"/>
                <w:b/>
                <w:noProof/>
                <w:sz w:val="20"/>
              </w:rPr>
              <w:t>Proračun</w:t>
            </w:r>
          </w:p>
        </w:tc>
        <w:tc>
          <w:tcPr>
            <w:tcW w:w="1530" w:type="dxa"/>
            <w:vAlign w:val="center"/>
          </w:tcPr>
          <w:p w14:paraId="36E51317" w14:textId="160064EF" w:rsidR="00FB4AA0" w:rsidRPr="00917D91" w:rsidRDefault="00FB4AA0" w:rsidP="002F4C84">
            <w:pPr>
              <w:pStyle w:val="NumPar1"/>
              <w:jc w:val="center"/>
              <w:rPr>
                <w:rFonts w:ascii="Times New Roman" w:hAnsi="Times New Roman" w:cs="Times New Roman"/>
                <w:b/>
                <w:bCs/>
                <w:noProof/>
                <w:sz w:val="20"/>
                <w:szCs w:val="20"/>
              </w:rPr>
            </w:pPr>
            <w:r>
              <w:rPr>
                <w:rFonts w:ascii="Times New Roman" w:hAnsi="Times New Roman"/>
                <w:b/>
                <w:noProof/>
                <w:sz w:val="20"/>
              </w:rPr>
              <w:t>Trajanje projekta</w:t>
            </w:r>
          </w:p>
        </w:tc>
      </w:tr>
      <w:tr w:rsidR="00FB4AA0" w:rsidRPr="00917D91" w14:paraId="657792A4" w14:textId="77777777" w:rsidTr="00917D91">
        <w:tc>
          <w:tcPr>
            <w:tcW w:w="1315" w:type="dxa"/>
            <w:vAlign w:val="center"/>
          </w:tcPr>
          <w:p w14:paraId="4EBDA671" w14:textId="67565FE4" w:rsidR="00FB4AA0" w:rsidRPr="00917D91" w:rsidRDefault="00FB4AA0" w:rsidP="002F4C84">
            <w:pPr>
              <w:spacing w:before="100" w:beforeAutospacing="1" w:after="100" w:afterAutospacing="1"/>
              <w:jc w:val="center"/>
              <w:rPr>
                <w:rFonts w:ascii="Times New Roman" w:hAnsi="Times New Roman" w:cs="Times New Roman"/>
                <w:noProof/>
                <w:color w:val="404040"/>
                <w:sz w:val="20"/>
                <w:szCs w:val="20"/>
              </w:rPr>
            </w:pPr>
            <w:r>
              <w:rPr>
                <w:rFonts w:ascii="Times New Roman" w:hAnsi="Times New Roman"/>
                <w:noProof/>
                <w:color w:val="404040"/>
                <w:sz w:val="20"/>
              </w:rPr>
              <w:t>Zahodna Makedonija (EL)</w:t>
            </w:r>
          </w:p>
        </w:tc>
        <w:tc>
          <w:tcPr>
            <w:tcW w:w="1320" w:type="dxa"/>
            <w:vAlign w:val="center"/>
          </w:tcPr>
          <w:p w14:paraId="2BC32567" w14:textId="2720FA8F" w:rsidR="00FB4AA0" w:rsidRPr="00917D91" w:rsidRDefault="00FB4AA0" w:rsidP="00350B23">
            <w:pPr>
              <w:spacing w:before="100" w:beforeAutospacing="1" w:after="100" w:afterAutospacing="1"/>
              <w:jc w:val="center"/>
              <w:rPr>
                <w:rFonts w:ascii="Times New Roman" w:hAnsi="Times New Roman" w:cs="Times New Roman"/>
                <w:noProof/>
                <w:color w:val="404040"/>
                <w:sz w:val="20"/>
                <w:szCs w:val="20"/>
              </w:rPr>
            </w:pPr>
            <w:r>
              <w:rPr>
                <w:rFonts w:ascii="Times New Roman" w:hAnsi="Times New Roman"/>
                <w:noProof/>
                <w:color w:val="404040"/>
                <w:sz w:val="20"/>
              </w:rPr>
              <w:t>19. april 2023</w:t>
            </w:r>
          </w:p>
        </w:tc>
        <w:tc>
          <w:tcPr>
            <w:tcW w:w="4448" w:type="dxa"/>
            <w:vAlign w:val="center"/>
          </w:tcPr>
          <w:p w14:paraId="79C7E45F" w14:textId="3AFD4721" w:rsidR="00FB4AA0" w:rsidRPr="00917D91" w:rsidRDefault="00FB4AA0" w:rsidP="002F4C84">
            <w:pPr>
              <w:spacing w:before="100" w:beforeAutospacing="1" w:after="100" w:afterAutospacing="1"/>
              <w:rPr>
                <w:rFonts w:ascii="Times New Roman" w:eastAsia="Times New Roman" w:hAnsi="Times New Roman" w:cs="Times New Roman"/>
                <w:noProof/>
                <w:color w:val="404040"/>
                <w:sz w:val="20"/>
                <w:szCs w:val="20"/>
              </w:rPr>
            </w:pPr>
            <w:r>
              <w:rPr>
                <w:rFonts w:ascii="Times New Roman" w:hAnsi="Times New Roman"/>
                <w:noProof/>
                <w:color w:val="404040"/>
                <w:sz w:val="20"/>
              </w:rPr>
              <w:t>Projekt je okvirno posojilo, ki ga usklajuje regija Zahodna Makedonija. Združuje 15 projektov v šestih občinah (Argos Orestikou, Kozani, Kastoria, Florina, Eordaia in Grevena), povezanih z:</w:t>
            </w:r>
          </w:p>
          <w:p w14:paraId="0490FCC9" w14:textId="331779A1" w:rsidR="00FB4AA0" w:rsidRPr="00917D91" w:rsidRDefault="00FB4AA0" w:rsidP="002F4C84">
            <w:pPr>
              <w:pStyle w:val="ListParagraph"/>
              <w:numPr>
                <w:ilvl w:val="0"/>
                <w:numId w:val="25"/>
              </w:numPr>
              <w:jc w:val="both"/>
              <w:rPr>
                <w:rFonts w:ascii="Times New Roman" w:eastAsia="Times New Roman" w:hAnsi="Times New Roman" w:cs="Times New Roman"/>
                <w:noProof/>
                <w:color w:val="404040"/>
                <w:sz w:val="20"/>
                <w:szCs w:val="20"/>
              </w:rPr>
            </w:pPr>
            <w:r>
              <w:rPr>
                <w:rFonts w:ascii="Times New Roman" w:hAnsi="Times New Roman"/>
                <w:noProof/>
                <w:color w:val="404040"/>
                <w:sz w:val="20"/>
              </w:rPr>
              <w:t>energijsko učinkovitostjo – 8</w:t>
            </w:r>
          </w:p>
          <w:p w14:paraId="493E70A1" w14:textId="26A1D82D" w:rsidR="00FB4AA0" w:rsidRPr="00917D91" w:rsidRDefault="00FB4AA0" w:rsidP="002F4C84">
            <w:pPr>
              <w:pStyle w:val="ListParagraph"/>
              <w:numPr>
                <w:ilvl w:val="0"/>
                <w:numId w:val="25"/>
              </w:numPr>
              <w:jc w:val="both"/>
              <w:rPr>
                <w:rFonts w:ascii="Times New Roman" w:eastAsia="Times New Roman" w:hAnsi="Times New Roman" w:cs="Times New Roman"/>
                <w:noProof/>
                <w:color w:val="404040"/>
                <w:sz w:val="20"/>
                <w:szCs w:val="20"/>
              </w:rPr>
            </w:pPr>
            <w:r>
              <w:rPr>
                <w:rFonts w:ascii="Times New Roman" w:hAnsi="Times New Roman"/>
                <w:noProof/>
                <w:color w:val="404040"/>
                <w:sz w:val="20"/>
              </w:rPr>
              <w:t>cestno infrastrukturo – 1</w:t>
            </w:r>
          </w:p>
          <w:p w14:paraId="7B73A082" w14:textId="29EF0327" w:rsidR="00FB4AA0" w:rsidRPr="00917D91" w:rsidRDefault="00FB4AA0" w:rsidP="002F4C84">
            <w:pPr>
              <w:pStyle w:val="ListParagraph"/>
              <w:numPr>
                <w:ilvl w:val="0"/>
                <w:numId w:val="25"/>
              </w:numPr>
              <w:jc w:val="both"/>
              <w:rPr>
                <w:rFonts w:ascii="Times New Roman" w:eastAsia="Times New Roman" w:hAnsi="Times New Roman" w:cs="Times New Roman"/>
                <w:noProof/>
                <w:color w:val="404040"/>
                <w:sz w:val="20"/>
                <w:szCs w:val="20"/>
              </w:rPr>
            </w:pPr>
            <w:r>
              <w:rPr>
                <w:rFonts w:ascii="Times New Roman" w:hAnsi="Times New Roman"/>
                <w:noProof/>
                <w:color w:val="404040"/>
                <w:sz w:val="20"/>
              </w:rPr>
              <w:t>zdravstvenim varstvom – 2</w:t>
            </w:r>
          </w:p>
          <w:p w14:paraId="1DE19B22" w14:textId="5158A99C" w:rsidR="00FB4AA0" w:rsidRPr="00917D91" w:rsidRDefault="00FB4AA0" w:rsidP="002F4C84">
            <w:pPr>
              <w:pStyle w:val="ListParagraph"/>
              <w:numPr>
                <w:ilvl w:val="0"/>
                <w:numId w:val="25"/>
              </w:numPr>
              <w:jc w:val="both"/>
              <w:rPr>
                <w:rFonts w:ascii="Times New Roman" w:eastAsia="Times New Roman" w:hAnsi="Times New Roman" w:cs="Times New Roman"/>
                <w:noProof/>
                <w:color w:val="404040"/>
                <w:sz w:val="20"/>
                <w:szCs w:val="20"/>
              </w:rPr>
            </w:pPr>
            <w:r>
              <w:rPr>
                <w:rFonts w:ascii="Times New Roman" w:hAnsi="Times New Roman"/>
                <w:noProof/>
                <w:color w:val="404040"/>
                <w:sz w:val="20"/>
              </w:rPr>
              <w:t>kulturo – 1</w:t>
            </w:r>
          </w:p>
          <w:p w14:paraId="73091D39" w14:textId="516FB996" w:rsidR="00FB4AA0" w:rsidRPr="00917D91" w:rsidRDefault="00FB4AA0" w:rsidP="002F4C84">
            <w:pPr>
              <w:pStyle w:val="ListParagraph"/>
              <w:numPr>
                <w:ilvl w:val="0"/>
                <w:numId w:val="25"/>
              </w:numPr>
              <w:jc w:val="both"/>
              <w:rPr>
                <w:rFonts w:ascii="Times New Roman" w:eastAsia="Times New Roman" w:hAnsi="Times New Roman" w:cs="Times New Roman"/>
                <w:noProof/>
                <w:color w:val="404040"/>
                <w:sz w:val="20"/>
                <w:szCs w:val="20"/>
              </w:rPr>
            </w:pPr>
            <w:r>
              <w:rPr>
                <w:rFonts w:ascii="Times New Roman" w:hAnsi="Times New Roman"/>
                <w:noProof/>
                <w:color w:val="404040"/>
                <w:sz w:val="20"/>
              </w:rPr>
              <w:t>turizmom – 1</w:t>
            </w:r>
          </w:p>
          <w:p w14:paraId="48C880CF" w14:textId="77777777" w:rsidR="00FB4AA0" w:rsidRPr="00917D91" w:rsidRDefault="00FB4AA0" w:rsidP="002F4C84">
            <w:pPr>
              <w:pStyle w:val="NumPar1"/>
              <w:jc w:val="center"/>
              <w:rPr>
                <w:rFonts w:ascii="Times New Roman" w:hAnsi="Times New Roman" w:cs="Times New Roman"/>
                <w:b/>
                <w:bCs/>
                <w:noProof/>
                <w:sz w:val="20"/>
                <w:szCs w:val="20"/>
              </w:rPr>
            </w:pPr>
          </w:p>
          <w:p w14:paraId="0A0616B2" w14:textId="608BAE27" w:rsidR="00FB12D1" w:rsidRPr="00917D91" w:rsidRDefault="00FB12D1" w:rsidP="00154714">
            <w:pPr>
              <w:pStyle w:val="NumPar1"/>
              <w:spacing w:after="0"/>
              <w:jc w:val="left"/>
              <w:rPr>
                <w:rFonts w:ascii="Times New Roman" w:hAnsi="Times New Roman" w:cs="Times New Roman"/>
                <w:noProof/>
                <w:sz w:val="20"/>
                <w:szCs w:val="20"/>
              </w:rPr>
            </w:pPr>
            <w:r>
              <w:rPr>
                <w:rFonts w:ascii="Times New Roman" w:hAnsi="Times New Roman"/>
                <w:b/>
                <w:noProof/>
                <w:sz w:val="20"/>
              </w:rPr>
              <w:t xml:space="preserve">Pričakovani prihranki emisij: </w:t>
            </w:r>
            <w:r>
              <w:rPr>
                <w:rFonts w:ascii="Times New Roman" w:hAnsi="Times New Roman"/>
                <w:noProof/>
                <w:sz w:val="20"/>
              </w:rPr>
              <w:t>8 650 metričnih ton CO₂ na leto</w:t>
            </w:r>
          </w:p>
          <w:p w14:paraId="26A158E6" w14:textId="77777777" w:rsidR="00FB12D1" w:rsidRPr="00917D91" w:rsidRDefault="00FB12D1" w:rsidP="00154714">
            <w:pPr>
              <w:pStyle w:val="NumPar1"/>
              <w:spacing w:after="0"/>
              <w:jc w:val="left"/>
              <w:rPr>
                <w:rFonts w:ascii="Times New Roman" w:hAnsi="Times New Roman" w:cs="Times New Roman"/>
                <w:noProof/>
                <w:sz w:val="20"/>
                <w:szCs w:val="20"/>
              </w:rPr>
            </w:pPr>
            <w:r>
              <w:rPr>
                <w:rFonts w:ascii="Times New Roman" w:hAnsi="Times New Roman"/>
                <w:b/>
                <w:noProof/>
                <w:sz w:val="20"/>
              </w:rPr>
              <w:t xml:space="preserve">Pričakovana energijska učinkovitost: </w:t>
            </w:r>
            <w:r>
              <w:rPr>
                <w:rFonts w:ascii="Times New Roman" w:hAnsi="Times New Roman"/>
                <w:noProof/>
                <w:sz w:val="20"/>
              </w:rPr>
              <w:t>razred A energijske izkaznice; 60–97-odstotni prihranek energije</w:t>
            </w:r>
          </w:p>
          <w:p w14:paraId="03A3C560" w14:textId="77777777" w:rsidR="00FB12D1" w:rsidRPr="00917D91" w:rsidRDefault="00FB12D1" w:rsidP="00154714">
            <w:pPr>
              <w:pStyle w:val="NumPar1"/>
              <w:spacing w:after="0"/>
              <w:jc w:val="left"/>
              <w:rPr>
                <w:rFonts w:ascii="Times New Roman" w:hAnsi="Times New Roman" w:cs="Times New Roman"/>
                <w:noProof/>
                <w:sz w:val="20"/>
                <w:szCs w:val="20"/>
              </w:rPr>
            </w:pPr>
            <w:r>
              <w:rPr>
                <w:rFonts w:ascii="Times New Roman" w:hAnsi="Times New Roman"/>
                <w:b/>
                <w:noProof/>
                <w:sz w:val="20"/>
              </w:rPr>
              <w:t xml:space="preserve">Pričakovano število ustvarjenih delovnih mest: </w:t>
            </w:r>
            <w:r>
              <w:rPr>
                <w:rFonts w:ascii="Times New Roman" w:hAnsi="Times New Roman"/>
                <w:noProof/>
                <w:sz w:val="20"/>
              </w:rPr>
              <w:t>200 delovnih mest.</w:t>
            </w:r>
          </w:p>
          <w:p w14:paraId="3FAF67E8" w14:textId="3A32B169" w:rsidR="00AD4CC4" w:rsidRPr="00917D91" w:rsidRDefault="00AD4CC4" w:rsidP="00154714">
            <w:pPr>
              <w:pStyle w:val="NumPar1"/>
              <w:spacing w:after="0"/>
              <w:jc w:val="left"/>
              <w:rPr>
                <w:rFonts w:ascii="Times New Roman" w:hAnsi="Times New Roman" w:cs="Times New Roman"/>
                <w:b/>
                <w:bCs/>
                <w:noProof/>
                <w:sz w:val="20"/>
                <w:szCs w:val="20"/>
              </w:rPr>
            </w:pPr>
          </w:p>
        </w:tc>
        <w:tc>
          <w:tcPr>
            <w:tcW w:w="1305" w:type="dxa"/>
            <w:vAlign w:val="center"/>
          </w:tcPr>
          <w:p w14:paraId="5CADC577" w14:textId="77777777" w:rsidR="00FB4AA0" w:rsidRPr="00917D91" w:rsidRDefault="00FB4AA0" w:rsidP="002F4C84">
            <w:pPr>
              <w:pStyle w:val="NumPar1"/>
              <w:spacing w:after="120"/>
              <w:jc w:val="center"/>
              <w:rPr>
                <w:rFonts w:ascii="Times New Roman" w:hAnsi="Times New Roman" w:cs="Times New Roman"/>
                <w:noProof/>
                <w:sz w:val="20"/>
                <w:szCs w:val="20"/>
              </w:rPr>
            </w:pPr>
            <w:r>
              <w:rPr>
                <w:rFonts w:ascii="Times New Roman" w:hAnsi="Times New Roman"/>
                <w:b/>
                <w:noProof/>
                <w:sz w:val="20"/>
              </w:rPr>
              <w:t>Skupni stroški:</w:t>
            </w:r>
            <w:r>
              <w:rPr>
                <w:rFonts w:ascii="Times New Roman" w:hAnsi="Times New Roman"/>
                <w:noProof/>
                <w:sz w:val="20"/>
              </w:rPr>
              <w:t xml:space="preserve"> 81 milijonov EUR (100 %)</w:t>
            </w:r>
          </w:p>
          <w:p w14:paraId="117D50EE" w14:textId="77777777" w:rsidR="00FB4AA0" w:rsidRPr="00917D91" w:rsidRDefault="00FB4AA0" w:rsidP="002F4C84">
            <w:pPr>
              <w:pStyle w:val="NumPar1"/>
              <w:spacing w:after="120"/>
              <w:jc w:val="center"/>
              <w:rPr>
                <w:rFonts w:ascii="Times New Roman" w:hAnsi="Times New Roman" w:cs="Times New Roman"/>
                <w:noProof/>
                <w:sz w:val="20"/>
                <w:szCs w:val="20"/>
              </w:rPr>
            </w:pPr>
            <w:r>
              <w:rPr>
                <w:rFonts w:ascii="Times New Roman" w:hAnsi="Times New Roman"/>
                <w:b/>
                <w:noProof/>
                <w:sz w:val="20"/>
              </w:rPr>
              <w:t>Posojilo Evropske investicijske banke:</w:t>
            </w:r>
            <w:r>
              <w:rPr>
                <w:rFonts w:ascii="Times New Roman" w:hAnsi="Times New Roman"/>
                <w:noProof/>
                <w:sz w:val="20"/>
              </w:rPr>
              <w:t xml:space="preserve"> 59 milijonov EUR (72 %)</w:t>
            </w:r>
          </w:p>
          <w:p w14:paraId="0F96871E" w14:textId="77777777" w:rsidR="00FB4AA0" w:rsidRPr="00917D91" w:rsidRDefault="00FB4AA0" w:rsidP="002F4C84">
            <w:pPr>
              <w:pStyle w:val="NumPar1"/>
              <w:spacing w:after="120"/>
              <w:jc w:val="center"/>
              <w:rPr>
                <w:rFonts w:ascii="Times New Roman" w:hAnsi="Times New Roman" w:cs="Times New Roman"/>
                <w:noProof/>
                <w:sz w:val="20"/>
                <w:szCs w:val="20"/>
              </w:rPr>
            </w:pPr>
            <w:r>
              <w:rPr>
                <w:rFonts w:ascii="Times New Roman" w:hAnsi="Times New Roman"/>
                <w:b/>
                <w:noProof/>
                <w:sz w:val="20"/>
              </w:rPr>
              <w:t>Nepovratna sredstva v okviru instrumenta za posojila v javnem sektorju:</w:t>
            </w:r>
            <w:r>
              <w:rPr>
                <w:rFonts w:ascii="Times New Roman" w:hAnsi="Times New Roman"/>
                <w:noProof/>
                <w:sz w:val="20"/>
              </w:rPr>
              <w:t xml:space="preserve"> 15 milijonov EUR (18 %)</w:t>
            </w:r>
          </w:p>
          <w:p w14:paraId="668BF0CF" w14:textId="1CCA3669" w:rsidR="00FB4AA0" w:rsidRPr="00917D91" w:rsidRDefault="00FB4AA0" w:rsidP="002F4C84">
            <w:pPr>
              <w:pStyle w:val="NumPar1"/>
              <w:jc w:val="center"/>
              <w:rPr>
                <w:rFonts w:ascii="Times New Roman" w:hAnsi="Times New Roman" w:cs="Times New Roman"/>
                <w:b/>
                <w:bCs/>
                <w:noProof/>
                <w:sz w:val="20"/>
                <w:szCs w:val="20"/>
              </w:rPr>
            </w:pPr>
            <w:r>
              <w:rPr>
                <w:rFonts w:ascii="Times New Roman" w:hAnsi="Times New Roman"/>
                <w:b/>
                <w:noProof/>
                <w:sz w:val="20"/>
              </w:rPr>
              <w:t>Financiranje z lastnimi sredstvi:</w:t>
            </w:r>
            <w:r>
              <w:rPr>
                <w:rFonts w:ascii="Times New Roman" w:hAnsi="Times New Roman"/>
                <w:noProof/>
                <w:sz w:val="20"/>
              </w:rPr>
              <w:t xml:space="preserve"> 8 milijonov EUR (10 %)</w:t>
            </w:r>
          </w:p>
        </w:tc>
        <w:tc>
          <w:tcPr>
            <w:tcW w:w="1530" w:type="dxa"/>
            <w:vAlign w:val="center"/>
          </w:tcPr>
          <w:p w14:paraId="1732F90F" w14:textId="1703D7B2" w:rsidR="00FB4AA0" w:rsidRPr="00917D91" w:rsidRDefault="00FB4AA0" w:rsidP="00FB4AA0">
            <w:pPr>
              <w:pStyle w:val="NumPar1"/>
              <w:jc w:val="center"/>
              <w:rPr>
                <w:rFonts w:ascii="Times New Roman" w:hAnsi="Times New Roman" w:cs="Times New Roman"/>
                <w:b/>
                <w:bCs/>
                <w:noProof/>
                <w:sz w:val="20"/>
                <w:szCs w:val="20"/>
              </w:rPr>
            </w:pPr>
            <w:r>
              <w:rPr>
                <w:rFonts w:ascii="Times New Roman" w:hAnsi="Times New Roman"/>
                <w:b/>
                <w:noProof/>
                <w:sz w:val="20"/>
              </w:rPr>
              <w:t>Podpis sporazuma o nepovratnih sredstvih: 23. oktober 2023</w:t>
            </w:r>
          </w:p>
          <w:p w14:paraId="02507968" w14:textId="77777777" w:rsidR="00350B23" w:rsidRPr="00917D91" w:rsidRDefault="00FB4AA0" w:rsidP="002F4C84">
            <w:pPr>
              <w:pStyle w:val="NumPar1"/>
              <w:jc w:val="center"/>
              <w:rPr>
                <w:rFonts w:ascii="Times New Roman" w:hAnsi="Times New Roman" w:cs="Times New Roman"/>
                <w:b/>
                <w:bCs/>
                <w:noProof/>
                <w:sz w:val="20"/>
                <w:szCs w:val="20"/>
              </w:rPr>
            </w:pPr>
            <w:r>
              <w:rPr>
                <w:rFonts w:ascii="Times New Roman" w:hAnsi="Times New Roman"/>
                <w:b/>
                <w:noProof/>
                <w:sz w:val="20"/>
              </w:rPr>
              <w:t>Datum začetka: 1. november 2023</w:t>
            </w:r>
          </w:p>
          <w:p w14:paraId="21A22BD0" w14:textId="3CB18BE4" w:rsidR="00FB4AA0" w:rsidRPr="00917D91" w:rsidRDefault="00FB4AA0" w:rsidP="002F4C84">
            <w:pPr>
              <w:pStyle w:val="NumPar1"/>
              <w:jc w:val="center"/>
              <w:rPr>
                <w:rFonts w:ascii="Times New Roman" w:hAnsi="Times New Roman" w:cs="Times New Roman"/>
                <w:b/>
                <w:noProof/>
                <w:sz w:val="20"/>
                <w:szCs w:val="20"/>
              </w:rPr>
            </w:pPr>
            <w:r>
              <w:rPr>
                <w:rFonts w:ascii="Times New Roman" w:hAnsi="Times New Roman"/>
                <w:b/>
                <w:noProof/>
                <w:sz w:val="20"/>
              </w:rPr>
              <w:t>Trajanje: 36 mesecev</w:t>
            </w:r>
          </w:p>
        </w:tc>
      </w:tr>
      <w:tr w:rsidR="00FB4AA0" w:rsidRPr="00917D91" w14:paraId="0830DB8A" w14:textId="77777777" w:rsidTr="00A7BF73">
        <w:tc>
          <w:tcPr>
            <w:tcW w:w="9918" w:type="dxa"/>
            <w:gridSpan w:val="5"/>
          </w:tcPr>
          <w:p w14:paraId="5F9F9556" w14:textId="70BC46A5" w:rsidR="00FB4AA0" w:rsidRPr="00917D91" w:rsidRDefault="00FB4AA0" w:rsidP="002F4C84">
            <w:pPr>
              <w:pStyle w:val="NumPar1"/>
              <w:jc w:val="center"/>
              <w:rPr>
                <w:rFonts w:ascii="Times New Roman" w:hAnsi="Times New Roman" w:cs="Times New Roman"/>
                <w:b/>
                <w:bCs/>
                <w:noProof/>
                <w:sz w:val="20"/>
                <w:szCs w:val="20"/>
              </w:rPr>
            </w:pPr>
            <w:r>
              <w:rPr>
                <w:rFonts w:ascii="Times New Roman" w:hAnsi="Times New Roman"/>
                <w:b/>
                <w:noProof/>
                <w:sz w:val="20"/>
              </w:rPr>
              <w:t>Infrastrukture za trajnostno mobilnost za nizke emisije in kakovostne storitve</w:t>
            </w:r>
            <w:r w:rsidRPr="00917D91">
              <w:rPr>
                <w:rStyle w:val="FootnoteReference"/>
                <w:rFonts w:ascii="Times New Roman" w:hAnsi="Times New Roman" w:cs="Times New Roman"/>
                <w:b/>
                <w:bCs/>
                <w:noProof/>
                <w:sz w:val="20"/>
                <w:szCs w:val="20"/>
              </w:rPr>
              <w:footnoteReference w:id="13"/>
            </w:r>
          </w:p>
        </w:tc>
      </w:tr>
      <w:tr w:rsidR="00FB4AA0" w:rsidRPr="00917D91" w14:paraId="7F6217A0" w14:textId="77777777" w:rsidTr="00917D91">
        <w:tc>
          <w:tcPr>
            <w:tcW w:w="1315" w:type="dxa"/>
            <w:vAlign w:val="center"/>
          </w:tcPr>
          <w:p w14:paraId="4FC83F74" w14:textId="25909517" w:rsidR="00FB4AA0" w:rsidRPr="00917D91" w:rsidRDefault="00FB4AA0" w:rsidP="002F4C84">
            <w:pPr>
              <w:pStyle w:val="NumPar1"/>
              <w:jc w:val="center"/>
              <w:rPr>
                <w:rFonts w:ascii="Times New Roman" w:hAnsi="Times New Roman" w:cs="Times New Roman"/>
                <w:b/>
                <w:bCs/>
                <w:noProof/>
                <w:sz w:val="20"/>
                <w:szCs w:val="20"/>
              </w:rPr>
            </w:pPr>
            <w:r>
              <w:rPr>
                <w:rFonts w:ascii="Times New Roman" w:hAnsi="Times New Roman"/>
                <w:b/>
                <w:noProof/>
                <w:sz w:val="20"/>
              </w:rPr>
              <w:t>Regija pravičnega prehoda</w:t>
            </w:r>
          </w:p>
        </w:tc>
        <w:tc>
          <w:tcPr>
            <w:tcW w:w="1320" w:type="dxa"/>
          </w:tcPr>
          <w:p w14:paraId="02E352C3" w14:textId="52BA1BD2" w:rsidR="00FB4AA0" w:rsidRPr="00917D91" w:rsidRDefault="00FB4AA0" w:rsidP="002F4C84">
            <w:pPr>
              <w:pStyle w:val="NumPar1"/>
              <w:jc w:val="center"/>
              <w:rPr>
                <w:rFonts w:ascii="Times New Roman" w:hAnsi="Times New Roman" w:cs="Times New Roman"/>
                <w:b/>
                <w:bCs/>
                <w:noProof/>
                <w:sz w:val="20"/>
                <w:szCs w:val="20"/>
              </w:rPr>
            </w:pPr>
            <w:r>
              <w:rPr>
                <w:rFonts w:ascii="Times New Roman" w:hAnsi="Times New Roman"/>
                <w:b/>
                <w:noProof/>
                <w:sz w:val="20"/>
              </w:rPr>
              <w:t>Rok za predložitev</w:t>
            </w:r>
          </w:p>
        </w:tc>
        <w:tc>
          <w:tcPr>
            <w:tcW w:w="4448" w:type="dxa"/>
            <w:vAlign w:val="center"/>
          </w:tcPr>
          <w:p w14:paraId="5562E1B2" w14:textId="4865C27F" w:rsidR="00FB4AA0" w:rsidRPr="00917D91" w:rsidRDefault="00FB4AA0" w:rsidP="002F4C84">
            <w:pPr>
              <w:pStyle w:val="NumPar1"/>
              <w:jc w:val="center"/>
              <w:rPr>
                <w:rFonts w:ascii="Times New Roman" w:hAnsi="Times New Roman" w:cs="Times New Roman"/>
                <w:b/>
                <w:bCs/>
                <w:noProof/>
                <w:sz w:val="20"/>
                <w:szCs w:val="20"/>
              </w:rPr>
            </w:pPr>
            <w:r>
              <w:rPr>
                <w:rFonts w:ascii="Times New Roman" w:hAnsi="Times New Roman"/>
                <w:b/>
                <w:noProof/>
                <w:sz w:val="20"/>
              </w:rPr>
              <w:t>Opis projekta</w:t>
            </w:r>
          </w:p>
        </w:tc>
        <w:tc>
          <w:tcPr>
            <w:tcW w:w="1305" w:type="dxa"/>
            <w:vAlign w:val="center"/>
          </w:tcPr>
          <w:p w14:paraId="43CE531E" w14:textId="42A968A2" w:rsidR="00FB4AA0" w:rsidRPr="00917D91" w:rsidRDefault="00FB4AA0" w:rsidP="002F4C84">
            <w:pPr>
              <w:pStyle w:val="NumPar1"/>
              <w:jc w:val="center"/>
              <w:rPr>
                <w:rFonts w:ascii="Times New Roman" w:hAnsi="Times New Roman" w:cs="Times New Roman"/>
                <w:b/>
                <w:bCs/>
                <w:noProof/>
                <w:sz w:val="20"/>
                <w:szCs w:val="20"/>
              </w:rPr>
            </w:pPr>
            <w:r>
              <w:rPr>
                <w:rFonts w:ascii="Times New Roman" w:hAnsi="Times New Roman"/>
                <w:b/>
                <w:noProof/>
                <w:sz w:val="20"/>
              </w:rPr>
              <w:t>Proračun</w:t>
            </w:r>
          </w:p>
        </w:tc>
        <w:tc>
          <w:tcPr>
            <w:tcW w:w="1530" w:type="dxa"/>
            <w:vAlign w:val="center"/>
          </w:tcPr>
          <w:p w14:paraId="5D57764C" w14:textId="4B51CB50" w:rsidR="00FB4AA0" w:rsidRPr="00917D91" w:rsidRDefault="00FB4AA0" w:rsidP="002F4C84">
            <w:pPr>
              <w:pStyle w:val="NumPar1"/>
              <w:jc w:val="center"/>
              <w:rPr>
                <w:rFonts w:ascii="Times New Roman" w:hAnsi="Times New Roman" w:cs="Times New Roman"/>
                <w:b/>
                <w:bCs/>
                <w:noProof/>
                <w:sz w:val="20"/>
                <w:szCs w:val="20"/>
              </w:rPr>
            </w:pPr>
            <w:r>
              <w:rPr>
                <w:rFonts w:ascii="Times New Roman" w:hAnsi="Times New Roman"/>
                <w:b/>
                <w:noProof/>
                <w:sz w:val="20"/>
              </w:rPr>
              <w:t>Trajanje projekta</w:t>
            </w:r>
          </w:p>
        </w:tc>
      </w:tr>
      <w:tr w:rsidR="00FB4AA0" w:rsidRPr="00917D91" w14:paraId="37B53856" w14:textId="77777777" w:rsidTr="00917D91">
        <w:tc>
          <w:tcPr>
            <w:tcW w:w="1315" w:type="dxa"/>
            <w:vAlign w:val="center"/>
          </w:tcPr>
          <w:p w14:paraId="6F10C4D1" w14:textId="7CAE8B8B" w:rsidR="00FB4AA0" w:rsidRPr="00917D91" w:rsidRDefault="00FB4AA0" w:rsidP="002F4C84">
            <w:pPr>
              <w:pStyle w:val="NumPar1"/>
              <w:jc w:val="center"/>
              <w:rPr>
                <w:rFonts w:ascii="Times New Roman" w:hAnsi="Times New Roman" w:cs="Times New Roman"/>
                <w:noProof/>
                <w:color w:val="404040"/>
                <w:sz w:val="20"/>
                <w:szCs w:val="20"/>
              </w:rPr>
            </w:pPr>
            <w:r>
              <w:rPr>
                <w:rFonts w:ascii="Times New Roman" w:hAnsi="Times New Roman"/>
                <w:noProof/>
                <w:sz w:val="20"/>
              </w:rPr>
              <w:t>Regija Loare (FR)</w:t>
            </w:r>
          </w:p>
        </w:tc>
        <w:tc>
          <w:tcPr>
            <w:tcW w:w="1320" w:type="dxa"/>
            <w:vAlign w:val="center"/>
          </w:tcPr>
          <w:p w14:paraId="7AF0759C" w14:textId="1E3568E2" w:rsidR="00FB4AA0" w:rsidRPr="00917D91" w:rsidRDefault="00FB4AA0" w:rsidP="00DE2625">
            <w:pPr>
              <w:pStyle w:val="NumPar1"/>
              <w:jc w:val="center"/>
              <w:rPr>
                <w:rFonts w:ascii="Times New Roman" w:hAnsi="Times New Roman" w:cs="Times New Roman"/>
                <w:noProof/>
                <w:sz w:val="20"/>
                <w:szCs w:val="20"/>
              </w:rPr>
            </w:pPr>
            <w:r>
              <w:rPr>
                <w:rFonts w:ascii="Times New Roman" w:hAnsi="Times New Roman"/>
                <w:noProof/>
                <w:sz w:val="20"/>
              </w:rPr>
              <w:t>20. september 2023</w:t>
            </w:r>
          </w:p>
        </w:tc>
        <w:tc>
          <w:tcPr>
            <w:tcW w:w="4448" w:type="dxa"/>
            <w:vAlign w:val="center"/>
          </w:tcPr>
          <w:p w14:paraId="6199D3A7" w14:textId="2E11E05F" w:rsidR="00FB4AA0" w:rsidRPr="00917D91" w:rsidRDefault="00FB4AA0" w:rsidP="002F4C84">
            <w:pPr>
              <w:pStyle w:val="NumPar1"/>
              <w:rPr>
                <w:rFonts w:ascii="Times New Roman" w:hAnsi="Times New Roman" w:cs="Times New Roman"/>
                <w:noProof/>
                <w:sz w:val="20"/>
                <w:szCs w:val="20"/>
              </w:rPr>
            </w:pPr>
            <w:r>
              <w:rPr>
                <w:rFonts w:ascii="Times New Roman" w:hAnsi="Times New Roman"/>
                <w:noProof/>
                <w:sz w:val="20"/>
              </w:rPr>
              <w:t>Projekt zajema trajnostno prometno infrastrukturo v Nantesu, in sicer:</w:t>
            </w:r>
          </w:p>
          <w:p w14:paraId="7E794563" w14:textId="2E91F3A8" w:rsidR="00FB4AA0" w:rsidRPr="00917D91" w:rsidRDefault="00FB4AA0" w:rsidP="002F4C84">
            <w:pPr>
              <w:pStyle w:val="NumPar1"/>
              <w:numPr>
                <w:ilvl w:val="0"/>
                <w:numId w:val="26"/>
              </w:numPr>
              <w:spacing w:after="0"/>
              <w:ind w:left="426" w:hanging="357"/>
              <w:rPr>
                <w:rFonts w:ascii="Times New Roman" w:hAnsi="Times New Roman" w:cs="Times New Roman"/>
                <w:noProof/>
                <w:sz w:val="20"/>
                <w:szCs w:val="20"/>
              </w:rPr>
            </w:pPr>
            <w:r>
              <w:rPr>
                <w:rFonts w:ascii="Times New Roman" w:hAnsi="Times New Roman"/>
                <w:noProof/>
                <w:sz w:val="20"/>
              </w:rPr>
              <w:t>posodobitev in obnovo treh tramvajskih prog,</w:t>
            </w:r>
          </w:p>
          <w:p w14:paraId="0D67D2DD" w14:textId="5BC3F260" w:rsidR="00FB4AA0" w:rsidRPr="00917D91" w:rsidRDefault="00FB4AA0" w:rsidP="002F4C84">
            <w:pPr>
              <w:pStyle w:val="NumPar1"/>
              <w:numPr>
                <w:ilvl w:val="0"/>
                <w:numId w:val="26"/>
              </w:numPr>
              <w:spacing w:after="0"/>
              <w:ind w:left="426" w:hanging="357"/>
              <w:rPr>
                <w:rFonts w:ascii="Times New Roman" w:hAnsi="Times New Roman" w:cs="Times New Roman"/>
                <w:noProof/>
                <w:sz w:val="20"/>
                <w:szCs w:val="20"/>
              </w:rPr>
            </w:pPr>
            <w:r>
              <w:rPr>
                <w:rFonts w:ascii="Times New Roman" w:hAnsi="Times New Roman"/>
                <w:noProof/>
                <w:sz w:val="20"/>
              </w:rPr>
              <w:t>obnovo voznega parka tramvajev (46 novih vozil),</w:t>
            </w:r>
          </w:p>
          <w:p w14:paraId="119FE2E2" w14:textId="303D49AD" w:rsidR="00FB4AA0" w:rsidRPr="00917D91" w:rsidRDefault="00FB4AA0" w:rsidP="002F4C84">
            <w:pPr>
              <w:pStyle w:val="NumPar1"/>
              <w:numPr>
                <w:ilvl w:val="0"/>
                <w:numId w:val="26"/>
              </w:numPr>
              <w:spacing w:after="0"/>
              <w:ind w:left="426" w:hanging="357"/>
              <w:rPr>
                <w:rFonts w:ascii="Times New Roman" w:hAnsi="Times New Roman" w:cs="Times New Roman"/>
                <w:noProof/>
                <w:sz w:val="20"/>
                <w:szCs w:val="20"/>
              </w:rPr>
            </w:pPr>
            <w:r>
              <w:rPr>
                <w:rFonts w:ascii="Times New Roman" w:hAnsi="Times New Roman"/>
                <w:noProof/>
                <w:sz w:val="20"/>
              </w:rPr>
              <w:t>izgradnjo tehničnega in operativnega središča ter multimodalnega relejnega/izmenjevalnega vozlišča in</w:t>
            </w:r>
          </w:p>
          <w:p w14:paraId="3DC8AA5A" w14:textId="77777777" w:rsidR="00FB4AA0" w:rsidRPr="00917D91" w:rsidRDefault="00E013E8" w:rsidP="002F4C84">
            <w:pPr>
              <w:pStyle w:val="NumPar1"/>
              <w:numPr>
                <w:ilvl w:val="0"/>
                <w:numId w:val="26"/>
              </w:numPr>
              <w:spacing w:after="0"/>
              <w:ind w:left="426" w:hanging="357"/>
              <w:rPr>
                <w:rFonts w:ascii="Times New Roman" w:hAnsi="Times New Roman" w:cs="Times New Roman"/>
                <w:noProof/>
                <w:sz w:val="20"/>
                <w:szCs w:val="20"/>
              </w:rPr>
            </w:pPr>
            <w:r>
              <w:rPr>
                <w:rFonts w:ascii="Times New Roman" w:hAnsi="Times New Roman"/>
                <w:noProof/>
                <w:sz w:val="20"/>
              </w:rPr>
              <w:t>razvoj 38 km kolesarskih poti.</w:t>
            </w:r>
          </w:p>
          <w:p w14:paraId="1144D809" w14:textId="77777777" w:rsidR="00582D30" w:rsidRPr="00917D91" w:rsidRDefault="00582D30" w:rsidP="00FB12D1">
            <w:pPr>
              <w:pStyle w:val="NumPar1"/>
              <w:spacing w:after="0"/>
              <w:ind w:left="426"/>
              <w:rPr>
                <w:rFonts w:ascii="Times New Roman" w:hAnsi="Times New Roman" w:cs="Times New Roman"/>
                <w:noProof/>
                <w:sz w:val="20"/>
                <w:szCs w:val="20"/>
              </w:rPr>
            </w:pPr>
          </w:p>
          <w:p w14:paraId="058009A0" w14:textId="77777777" w:rsidR="00FB4AA0" w:rsidRPr="00917D91" w:rsidRDefault="00FB4AA0" w:rsidP="002F4C84">
            <w:pPr>
              <w:pStyle w:val="NumPar1"/>
              <w:spacing w:after="0"/>
              <w:ind w:left="69"/>
              <w:rPr>
                <w:rFonts w:ascii="Times New Roman" w:hAnsi="Times New Roman" w:cs="Times New Roman"/>
                <w:noProof/>
                <w:sz w:val="20"/>
                <w:szCs w:val="20"/>
              </w:rPr>
            </w:pPr>
            <w:r>
              <w:rPr>
                <w:rFonts w:ascii="Times New Roman" w:hAnsi="Times New Roman"/>
                <w:noProof/>
                <w:sz w:val="20"/>
              </w:rPr>
              <w:t>Na podlagi rezultatov projekta se bosta izboljšala delovanje in kakovost tramvajskega omrežja, razvila se bo intermodalnost, ponudba javnega prevoza se bo diverzificirala, cestni zastoji pa se bodo zmanjšali.</w:t>
            </w:r>
          </w:p>
          <w:p w14:paraId="60838B2F" w14:textId="77777777" w:rsidR="000C631B" w:rsidRPr="00917D91" w:rsidRDefault="000C631B" w:rsidP="002F4C84">
            <w:pPr>
              <w:pStyle w:val="NumPar1"/>
              <w:spacing w:after="0"/>
              <w:ind w:left="69"/>
              <w:rPr>
                <w:rFonts w:ascii="Times New Roman" w:hAnsi="Times New Roman" w:cs="Times New Roman"/>
                <w:noProof/>
                <w:sz w:val="20"/>
                <w:szCs w:val="20"/>
              </w:rPr>
            </w:pPr>
          </w:p>
          <w:p w14:paraId="7A30C54E" w14:textId="60B41544" w:rsidR="000C631B" w:rsidRPr="00917D91" w:rsidRDefault="000C631B" w:rsidP="000C631B">
            <w:pPr>
              <w:pStyle w:val="NumPar1"/>
              <w:spacing w:after="0"/>
              <w:jc w:val="left"/>
              <w:rPr>
                <w:rFonts w:ascii="Times New Roman" w:hAnsi="Times New Roman" w:cs="Times New Roman"/>
                <w:noProof/>
                <w:sz w:val="20"/>
                <w:szCs w:val="20"/>
              </w:rPr>
            </w:pPr>
            <w:r>
              <w:rPr>
                <w:rFonts w:ascii="Times New Roman" w:hAnsi="Times New Roman"/>
                <w:b/>
                <w:noProof/>
                <w:sz w:val="20"/>
              </w:rPr>
              <w:t xml:space="preserve">Pričakovani prihranki emisij: </w:t>
            </w:r>
            <w:r>
              <w:rPr>
                <w:rFonts w:ascii="Times New Roman" w:hAnsi="Times New Roman"/>
                <w:noProof/>
                <w:sz w:val="20"/>
              </w:rPr>
              <w:t>21 000 metričnih ton CO₂ na leto</w:t>
            </w:r>
          </w:p>
          <w:p w14:paraId="4582891D" w14:textId="77777777" w:rsidR="000C631B" w:rsidRPr="00917D91" w:rsidRDefault="000C631B" w:rsidP="000C631B">
            <w:pPr>
              <w:pStyle w:val="NumPar1"/>
              <w:spacing w:after="0"/>
              <w:rPr>
                <w:rFonts w:ascii="Times New Roman" w:hAnsi="Times New Roman" w:cs="Times New Roman"/>
                <w:noProof/>
                <w:sz w:val="20"/>
                <w:szCs w:val="20"/>
              </w:rPr>
            </w:pPr>
            <w:r>
              <w:rPr>
                <w:rFonts w:ascii="Times New Roman" w:hAnsi="Times New Roman"/>
                <w:b/>
                <w:noProof/>
                <w:sz w:val="20"/>
              </w:rPr>
              <w:t xml:space="preserve">Pričakovano število ustvarjenih delovnih mest: </w:t>
            </w:r>
            <w:r>
              <w:rPr>
                <w:rFonts w:ascii="Times New Roman" w:hAnsi="Times New Roman"/>
                <w:noProof/>
                <w:sz w:val="20"/>
              </w:rPr>
              <w:t>106 delovnih mest</w:t>
            </w:r>
          </w:p>
          <w:p w14:paraId="399209FA" w14:textId="2BDEC51F" w:rsidR="000C631B" w:rsidRPr="00917D91" w:rsidRDefault="00AD4CC4" w:rsidP="00154714">
            <w:pPr>
              <w:pStyle w:val="NumPar1"/>
              <w:spacing w:after="0"/>
              <w:rPr>
                <w:rFonts w:ascii="Times New Roman" w:hAnsi="Times New Roman" w:cs="Times New Roman"/>
                <w:noProof/>
                <w:sz w:val="20"/>
                <w:szCs w:val="20"/>
              </w:rPr>
            </w:pPr>
            <w:r>
              <w:rPr>
                <w:rFonts w:ascii="Times New Roman" w:hAnsi="Times New Roman"/>
                <w:b/>
                <w:noProof/>
                <w:sz w:val="20"/>
              </w:rPr>
              <w:t>Pričakovano število ljudi, ki jih bo projekt dosegel</w:t>
            </w:r>
            <w:r>
              <w:rPr>
                <w:rFonts w:ascii="Times New Roman" w:hAnsi="Times New Roman"/>
                <w:noProof/>
                <w:sz w:val="20"/>
              </w:rPr>
              <w:t>: 672 420.</w:t>
            </w:r>
          </w:p>
          <w:p w14:paraId="7131430B" w14:textId="687D67E1" w:rsidR="00AD4CC4" w:rsidRPr="00917D91" w:rsidRDefault="00AD4CC4" w:rsidP="00154714">
            <w:pPr>
              <w:pStyle w:val="NumPar1"/>
              <w:spacing w:after="0"/>
              <w:rPr>
                <w:rFonts w:ascii="Times New Roman" w:hAnsi="Times New Roman" w:cs="Times New Roman"/>
                <w:noProof/>
                <w:sz w:val="20"/>
                <w:szCs w:val="20"/>
              </w:rPr>
            </w:pPr>
          </w:p>
        </w:tc>
        <w:tc>
          <w:tcPr>
            <w:tcW w:w="1305" w:type="dxa"/>
            <w:vAlign w:val="center"/>
          </w:tcPr>
          <w:p w14:paraId="40AF4DE7" w14:textId="183E4C3D" w:rsidR="00FB4AA0" w:rsidRPr="00917D91" w:rsidRDefault="00FB4AA0" w:rsidP="002F4C84">
            <w:pPr>
              <w:pStyle w:val="NumPar1"/>
              <w:spacing w:after="120"/>
              <w:jc w:val="center"/>
              <w:rPr>
                <w:rFonts w:ascii="Times New Roman" w:hAnsi="Times New Roman" w:cs="Times New Roman"/>
                <w:noProof/>
                <w:sz w:val="20"/>
                <w:szCs w:val="20"/>
              </w:rPr>
            </w:pPr>
            <w:r>
              <w:rPr>
                <w:rFonts w:ascii="Times New Roman" w:hAnsi="Times New Roman"/>
                <w:b/>
                <w:noProof/>
                <w:sz w:val="20"/>
              </w:rPr>
              <w:t>Skupni stroški:</w:t>
            </w:r>
            <w:r>
              <w:rPr>
                <w:rFonts w:ascii="Times New Roman" w:hAnsi="Times New Roman"/>
                <w:noProof/>
                <w:sz w:val="20"/>
              </w:rPr>
              <w:t xml:space="preserve"> 388 milijonov EUR (100 %)</w:t>
            </w:r>
          </w:p>
          <w:p w14:paraId="204C7914" w14:textId="28FF8C5D" w:rsidR="00FB4AA0" w:rsidRPr="00917D91" w:rsidRDefault="00FB4AA0" w:rsidP="002F4C84">
            <w:pPr>
              <w:pStyle w:val="NumPar1"/>
              <w:spacing w:after="120"/>
              <w:jc w:val="center"/>
              <w:rPr>
                <w:rFonts w:ascii="Times New Roman" w:hAnsi="Times New Roman" w:cs="Times New Roman"/>
                <w:noProof/>
                <w:sz w:val="20"/>
                <w:szCs w:val="20"/>
              </w:rPr>
            </w:pPr>
            <w:r>
              <w:rPr>
                <w:rFonts w:ascii="Times New Roman" w:hAnsi="Times New Roman"/>
                <w:b/>
                <w:noProof/>
                <w:sz w:val="20"/>
              </w:rPr>
              <w:t xml:space="preserve">Posojilo Evropske investicijske banke: </w:t>
            </w:r>
            <w:r>
              <w:rPr>
                <w:rFonts w:ascii="Times New Roman" w:hAnsi="Times New Roman"/>
                <w:noProof/>
                <w:sz w:val="20"/>
              </w:rPr>
              <w:t>200 milijonov EUR (52 %)</w:t>
            </w:r>
          </w:p>
          <w:p w14:paraId="30CDA5CB" w14:textId="28A85FED" w:rsidR="00FB4AA0" w:rsidRPr="00917D91" w:rsidRDefault="00FB4AA0" w:rsidP="002F4C84">
            <w:pPr>
              <w:pStyle w:val="NumPar1"/>
              <w:spacing w:after="120"/>
              <w:jc w:val="center"/>
              <w:rPr>
                <w:rFonts w:ascii="Times New Roman" w:hAnsi="Times New Roman" w:cs="Times New Roman"/>
                <w:noProof/>
                <w:sz w:val="20"/>
                <w:szCs w:val="20"/>
              </w:rPr>
            </w:pPr>
            <w:r>
              <w:rPr>
                <w:rFonts w:ascii="Times New Roman" w:hAnsi="Times New Roman"/>
                <w:b/>
                <w:noProof/>
                <w:sz w:val="20"/>
              </w:rPr>
              <w:t>Nepovratna sredstva v okviru instrumenta za posojila v javnem sektorju:</w:t>
            </w:r>
            <w:r>
              <w:rPr>
                <w:rFonts w:ascii="Times New Roman" w:hAnsi="Times New Roman"/>
                <w:noProof/>
                <w:sz w:val="20"/>
              </w:rPr>
              <w:t xml:space="preserve"> 30 milijonov EUR (8 %)</w:t>
            </w:r>
          </w:p>
          <w:p w14:paraId="54218273" w14:textId="40EC96A4" w:rsidR="00FB4AA0" w:rsidRPr="00917D91" w:rsidRDefault="00FB4AA0" w:rsidP="002F4C84">
            <w:pPr>
              <w:pStyle w:val="NumPar1"/>
              <w:jc w:val="center"/>
              <w:rPr>
                <w:rFonts w:ascii="Times New Roman" w:hAnsi="Times New Roman" w:cs="Times New Roman"/>
                <w:b/>
                <w:bCs/>
                <w:noProof/>
                <w:sz w:val="20"/>
                <w:szCs w:val="20"/>
              </w:rPr>
            </w:pPr>
            <w:r>
              <w:rPr>
                <w:rFonts w:ascii="Times New Roman" w:hAnsi="Times New Roman"/>
                <w:b/>
                <w:noProof/>
                <w:sz w:val="20"/>
              </w:rPr>
              <w:t xml:space="preserve">Financiranje z lastnimi sredstvi: </w:t>
            </w:r>
            <w:r>
              <w:rPr>
                <w:rFonts w:ascii="Times New Roman" w:hAnsi="Times New Roman"/>
                <w:noProof/>
                <w:sz w:val="20"/>
              </w:rPr>
              <w:t>158 milijonov EUR (40 %)</w:t>
            </w:r>
          </w:p>
        </w:tc>
        <w:tc>
          <w:tcPr>
            <w:tcW w:w="1530" w:type="dxa"/>
            <w:vAlign w:val="center"/>
          </w:tcPr>
          <w:p w14:paraId="2A09BF27" w14:textId="2EA000A3" w:rsidR="00FB4AA0" w:rsidRPr="00917D91" w:rsidRDefault="00FB4AA0" w:rsidP="00FB4AA0">
            <w:pPr>
              <w:pStyle w:val="NumPar1"/>
              <w:jc w:val="center"/>
              <w:rPr>
                <w:rFonts w:ascii="Times New Roman" w:hAnsi="Times New Roman" w:cs="Times New Roman"/>
                <w:b/>
                <w:bCs/>
                <w:noProof/>
                <w:sz w:val="20"/>
                <w:szCs w:val="20"/>
              </w:rPr>
            </w:pPr>
            <w:r>
              <w:rPr>
                <w:rFonts w:ascii="Times New Roman" w:hAnsi="Times New Roman"/>
                <w:b/>
                <w:noProof/>
                <w:sz w:val="20"/>
              </w:rPr>
              <w:t>Podpis sporazuma o nepovratnih sredstvih: 2. april 2024</w:t>
            </w:r>
          </w:p>
          <w:p w14:paraId="25CA6BD1" w14:textId="4B4535AC" w:rsidR="00FB4AA0" w:rsidRPr="00917D91" w:rsidRDefault="00FB4AA0" w:rsidP="002F4C84">
            <w:pPr>
              <w:pStyle w:val="NumPar1"/>
              <w:jc w:val="center"/>
              <w:rPr>
                <w:rFonts w:ascii="Times New Roman" w:hAnsi="Times New Roman" w:cs="Times New Roman"/>
                <w:b/>
                <w:bCs/>
                <w:noProof/>
                <w:sz w:val="20"/>
                <w:szCs w:val="20"/>
              </w:rPr>
            </w:pPr>
            <w:r>
              <w:rPr>
                <w:rFonts w:ascii="Times New Roman" w:hAnsi="Times New Roman"/>
                <w:b/>
                <w:noProof/>
                <w:sz w:val="20"/>
              </w:rPr>
              <w:t>Datum začetka: 1. maj 2024</w:t>
            </w:r>
          </w:p>
          <w:p w14:paraId="24965E87" w14:textId="502B75BE" w:rsidR="00FB4AA0" w:rsidRPr="00917D91" w:rsidRDefault="00FB4AA0" w:rsidP="002F4C84">
            <w:pPr>
              <w:pStyle w:val="NumPar1"/>
              <w:jc w:val="center"/>
              <w:rPr>
                <w:rFonts w:ascii="Times New Roman" w:hAnsi="Times New Roman" w:cs="Times New Roman"/>
                <w:b/>
                <w:bCs/>
                <w:noProof/>
                <w:sz w:val="20"/>
                <w:szCs w:val="20"/>
              </w:rPr>
            </w:pPr>
            <w:r>
              <w:rPr>
                <w:rFonts w:ascii="Times New Roman" w:hAnsi="Times New Roman"/>
                <w:b/>
                <w:noProof/>
                <w:sz w:val="20"/>
              </w:rPr>
              <w:t>Trajanje: 60 mesecev</w:t>
            </w:r>
          </w:p>
        </w:tc>
      </w:tr>
      <w:tr w:rsidR="00FB4AA0" w:rsidRPr="00917D91" w14:paraId="51688D69" w14:textId="77777777" w:rsidTr="00A7BF73">
        <w:tc>
          <w:tcPr>
            <w:tcW w:w="9918" w:type="dxa"/>
            <w:gridSpan w:val="5"/>
          </w:tcPr>
          <w:p w14:paraId="21DDB4A9" w14:textId="4B6BAD39" w:rsidR="00FB4AA0" w:rsidRPr="00917D91" w:rsidRDefault="00FB4AA0" w:rsidP="002F4C84">
            <w:pPr>
              <w:pStyle w:val="NumPar1"/>
              <w:jc w:val="center"/>
              <w:rPr>
                <w:rFonts w:ascii="Times New Roman" w:hAnsi="Times New Roman" w:cs="Times New Roman"/>
                <w:b/>
                <w:bCs/>
                <w:noProof/>
                <w:sz w:val="20"/>
                <w:szCs w:val="20"/>
              </w:rPr>
            </w:pPr>
            <w:r>
              <w:rPr>
                <w:rFonts w:ascii="Times New Roman" w:hAnsi="Times New Roman"/>
                <w:b/>
                <w:noProof/>
                <w:sz w:val="20"/>
              </w:rPr>
              <w:t>Trajnostna in cenovno dostopna stanovanja za novo zeleno industrijo in družbo</w:t>
            </w:r>
            <w:r w:rsidRPr="00917D91">
              <w:rPr>
                <w:rStyle w:val="FootnoteReference"/>
                <w:rFonts w:ascii="Times New Roman" w:hAnsi="Times New Roman" w:cs="Times New Roman"/>
                <w:b/>
                <w:bCs/>
                <w:noProof/>
                <w:sz w:val="20"/>
                <w:szCs w:val="20"/>
              </w:rPr>
              <w:footnoteReference w:id="14"/>
            </w:r>
          </w:p>
        </w:tc>
      </w:tr>
      <w:tr w:rsidR="00FB4AA0" w:rsidRPr="00917D91" w14:paraId="0C3B2554" w14:textId="77777777" w:rsidTr="00917D91">
        <w:trPr>
          <w:trHeight w:val="233"/>
        </w:trPr>
        <w:tc>
          <w:tcPr>
            <w:tcW w:w="1315" w:type="dxa"/>
            <w:vAlign w:val="center"/>
          </w:tcPr>
          <w:p w14:paraId="648FA989" w14:textId="577FDAA2" w:rsidR="00FB4AA0" w:rsidRPr="00917D91" w:rsidRDefault="00FB4AA0" w:rsidP="002F4C84">
            <w:pPr>
              <w:pStyle w:val="NumPar1"/>
              <w:jc w:val="center"/>
              <w:rPr>
                <w:rFonts w:ascii="Times New Roman" w:hAnsi="Times New Roman" w:cs="Times New Roman"/>
                <w:b/>
                <w:bCs/>
                <w:noProof/>
                <w:sz w:val="20"/>
                <w:szCs w:val="20"/>
              </w:rPr>
            </w:pPr>
            <w:r>
              <w:rPr>
                <w:rFonts w:ascii="Times New Roman" w:hAnsi="Times New Roman"/>
                <w:b/>
                <w:noProof/>
                <w:sz w:val="20"/>
              </w:rPr>
              <w:t>Regija pravičnega prehoda</w:t>
            </w:r>
          </w:p>
        </w:tc>
        <w:tc>
          <w:tcPr>
            <w:tcW w:w="1320" w:type="dxa"/>
          </w:tcPr>
          <w:p w14:paraId="0132DEC9" w14:textId="0CC71CB8" w:rsidR="00FB4AA0" w:rsidRPr="00917D91" w:rsidRDefault="00FB4AA0" w:rsidP="002F4C84">
            <w:pPr>
              <w:pStyle w:val="NumPar1"/>
              <w:jc w:val="center"/>
              <w:rPr>
                <w:rFonts w:ascii="Times New Roman" w:hAnsi="Times New Roman" w:cs="Times New Roman"/>
                <w:b/>
                <w:bCs/>
                <w:noProof/>
                <w:sz w:val="20"/>
                <w:szCs w:val="20"/>
              </w:rPr>
            </w:pPr>
            <w:r>
              <w:rPr>
                <w:rFonts w:ascii="Times New Roman" w:hAnsi="Times New Roman"/>
                <w:b/>
                <w:noProof/>
                <w:sz w:val="20"/>
              </w:rPr>
              <w:t>Rok za predložitev</w:t>
            </w:r>
          </w:p>
        </w:tc>
        <w:tc>
          <w:tcPr>
            <w:tcW w:w="4448" w:type="dxa"/>
            <w:vAlign w:val="center"/>
          </w:tcPr>
          <w:p w14:paraId="3305E311" w14:textId="749E8A77" w:rsidR="00FB4AA0" w:rsidRPr="00917D91" w:rsidRDefault="00FB4AA0" w:rsidP="002F4C84">
            <w:pPr>
              <w:pStyle w:val="NumPar1"/>
              <w:jc w:val="center"/>
              <w:rPr>
                <w:rFonts w:ascii="Times New Roman" w:hAnsi="Times New Roman" w:cs="Times New Roman"/>
                <w:b/>
                <w:bCs/>
                <w:noProof/>
                <w:sz w:val="20"/>
                <w:szCs w:val="20"/>
              </w:rPr>
            </w:pPr>
            <w:r>
              <w:rPr>
                <w:rFonts w:ascii="Times New Roman" w:hAnsi="Times New Roman"/>
                <w:b/>
                <w:noProof/>
                <w:sz w:val="20"/>
              </w:rPr>
              <w:t>Opis projekta</w:t>
            </w:r>
          </w:p>
        </w:tc>
        <w:tc>
          <w:tcPr>
            <w:tcW w:w="1305" w:type="dxa"/>
            <w:vAlign w:val="center"/>
          </w:tcPr>
          <w:p w14:paraId="7AEEF76D" w14:textId="05AC7C6C" w:rsidR="00FB4AA0" w:rsidRPr="00917D91" w:rsidRDefault="00FB4AA0" w:rsidP="002F4C84">
            <w:pPr>
              <w:pStyle w:val="NumPar1"/>
              <w:jc w:val="center"/>
              <w:rPr>
                <w:rFonts w:ascii="Times New Roman" w:hAnsi="Times New Roman" w:cs="Times New Roman"/>
                <w:b/>
                <w:bCs/>
                <w:noProof/>
                <w:sz w:val="20"/>
                <w:szCs w:val="20"/>
              </w:rPr>
            </w:pPr>
            <w:r>
              <w:rPr>
                <w:rFonts w:ascii="Times New Roman" w:hAnsi="Times New Roman"/>
                <w:b/>
                <w:noProof/>
                <w:sz w:val="20"/>
              </w:rPr>
              <w:t>Proračun</w:t>
            </w:r>
          </w:p>
        </w:tc>
        <w:tc>
          <w:tcPr>
            <w:tcW w:w="1530" w:type="dxa"/>
            <w:vAlign w:val="center"/>
          </w:tcPr>
          <w:p w14:paraId="3C971CDD" w14:textId="13D563DA" w:rsidR="00FB4AA0" w:rsidRPr="00917D91" w:rsidRDefault="00FB4AA0" w:rsidP="002F4C84">
            <w:pPr>
              <w:pStyle w:val="NumPar1"/>
              <w:jc w:val="center"/>
              <w:rPr>
                <w:rFonts w:ascii="Times New Roman" w:hAnsi="Times New Roman" w:cs="Times New Roman"/>
                <w:b/>
                <w:bCs/>
                <w:noProof/>
                <w:sz w:val="20"/>
                <w:szCs w:val="20"/>
              </w:rPr>
            </w:pPr>
            <w:r>
              <w:rPr>
                <w:rFonts w:ascii="Times New Roman" w:hAnsi="Times New Roman"/>
                <w:b/>
                <w:noProof/>
                <w:sz w:val="20"/>
              </w:rPr>
              <w:t>Trajanje projekta</w:t>
            </w:r>
          </w:p>
        </w:tc>
      </w:tr>
      <w:tr w:rsidR="00FB4AA0" w:rsidRPr="00917D91" w14:paraId="3CAB35C2" w14:textId="77777777" w:rsidTr="00917D91">
        <w:trPr>
          <w:trHeight w:val="233"/>
        </w:trPr>
        <w:tc>
          <w:tcPr>
            <w:tcW w:w="1315" w:type="dxa"/>
            <w:vAlign w:val="center"/>
          </w:tcPr>
          <w:p w14:paraId="070A1709" w14:textId="211DD11D" w:rsidR="00FB4AA0" w:rsidRPr="00917D91" w:rsidRDefault="00FB4AA0" w:rsidP="002F4C84">
            <w:pPr>
              <w:pStyle w:val="NumPar1"/>
              <w:jc w:val="center"/>
              <w:rPr>
                <w:rFonts w:ascii="Times New Roman" w:hAnsi="Times New Roman" w:cs="Times New Roman"/>
                <w:noProof/>
                <w:sz w:val="20"/>
                <w:szCs w:val="20"/>
              </w:rPr>
            </w:pPr>
            <w:r>
              <w:rPr>
                <w:rFonts w:ascii="Times New Roman" w:hAnsi="Times New Roman"/>
                <w:noProof/>
                <w:sz w:val="20"/>
              </w:rPr>
              <w:t>Västerbotten (SE)</w:t>
            </w:r>
          </w:p>
        </w:tc>
        <w:tc>
          <w:tcPr>
            <w:tcW w:w="1320" w:type="dxa"/>
            <w:vAlign w:val="center"/>
          </w:tcPr>
          <w:p w14:paraId="75DE6FBD" w14:textId="1999E3FB" w:rsidR="00FB4AA0" w:rsidRPr="00917D91" w:rsidRDefault="00FB4AA0" w:rsidP="00350B23">
            <w:pPr>
              <w:pStyle w:val="NumPar1"/>
              <w:jc w:val="center"/>
              <w:rPr>
                <w:rFonts w:ascii="Times New Roman" w:hAnsi="Times New Roman" w:cs="Times New Roman"/>
                <w:noProof/>
                <w:sz w:val="20"/>
                <w:szCs w:val="20"/>
              </w:rPr>
            </w:pPr>
            <w:r>
              <w:rPr>
                <w:rFonts w:ascii="Times New Roman" w:hAnsi="Times New Roman"/>
                <w:noProof/>
                <w:color w:val="404040"/>
                <w:sz w:val="20"/>
              </w:rPr>
              <w:t>19. april 2023</w:t>
            </w:r>
          </w:p>
        </w:tc>
        <w:tc>
          <w:tcPr>
            <w:tcW w:w="4448" w:type="dxa"/>
            <w:vAlign w:val="center"/>
          </w:tcPr>
          <w:p w14:paraId="3565DA8D" w14:textId="77777777" w:rsidR="00582D30" w:rsidRPr="00917D91" w:rsidRDefault="00FB4AA0" w:rsidP="0030258C">
            <w:pPr>
              <w:pStyle w:val="NumPar1"/>
              <w:rPr>
                <w:rFonts w:ascii="Times New Roman" w:hAnsi="Times New Roman" w:cs="Times New Roman"/>
                <w:noProof/>
                <w:sz w:val="20"/>
                <w:szCs w:val="20"/>
              </w:rPr>
            </w:pPr>
            <w:r>
              <w:rPr>
                <w:rFonts w:ascii="Times New Roman" w:hAnsi="Times New Roman"/>
                <w:noProof/>
                <w:sz w:val="20"/>
              </w:rPr>
              <w:t>S projektom se bodo obravnavale naraščajoče stanovanjske potrebe občine Skelleftea, in sicer s podporo gradnji sedmih stanovanjskih kompleksov s približno 750 energijsko učinkovitimi cenovno dostopnimi stanovanjskimi enotami.</w:t>
            </w:r>
          </w:p>
          <w:p w14:paraId="2A6F3028" w14:textId="6F5B4A25" w:rsidR="00FB4AA0" w:rsidRPr="00917D91" w:rsidRDefault="00FB4AA0" w:rsidP="0030258C">
            <w:pPr>
              <w:pStyle w:val="NumPar1"/>
              <w:rPr>
                <w:rFonts w:ascii="Times New Roman" w:hAnsi="Times New Roman" w:cs="Times New Roman"/>
                <w:noProof/>
                <w:sz w:val="20"/>
                <w:szCs w:val="20"/>
              </w:rPr>
            </w:pPr>
            <w:r>
              <w:rPr>
                <w:rFonts w:ascii="Times New Roman" w:hAnsi="Times New Roman"/>
                <w:noProof/>
                <w:sz w:val="20"/>
              </w:rPr>
              <w:t>Stanovanjski program bo namenjen predvsem delavcem, ki bodo prišli delat v novo gigatovarno baterij Northvolt, ter študentom, beguncem in ljudem z nizkimi dohodki ali posebnimi potrebami.</w:t>
            </w:r>
          </w:p>
          <w:p w14:paraId="7A152208" w14:textId="2FC4CC4F" w:rsidR="00FB12D1" w:rsidRPr="00917D91" w:rsidRDefault="00FB12D1" w:rsidP="0030258C">
            <w:pPr>
              <w:pStyle w:val="NumPar1"/>
              <w:spacing w:after="0"/>
              <w:rPr>
                <w:rFonts w:ascii="Times New Roman" w:hAnsi="Times New Roman" w:cs="Times New Roman"/>
                <w:noProof/>
                <w:sz w:val="20"/>
                <w:szCs w:val="20"/>
              </w:rPr>
            </w:pPr>
            <w:r>
              <w:rPr>
                <w:rFonts w:ascii="Times New Roman" w:hAnsi="Times New Roman"/>
                <w:b/>
                <w:noProof/>
                <w:sz w:val="20"/>
              </w:rPr>
              <w:t xml:space="preserve">Pričakovana energijska učinkovitost: </w:t>
            </w:r>
            <w:r>
              <w:rPr>
                <w:rFonts w:ascii="Times New Roman" w:hAnsi="Times New Roman"/>
                <w:noProof/>
                <w:sz w:val="20"/>
              </w:rPr>
              <w:t>20 % višja od gradbenih standardov na Švedskem</w:t>
            </w:r>
          </w:p>
          <w:p w14:paraId="3A6B4968" w14:textId="77777777" w:rsidR="00FB12D1" w:rsidRPr="00917D91" w:rsidRDefault="00FB12D1" w:rsidP="0030258C">
            <w:pPr>
              <w:pStyle w:val="NumPar1"/>
              <w:spacing w:after="0"/>
              <w:rPr>
                <w:rFonts w:ascii="Times New Roman" w:hAnsi="Times New Roman" w:cs="Times New Roman"/>
                <w:noProof/>
                <w:sz w:val="20"/>
                <w:szCs w:val="20"/>
              </w:rPr>
            </w:pPr>
            <w:r>
              <w:rPr>
                <w:rFonts w:ascii="Times New Roman" w:hAnsi="Times New Roman"/>
                <w:b/>
                <w:noProof/>
                <w:sz w:val="20"/>
              </w:rPr>
              <w:t xml:space="preserve">Pričakovano število ustvarjenih delovnih mest: </w:t>
            </w:r>
            <w:r>
              <w:rPr>
                <w:rFonts w:ascii="Times New Roman" w:hAnsi="Times New Roman"/>
                <w:noProof/>
                <w:sz w:val="20"/>
              </w:rPr>
              <w:t>1000 delovnih mest</w:t>
            </w:r>
          </w:p>
          <w:p w14:paraId="2707795F" w14:textId="1C3D089C" w:rsidR="00FB12D1" w:rsidRPr="00917D91" w:rsidRDefault="00AD4CC4" w:rsidP="0030258C">
            <w:pPr>
              <w:pStyle w:val="NumPar1"/>
              <w:spacing w:after="0"/>
              <w:rPr>
                <w:rFonts w:ascii="Times New Roman" w:hAnsi="Times New Roman" w:cs="Times New Roman"/>
                <w:noProof/>
                <w:sz w:val="20"/>
                <w:szCs w:val="20"/>
              </w:rPr>
            </w:pPr>
            <w:r>
              <w:rPr>
                <w:rFonts w:ascii="Times New Roman" w:hAnsi="Times New Roman"/>
                <w:b/>
                <w:noProof/>
                <w:sz w:val="20"/>
              </w:rPr>
              <w:t>Pričakovano število ljudi, ki jih bo projekt dosegel</w:t>
            </w:r>
            <w:r>
              <w:rPr>
                <w:rFonts w:ascii="Times New Roman" w:hAnsi="Times New Roman"/>
                <w:noProof/>
                <w:sz w:val="20"/>
              </w:rPr>
              <w:t>: 44 000.</w:t>
            </w:r>
          </w:p>
        </w:tc>
        <w:tc>
          <w:tcPr>
            <w:tcW w:w="1305" w:type="dxa"/>
            <w:vAlign w:val="center"/>
          </w:tcPr>
          <w:p w14:paraId="7F45ACE1" w14:textId="77777777" w:rsidR="00FB4AA0" w:rsidRPr="00917D91" w:rsidRDefault="00FB4AA0" w:rsidP="002F4C84">
            <w:pPr>
              <w:pStyle w:val="NumPar1"/>
              <w:spacing w:after="120"/>
              <w:jc w:val="center"/>
              <w:rPr>
                <w:rFonts w:ascii="Times New Roman" w:hAnsi="Times New Roman" w:cs="Times New Roman"/>
                <w:b/>
                <w:bCs/>
                <w:noProof/>
                <w:sz w:val="20"/>
                <w:szCs w:val="20"/>
              </w:rPr>
            </w:pPr>
            <w:r>
              <w:rPr>
                <w:rFonts w:ascii="Times New Roman" w:hAnsi="Times New Roman"/>
                <w:b/>
                <w:noProof/>
                <w:sz w:val="20"/>
              </w:rPr>
              <w:t xml:space="preserve">Skupni stroški: </w:t>
            </w:r>
            <w:r>
              <w:rPr>
                <w:rFonts w:ascii="Times New Roman" w:hAnsi="Times New Roman"/>
                <w:noProof/>
                <w:sz w:val="20"/>
              </w:rPr>
              <w:t>142 milijonov EUR</w:t>
            </w:r>
          </w:p>
          <w:p w14:paraId="2F06379D" w14:textId="3B47B626" w:rsidR="00FB4AA0" w:rsidRPr="00917D91" w:rsidRDefault="00FB4AA0" w:rsidP="002F4C84">
            <w:pPr>
              <w:pStyle w:val="NumPar1"/>
              <w:spacing w:after="120"/>
              <w:jc w:val="center"/>
              <w:rPr>
                <w:rFonts w:ascii="Times New Roman" w:hAnsi="Times New Roman" w:cs="Times New Roman"/>
                <w:b/>
                <w:bCs/>
                <w:noProof/>
                <w:sz w:val="20"/>
                <w:szCs w:val="20"/>
              </w:rPr>
            </w:pPr>
            <w:r>
              <w:rPr>
                <w:rFonts w:ascii="Times New Roman" w:hAnsi="Times New Roman"/>
                <w:b/>
                <w:noProof/>
                <w:sz w:val="20"/>
              </w:rPr>
              <w:t>Posojilo Evropske investicijske banke:</w:t>
            </w:r>
            <w:r>
              <w:rPr>
                <w:rFonts w:ascii="Times New Roman" w:hAnsi="Times New Roman"/>
                <w:noProof/>
                <w:sz w:val="20"/>
              </w:rPr>
              <w:t xml:space="preserve"> 71 milijonov EUR (50%)</w:t>
            </w:r>
          </w:p>
          <w:p w14:paraId="1C904FE3" w14:textId="05681F40" w:rsidR="00FB4AA0" w:rsidRPr="00917D91" w:rsidRDefault="00FB4AA0" w:rsidP="002F4C84">
            <w:pPr>
              <w:pStyle w:val="NumPar1"/>
              <w:spacing w:after="120"/>
              <w:jc w:val="center"/>
              <w:rPr>
                <w:rFonts w:ascii="Times New Roman" w:hAnsi="Times New Roman" w:cs="Times New Roman"/>
                <w:noProof/>
                <w:sz w:val="20"/>
                <w:szCs w:val="20"/>
              </w:rPr>
            </w:pPr>
            <w:r>
              <w:rPr>
                <w:rFonts w:ascii="Times New Roman" w:hAnsi="Times New Roman"/>
                <w:b/>
                <w:noProof/>
                <w:sz w:val="20"/>
              </w:rPr>
              <w:t xml:space="preserve">Nepovratna sredstva v okviru instrumenta za posojila v javnem sektorju: </w:t>
            </w:r>
            <w:r>
              <w:rPr>
                <w:rFonts w:ascii="Times New Roman" w:hAnsi="Times New Roman"/>
                <w:noProof/>
                <w:sz w:val="20"/>
              </w:rPr>
              <w:t>11 milijonov EUR (8 %)</w:t>
            </w:r>
          </w:p>
          <w:p w14:paraId="675586BD" w14:textId="5D72F242" w:rsidR="00FB4AA0" w:rsidRPr="00917D91" w:rsidRDefault="00FB4AA0" w:rsidP="002F4C84">
            <w:pPr>
              <w:pStyle w:val="NumPar1"/>
              <w:jc w:val="center"/>
              <w:rPr>
                <w:rFonts w:ascii="Times New Roman" w:hAnsi="Times New Roman" w:cs="Times New Roman"/>
                <w:noProof/>
                <w:sz w:val="20"/>
                <w:szCs w:val="20"/>
              </w:rPr>
            </w:pPr>
            <w:r>
              <w:rPr>
                <w:rFonts w:ascii="Times New Roman" w:hAnsi="Times New Roman"/>
                <w:b/>
                <w:noProof/>
                <w:sz w:val="20"/>
              </w:rPr>
              <w:t xml:space="preserve">Financiranje z lastnimi sredstvi: </w:t>
            </w:r>
            <w:r>
              <w:rPr>
                <w:rFonts w:ascii="Times New Roman" w:hAnsi="Times New Roman"/>
                <w:noProof/>
                <w:sz w:val="20"/>
              </w:rPr>
              <w:t>60 milijonov EUR (42 %)</w:t>
            </w:r>
          </w:p>
          <w:p w14:paraId="689956AD" w14:textId="254A7D43" w:rsidR="00FB4AA0" w:rsidRPr="00917D91" w:rsidRDefault="00FB4AA0" w:rsidP="002F4C84">
            <w:pPr>
              <w:pStyle w:val="NumPar1"/>
              <w:jc w:val="center"/>
              <w:rPr>
                <w:rFonts w:ascii="Times New Roman" w:hAnsi="Times New Roman" w:cs="Times New Roman"/>
                <w:b/>
                <w:bCs/>
                <w:noProof/>
                <w:sz w:val="20"/>
                <w:szCs w:val="20"/>
              </w:rPr>
            </w:pPr>
          </w:p>
        </w:tc>
        <w:tc>
          <w:tcPr>
            <w:tcW w:w="1530" w:type="dxa"/>
            <w:vAlign w:val="center"/>
          </w:tcPr>
          <w:p w14:paraId="5AA035C4" w14:textId="7D74C494" w:rsidR="00FB4AA0" w:rsidRPr="00917D91" w:rsidRDefault="00FB4AA0" w:rsidP="00FB4AA0">
            <w:pPr>
              <w:pStyle w:val="NumPar1"/>
              <w:jc w:val="center"/>
              <w:rPr>
                <w:rFonts w:ascii="Times New Roman" w:hAnsi="Times New Roman" w:cs="Times New Roman"/>
                <w:b/>
                <w:bCs/>
                <w:noProof/>
                <w:sz w:val="20"/>
                <w:szCs w:val="20"/>
              </w:rPr>
            </w:pPr>
            <w:r>
              <w:rPr>
                <w:rFonts w:ascii="Times New Roman" w:hAnsi="Times New Roman"/>
                <w:b/>
                <w:noProof/>
                <w:sz w:val="20"/>
              </w:rPr>
              <w:t>Podpis sporazuma o nepovratnih sredstvih: 5. april 2024</w:t>
            </w:r>
          </w:p>
          <w:p w14:paraId="2B9DFD0C" w14:textId="1DC4C411" w:rsidR="00FB4AA0" w:rsidRPr="00917D91" w:rsidRDefault="00FB4AA0" w:rsidP="002F4C84">
            <w:pPr>
              <w:pStyle w:val="NumPar1"/>
              <w:jc w:val="center"/>
              <w:rPr>
                <w:rFonts w:ascii="Times New Roman" w:hAnsi="Times New Roman" w:cs="Times New Roman"/>
                <w:b/>
                <w:bCs/>
                <w:noProof/>
                <w:sz w:val="20"/>
                <w:szCs w:val="20"/>
              </w:rPr>
            </w:pPr>
            <w:r>
              <w:rPr>
                <w:rFonts w:ascii="Times New Roman" w:hAnsi="Times New Roman"/>
                <w:b/>
                <w:noProof/>
                <w:sz w:val="20"/>
              </w:rPr>
              <w:t>Datum začetka: 1. januar 2023</w:t>
            </w:r>
          </w:p>
          <w:p w14:paraId="5D9F2069" w14:textId="059B018C" w:rsidR="00FB4AA0" w:rsidRPr="00917D91" w:rsidRDefault="00FB4AA0" w:rsidP="002F4C84">
            <w:pPr>
              <w:pStyle w:val="NumPar1"/>
              <w:jc w:val="center"/>
              <w:rPr>
                <w:rFonts w:ascii="Times New Roman" w:hAnsi="Times New Roman" w:cs="Times New Roman"/>
                <w:b/>
                <w:bCs/>
                <w:noProof/>
                <w:sz w:val="20"/>
                <w:szCs w:val="20"/>
              </w:rPr>
            </w:pPr>
            <w:r>
              <w:rPr>
                <w:rFonts w:ascii="Times New Roman" w:hAnsi="Times New Roman"/>
                <w:b/>
                <w:noProof/>
                <w:sz w:val="20"/>
              </w:rPr>
              <w:t>Trajanje: 60 mesecev</w:t>
            </w:r>
          </w:p>
        </w:tc>
      </w:tr>
      <w:tr w:rsidR="00D61C7F" w:rsidRPr="001D0313" w14:paraId="358C92AA" w14:textId="77777777" w:rsidTr="008A4243">
        <w:tc>
          <w:tcPr>
            <w:tcW w:w="9918" w:type="dxa"/>
            <w:gridSpan w:val="5"/>
          </w:tcPr>
          <w:p w14:paraId="70EC552D" w14:textId="300623B5" w:rsidR="00D61C7F" w:rsidRPr="00AD4CC4" w:rsidRDefault="005A7568" w:rsidP="008A4243">
            <w:pPr>
              <w:pStyle w:val="NumPar1"/>
              <w:jc w:val="center"/>
              <w:rPr>
                <w:rFonts w:ascii="Times New Roman" w:hAnsi="Times New Roman" w:cs="Times New Roman"/>
                <w:b/>
                <w:bCs/>
                <w:noProof/>
              </w:rPr>
            </w:pPr>
            <w:bookmarkStart w:id="12" w:name="_Hlk172702988"/>
            <w:r>
              <w:rPr>
                <w:rFonts w:ascii="Times New Roman" w:hAnsi="Times New Roman"/>
                <w:b/>
                <w:noProof/>
              </w:rPr>
              <w:t>Koncertna dvorana v Ostravi</w:t>
            </w:r>
            <w:r w:rsidRPr="00AD4CC4">
              <w:rPr>
                <w:rStyle w:val="FootnoteReference"/>
                <w:rFonts w:ascii="Times New Roman" w:hAnsi="Times New Roman" w:cs="Times New Roman"/>
                <w:b/>
                <w:bCs/>
                <w:noProof/>
              </w:rPr>
              <w:footnoteReference w:id="15"/>
            </w:r>
          </w:p>
        </w:tc>
      </w:tr>
      <w:tr w:rsidR="00D61C7F" w:rsidRPr="00917D91" w14:paraId="057FF5D7" w14:textId="77777777" w:rsidTr="00917D91">
        <w:trPr>
          <w:trHeight w:val="233"/>
        </w:trPr>
        <w:tc>
          <w:tcPr>
            <w:tcW w:w="1315" w:type="dxa"/>
            <w:vAlign w:val="center"/>
          </w:tcPr>
          <w:p w14:paraId="6CE34C36" w14:textId="77777777" w:rsidR="00D61C7F" w:rsidRPr="00917D91" w:rsidRDefault="00D61C7F" w:rsidP="008A4243">
            <w:pPr>
              <w:pStyle w:val="NumPar1"/>
              <w:jc w:val="center"/>
              <w:rPr>
                <w:rFonts w:ascii="Times New Roman" w:hAnsi="Times New Roman" w:cs="Times New Roman"/>
                <w:b/>
                <w:bCs/>
                <w:noProof/>
                <w:sz w:val="20"/>
                <w:szCs w:val="20"/>
              </w:rPr>
            </w:pPr>
            <w:r>
              <w:rPr>
                <w:rFonts w:ascii="Times New Roman" w:hAnsi="Times New Roman"/>
                <w:b/>
                <w:noProof/>
                <w:sz w:val="20"/>
              </w:rPr>
              <w:t>Regija pravičnega prehoda</w:t>
            </w:r>
          </w:p>
        </w:tc>
        <w:tc>
          <w:tcPr>
            <w:tcW w:w="1320" w:type="dxa"/>
          </w:tcPr>
          <w:p w14:paraId="66EFA641" w14:textId="77777777" w:rsidR="00D61C7F" w:rsidRPr="00917D91" w:rsidRDefault="00D61C7F" w:rsidP="008A4243">
            <w:pPr>
              <w:pStyle w:val="NumPar1"/>
              <w:jc w:val="center"/>
              <w:rPr>
                <w:rFonts w:ascii="Times New Roman" w:hAnsi="Times New Roman" w:cs="Times New Roman"/>
                <w:b/>
                <w:bCs/>
                <w:noProof/>
                <w:sz w:val="20"/>
                <w:szCs w:val="20"/>
              </w:rPr>
            </w:pPr>
            <w:r>
              <w:rPr>
                <w:rFonts w:ascii="Times New Roman" w:hAnsi="Times New Roman"/>
                <w:b/>
                <w:noProof/>
                <w:sz w:val="20"/>
              </w:rPr>
              <w:t>Rok za predložitev</w:t>
            </w:r>
          </w:p>
        </w:tc>
        <w:tc>
          <w:tcPr>
            <w:tcW w:w="4448" w:type="dxa"/>
            <w:vAlign w:val="center"/>
          </w:tcPr>
          <w:p w14:paraId="12CA0886" w14:textId="77777777" w:rsidR="00D61C7F" w:rsidRPr="00917D91" w:rsidRDefault="00D61C7F" w:rsidP="008A4243">
            <w:pPr>
              <w:pStyle w:val="NumPar1"/>
              <w:jc w:val="center"/>
              <w:rPr>
                <w:rFonts w:ascii="Times New Roman" w:hAnsi="Times New Roman" w:cs="Times New Roman"/>
                <w:b/>
                <w:bCs/>
                <w:noProof/>
                <w:sz w:val="20"/>
                <w:szCs w:val="20"/>
              </w:rPr>
            </w:pPr>
            <w:r>
              <w:rPr>
                <w:rFonts w:ascii="Times New Roman" w:hAnsi="Times New Roman"/>
                <w:b/>
                <w:noProof/>
                <w:sz w:val="20"/>
              </w:rPr>
              <w:t>Opis projekta</w:t>
            </w:r>
          </w:p>
        </w:tc>
        <w:tc>
          <w:tcPr>
            <w:tcW w:w="1305" w:type="dxa"/>
            <w:vAlign w:val="center"/>
          </w:tcPr>
          <w:p w14:paraId="6BB5A849" w14:textId="77777777" w:rsidR="00D61C7F" w:rsidRPr="00917D91" w:rsidRDefault="00D61C7F" w:rsidP="008A4243">
            <w:pPr>
              <w:pStyle w:val="NumPar1"/>
              <w:jc w:val="center"/>
              <w:rPr>
                <w:rFonts w:ascii="Times New Roman" w:hAnsi="Times New Roman" w:cs="Times New Roman"/>
                <w:b/>
                <w:bCs/>
                <w:noProof/>
                <w:sz w:val="20"/>
                <w:szCs w:val="20"/>
              </w:rPr>
            </w:pPr>
            <w:r>
              <w:rPr>
                <w:rFonts w:ascii="Times New Roman" w:hAnsi="Times New Roman"/>
                <w:b/>
                <w:noProof/>
                <w:sz w:val="20"/>
              </w:rPr>
              <w:t>Proračun</w:t>
            </w:r>
          </w:p>
        </w:tc>
        <w:tc>
          <w:tcPr>
            <w:tcW w:w="1530" w:type="dxa"/>
            <w:vAlign w:val="center"/>
          </w:tcPr>
          <w:p w14:paraId="3305EDC9" w14:textId="77777777" w:rsidR="00D61C7F" w:rsidRPr="00917D91" w:rsidRDefault="00D61C7F" w:rsidP="008A4243">
            <w:pPr>
              <w:pStyle w:val="NumPar1"/>
              <w:jc w:val="center"/>
              <w:rPr>
                <w:rFonts w:ascii="Times New Roman" w:hAnsi="Times New Roman" w:cs="Times New Roman"/>
                <w:b/>
                <w:bCs/>
                <w:noProof/>
                <w:sz w:val="20"/>
                <w:szCs w:val="20"/>
              </w:rPr>
            </w:pPr>
            <w:r>
              <w:rPr>
                <w:rFonts w:ascii="Times New Roman" w:hAnsi="Times New Roman"/>
                <w:b/>
                <w:noProof/>
                <w:sz w:val="20"/>
              </w:rPr>
              <w:t>Trajanje projekta</w:t>
            </w:r>
          </w:p>
        </w:tc>
      </w:tr>
      <w:tr w:rsidR="00D61C7F" w:rsidRPr="00917D91" w14:paraId="71F521A9" w14:textId="77777777" w:rsidTr="00917D91">
        <w:trPr>
          <w:trHeight w:val="233"/>
        </w:trPr>
        <w:tc>
          <w:tcPr>
            <w:tcW w:w="1315" w:type="dxa"/>
            <w:vAlign w:val="center"/>
          </w:tcPr>
          <w:p w14:paraId="1906E6F7" w14:textId="7044717E" w:rsidR="00D61C7F" w:rsidRPr="00917D91" w:rsidRDefault="00D61C7F" w:rsidP="00993941">
            <w:pPr>
              <w:pStyle w:val="NumPar1"/>
              <w:jc w:val="center"/>
              <w:rPr>
                <w:rFonts w:ascii="Times New Roman" w:hAnsi="Times New Roman" w:cs="Times New Roman"/>
                <w:noProof/>
                <w:sz w:val="20"/>
                <w:szCs w:val="20"/>
              </w:rPr>
            </w:pPr>
            <w:r>
              <w:rPr>
                <w:rFonts w:ascii="Times New Roman" w:hAnsi="Times New Roman"/>
                <w:noProof/>
                <w:sz w:val="20"/>
              </w:rPr>
              <w:t>Moravsko-šlezijska regija (CZ)</w:t>
            </w:r>
          </w:p>
        </w:tc>
        <w:tc>
          <w:tcPr>
            <w:tcW w:w="1320" w:type="dxa"/>
            <w:vAlign w:val="center"/>
          </w:tcPr>
          <w:p w14:paraId="38D74B80" w14:textId="255963F5" w:rsidR="00D61C7F" w:rsidRPr="00917D91" w:rsidRDefault="00D61C7F" w:rsidP="00993941">
            <w:pPr>
              <w:pStyle w:val="NumPar1"/>
              <w:jc w:val="center"/>
              <w:rPr>
                <w:rFonts w:ascii="Times New Roman" w:hAnsi="Times New Roman" w:cs="Times New Roman"/>
                <w:noProof/>
                <w:sz w:val="20"/>
                <w:szCs w:val="20"/>
              </w:rPr>
            </w:pPr>
            <w:r>
              <w:rPr>
                <w:rFonts w:ascii="Times New Roman" w:hAnsi="Times New Roman"/>
                <w:noProof/>
                <w:sz w:val="20"/>
              </w:rPr>
              <w:t>20. september 2023</w:t>
            </w:r>
          </w:p>
        </w:tc>
        <w:tc>
          <w:tcPr>
            <w:tcW w:w="4448" w:type="dxa"/>
            <w:vAlign w:val="center"/>
          </w:tcPr>
          <w:p w14:paraId="51654CCC" w14:textId="268BB9AB" w:rsidR="00D61C7F" w:rsidRPr="00917D91" w:rsidRDefault="00D61C7F" w:rsidP="0030258C">
            <w:pPr>
              <w:pStyle w:val="NumPar1"/>
              <w:rPr>
                <w:rFonts w:ascii="Times New Roman" w:hAnsi="Times New Roman" w:cs="Times New Roman"/>
                <w:noProof/>
                <w:sz w:val="20"/>
                <w:szCs w:val="20"/>
              </w:rPr>
            </w:pPr>
            <w:r>
              <w:rPr>
                <w:rFonts w:ascii="Times New Roman" w:hAnsi="Times New Roman"/>
                <w:noProof/>
                <w:sz w:val="20"/>
              </w:rPr>
              <w:t>Predmet projekta je gradnja koncertne dvorane v Ostravi, ki bo imela vrhunsko akustiko in zmogljivost do 1 300 sedežev.</w:t>
            </w:r>
          </w:p>
          <w:p w14:paraId="658E7F75" w14:textId="77777777" w:rsidR="00D61C7F" w:rsidRPr="00917D91" w:rsidRDefault="00D61C7F" w:rsidP="0030258C">
            <w:pPr>
              <w:pStyle w:val="NumPar1"/>
              <w:rPr>
                <w:rFonts w:ascii="Times New Roman" w:hAnsi="Times New Roman" w:cs="Times New Roman"/>
                <w:noProof/>
                <w:sz w:val="20"/>
                <w:szCs w:val="20"/>
              </w:rPr>
            </w:pPr>
            <w:r>
              <w:rPr>
                <w:rFonts w:ascii="Times New Roman" w:hAnsi="Times New Roman"/>
                <w:noProof/>
                <w:sz w:val="20"/>
              </w:rPr>
              <w:t>S tem projektom se bo podprl razvoj kulturne infrastrukture in prispevalo k oživitvi Ostrave, nekdanjega rudarskega mesta, v katerem še vedno poteka tradicionalna proizvodnja jekla. Izgradnja novega kulturnega prizorišča bo okrepila privlačnost mesta za njegove prebivalce in obiskovalce ter pripomogla k socialno-ekonomski preobrazbi regije.</w:t>
            </w:r>
          </w:p>
          <w:p w14:paraId="65DEA3B7" w14:textId="629BA421" w:rsidR="000C631B" w:rsidRPr="00917D91" w:rsidRDefault="000C631B" w:rsidP="0030258C">
            <w:pPr>
              <w:pStyle w:val="NumPar1"/>
              <w:spacing w:after="0"/>
              <w:rPr>
                <w:rFonts w:ascii="Times New Roman" w:hAnsi="Times New Roman" w:cs="Times New Roman"/>
                <w:noProof/>
                <w:sz w:val="20"/>
                <w:szCs w:val="20"/>
              </w:rPr>
            </w:pPr>
            <w:r>
              <w:rPr>
                <w:rFonts w:ascii="Times New Roman" w:hAnsi="Times New Roman"/>
                <w:b/>
                <w:noProof/>
                <w:sz w:val="20"/>
              </w:rPr>
              <w:t xml:space="preserve">Pričakovana energijska učinkovitost: </w:t>
            </w:r>
            <w:r>
              <w:rPr>
                <w:rFonts w:ascii="Times New Roman" w:hAnsi="Times New Roman"/>
                <w:noProof/>
                <w:sz w:val="20"/>
              </w:rPr>
              <w:t>Razred B energijske izkaznice</w:t>
            </w:r>
          </w:p>
          <w:p w14:paraId="0084B082" w14:textId="4EBD52A9" w:rsidR="000C631B" w:rsidRPr="00917D91" w:rsidRDefault="000C631B" w:rsidP="0030258C">
            <w:pPr>
              <w:pStyle w:val="NumPar1"/>
              <w:spacing w:after="0"/>
              <w:rPr>
                <w:rFonts w:ascii="Times New Roman" w:hAnsi="Times New Roman" w:cs="Times New Roman"/>
                <w:noProof/>
                <w:sz w:val="20"/>
                <w:szCs w:val="20"/>
              </w:rPr>
            </w:pPr>
            <w:r>
              <w:rPr>
                <w:rFonts w:ascii="Times New Roman" w:hAnsi="Times New Roman"/>
                <w:b/>
                <w:noProof/>
                <w:sz w:val="20"/>
              </w:rPr>
              <w:t>Obnovljivi viri energije, ki bodo uporabljeni v projektu</w:t>
            </w:r>
            <w:r>
              <w:rPr>
                <w:rFonts w:ascii="Times New Roman" w:hAnsi="Times New Roman"/>
                <w:noProof/>
                <w:sz w:val="20"/>
              </w:rPr>
              <w:t xml:space="preserve">: </w:t>
            </w:r>
            <w:r>
              <w:rPr>
                <w:rFonts w:ascii="Times New Roman" w:hAnsi="Times New Roman"/>
                <w:noProof/>
                <w:color w:val="242424"/>
                <w:sz w:val="20"/>
                <w:shd w:val="clear" w:color="auto" w:fill="FFFFFF"/>
              </w:rPr>
              <w:t>približno 392 fotovoltaičnih panelov; 125 geotermalnih vrtin</w:t>
            </w:r>
          </w:p>
          <w:p w14:paraId="30C9187D" w14:textId="6C80140C" w:rsidR="00415D90" w:rsidRPr="00917D91" w:rsidRDefault="00AD4CC4" w:rsidP="0030258C">
            <w:pPr>
              <w:pStyle w:val="NumPar1"/>
              <w:spacing w:after="0"/>
              <w:rPr>
                <w:rFonts w:ascii="Times New Roman" w:hAnsi="Times New Roman" w:cs="Times New Roman"/>
                <w:noProof/>
                <w:sz w:val="20"/>
                <w:szCs w:val="20"/>
              </w:rPr>
            </w:pPr>
            <w:r>
              <w:rPr>
                <w:rFonts w:ascii="Times New Roman" w:hAnsi="Times New Roman"/>
                <w:b/>
                <w:noProof/>
                <w:sz w:val="20"/>
              </w:rPr>
              <w:t>Pričakovano število ljudi, ki jih bo projekt dosegel</w:t>
            </w:r>
            <w:r>
              <w:rPr>
                <w:rFonts w:ascii="Times New Roman" w:hAnsi="Times New Roman"/>
                <w:noProof/>
                <w:sz w:val="20"/>
              </w:rPr>
              <w:t>: 151 200.</w:t>
            </w:r>
          </w:p>
          <w:p w14:paraId="3F97C34E" w14:textId="43404EB8" w:rsidR="00AD4CC4" w:rsidRPr="00917D91" w:rsidRDefault="00AD4CC4" w:rsidP="0030258C">
            <w:pPr>
              <w:pStyle w:val="NumPar1"/>
              <w:spacing w:after="0"/>
              <w:rPr>
                <w:rFonts w:ascii="Times New Roman" w:hAnsi="Times New Roman" w:cs="Times New Roman"/>
                <w:noProof/>
                <w:sz w:val="20"/>
                <w:szCs w:val="20"/>
              </w:rPr>
            </w:pPr>
          </w:p>
        </w:tc>
        <w:tc>
          <w:tcPr>
            <w:tcW w:w="1305" w:type="dxa"/>
            <w:vAlign w:val="center"/>
          </w:tcPr>
          <w:p w14:paraId="5669D7B4" w14:textId="690035EB" w:rsidR="00E72A50" w:rsidRPr="00917D91" w:rsidRDefault="00D61C7F" w:rsidP="00FF33A3">
            <w:pPr>
              <w:pStyle w:val="NumPar1"/>
              <w:spacing w:after="0"/>
              <w:jc w:val="center"/>
              <w:rPr>
                <w:rFonts w:ascii="Times New Roman" w:hAnsi="Times New Roman" w:cs="Times New Roman"/>
                <w:noProof/>
                <w:sz w:val="20"/>
                <w:szCs w:val="20"/>
              </w:rPr>
            </w:pPr>
            <w:r>
              <w:rPr>
                <w:rFonts w:ascii="Times New Roman" w:hAnsi="Times New Roman"/>
                <w:b/>
                <w:noProof/>
                <w:sz w:val="20"/>
              </w:rPr>
              <w:t>Skupni stroški:</w:t>
            </w:r>
            <w:r>
              <w:rPr>
                <w:rFonts w:ascii="Times New Roman" w:hAnsi="Times New Roman"/>
                <w:noProof/>
                <w:sz w:val="20"/>
              </w:rPr>
              <w:t xml:space="preserve"> 116 milijonov EUR</w:t>
            </w:r>
          </w:p>
          <w:p w14:paraId="5CC8AB25" w14:textId="77777777" w:rsidR="002E22EC" w:rsidRPr="00917D91" w:rsidRDefault="002E22EC" w:rsidP="00154714">
            <w:pPr>
              <w:pStyle w:val="NumPar1"/>
              <w:spacing w:after="0"/>
              <w:jc w:val="center"/>
              <w:rPr>
                <w:rFonts w:ascii="Times New Roman" w:hAnsi="Times New Roman" w:cs="Times New Roman"/>
                <w:noProof/>
                <w:sz w:val="20"/>
                <w:szCs w:val="20"/>
              </w:rPr>
            </w:pPr>
          </w:p>
          <w:p w14:paraId="609DD55F" w14:textId="6AF38526" w:rsidR="00D61C7F" w:rsidRPr="00917D91" w:rsidRDefault="00D61C7F" w:rsidP="00993941">
            <w:pPr>
              <w:pStyle w:val="NumPar1"/>
              <w:spacing w:after="120"/>
              <w:jc w:val="center"/>
              <w:rPr>
                <w:rFonts w:ascii="Times New Roman" w:hAnsi="Times New Roman" w:cs="Times New Roman"/>
                <w:noProof/>
                <w:sz w:val="20"/>
                <w:szCs w:val="20"/>
              </w:rPr>
            </w:pPr>
            <w:r>
              <w:rPr>
                <w:rFonts w:ascii="Times New Roman" w:hAnsi="Times New Roman"/>
                <w:b/>
                <w:noProof/>
                <w:sz w:val="20"/>
              </w:rPr>
              <w:t>Posojilo Evropske investicijske banke:</w:t>
            </w:r>
            <w:r>
              <w:rPr>
                <w:rFonts w:ascii="Times New Roman" w:hAnsi="Times New Roman"/>
                <w:noProof/>
                <w:sz w:val="20"/>
              </w:rPr>
              <w:t xml:space="preserve"> 84 milijonov EUR (73 %)</w:t>
            </w:r>
          </w:p>
          <w:p w14:paraId="220F8D75" w14:textId="3D7A0E57" w:rsidR="00D61C7F" w:rsidRPr="00917D91" w:rsidRDefault="00D61C7F" w:rsidP="00993941">
            <w:pPr>
              <w:pStyle w:val="NumPar1"/>
              <w:spacing w:after="120"/>
              <w:jc w:val="center"/>
              <w:rPr>
                <w:rFonts w:ascii="Times New Roman" w:hAnsi="Times New Roman" w:cs="Times New Roman"/>
                <w:noProof/>
                <w:sz w:val="20"/>
                <w:szCs w:val="20"/>
              </w:rPr>
            </w:pPr>
            <w:r>
              <w:rPr>
                <w:rFonts w:ascii="Times New Roman" w:hAnsi="Times New Roman"/>
                <w:b/>
                <w:noProof/>
                <w:sz w:val="20"/>
              </w:rPr>
              <w:t>Nepovratna sredstva v okviru instrumenta za posojila v javnem sektorju:</w:t>
            </w:r>
            <w:r>
              <w:rPr>
                <w:rFonts w:ascii="Times New Roman" w:hAnsi="Times New Roman"/>
                <w:noProof/>
                <w:sz w:val="20"/>
              </w:rPr>
              <w:t xml:space="preserve"> 21 milijonov EUR (18 %)</w:t>
            </w:r>
          </w:p>
          <w:p w14:paraId="49B28337" w14:textId="6AB33EA9" w:rsidR="00D61C7F" w:rsidRPr="00917D91" w:rsidRDefault="00D61C7F" w:rsidP="00993941">
            <w:pPr>
              <w:pStyle w:val="NumPar1"/>
              <w:jc w:val="center"/>
              <w:rPr>
                <w:rFonts w:ascii="Times New Roman" w:hAnsi="Times New Roman" w:cs="Times New Roman"/>
                <w:noProof/>
                <w:sz w:val="20"/>
                <w:szCs w:val="20"/>
              </w:rPr>
            </w:pPr>
            <w:r>
              <w:rPr>
                <w:rFonts w:ascii="Times New Roman" w:hAnsi="Times New Roman"/>
                <w:b/>
                <w:noProof/>
                <w:sz w:val="20"/>
              </w:rPr>
              <w:t>Financiranje z lastnimi sredstvi:</w:t>
            </w:r>
            <w:r>
              <w:rPr>
                <w:rFonts w:ascii="Times New Roman" w:hAnsi="Times New Roman"/>
                <w:noProof/>
                <w:sz w:val="20"/>
              </w:rPr>
              <w:t xml:space="preserve"> 10,5 milijonov EUR (9 %)</w:t>
            </w:r>
          </w:p>
          <w:p w14:paraId="2A98F34C" w14:textId="77777777" w:rsidR="00D61C7F" w:rsidRPr="00917D91" w:rsidRDefault="00D61C7F" w:rsidP="00993941">
            <w:pPr>
              <w:pStyle w:val="NumPar1"/>
              <w:jc w:val="center"/>
              <w:rPr>
                <w:rFonts w:ascii="Times New Roman" w:hAnsi="Times New Roman" w:cs="Times New Roman"/>
                <w:noProof/>
                <w:sz w:val="20"/>
                <w:szCs w:val="20"/>
              </w:rPr>
            </w:pPr>
          </w:p>
        </w:tc>
        <w:tc>
          <w:tcPr>
            <w:tcW w:w="1530" w:type="dxa"/>
            <w:vAlign w:val="center"/>
          </w:tcPr>
          <w:p w14:paraId="18BBE0D5" w14:textId="3928D3C3" w:rsidR="00D61C7F" w:rsidRPr="00917D91" w:rsidRDefault="00D61C7F" w:rsidP="00993941">
            <w:pPr>
              <w:pStyle w:val="NumPar1"/>
              <w:jc w:val="center"/>
              <w:rPr>
                <w:rFonts w:ascii="Times New Roman" w:hAnsi="Times New Roman" w:cs="Times New Roman"/>
                <w:b/>
                <w:bCs/>
                <w:noProof/>
                <w:sz w:val="20"/>
                <w:szCs w:val="20"/>
              </w:rPr>
            </w:pPr>
            <w:r>
              <w:rPr>
                <w:rFonts w:ascii="Times New Roman" w:hAnsi="Times New Roman"/>
                <w:b/>
                <w:noProof/>
                <w:sz w:val="20"/>
              </w:rPr>
              <w:t>Podpis sporazuma o nepovratnih sredstvih: 16. julij 2024</w:t>
            </w:r>
          </w:p>
          <w:p w14:paraId="7AAD12C8" w14:textId="77777777" w:rsidR="00D61C7F" w:rsidRPr="00917D91" w:rsidRDefault="00D61C7F" w:rsidP="00993941">
            <w:pPr>
              <w:pStyle w:val="NumPar1"/>
              <w:jc w:val="center"/>
              <w:rPr>
                <w:rFonts w:ascii="Times New Roman" w:hAnsi="Times New Roman" w:cs="Times New Roman"/>
                <w:b/>
                <w:bCs/>
                <w:noProof/>
                <w:sz w:val="20"/>
                <w:szCs w:val="20"/>
              </w:rPr>
            </w:pPr>
            <w:r>
              <w:rPr>
                <w:rFonts w:ascii="Times New Roman" w:hAnsi="Times New Roman"/>
                <w:b/>
                <w:noProof/>
                <w:sz w:val="20"/>
              </w:rPr>
              <w:t>Datum začetka: 19. julij 2024</w:t>
            </w:r>
          </w:p>
          <w:p w14:paraId="5AF13117" w14:textId="5CB686D4" w:rsidR="00D61C7F" w:rsidRPr="00917D91" w:rsidRDefault="00D61C7F" w:rsidP="00993941">
            <w:pPr>
              <w:pStyle w:val="NumPar1"/>
              <w:jc w:val="center"/>
              <w:rPr>
                <w:rFonts w:ascii="Times New Roman" w:hAnsi="Times New Roman" w:cs="Times New Roman"/>
                <w:noProof/>
                <w:sz w:val="20"/>
                <w:szCs w:val="20"/>
              </w:rPr>
            </w:pPr>
            <w:r>
              <w:rPr>
                <w:rFonts w:ascii="Times New Roman" w:hAnsi="Times New Roman"/>
                <w:b/>
                <w:noProof/>
                <w:sz w:val="20"/>
              </w:rPr>
              <w:t>Trajanje: 52 mesecev</w:t>
            </w:r>
          </w:p>
        </w:tc>
      </w:tr>
      <w:bookmarkEnd w:id="11"/>
      <w:bookmarkEnd w:id="12"/>
    </w:tbl>
    <w:p w14:paraId="0A729433" w14:textId="77777777" w:rsidR="008C3B92" w:rsidRDefault="008C3B92" w:rsidP="008C3B92">
      <w:pPr>
        <w:pStyle w:val="NumPar1"/>
        <w:rPr>
          <w:b/>
          <w:bCs/>
          <w:noProof/>
        </w:rPr>
      </w:pPr>
    </w:p>
    <w:p w14:paraId="52474DEC" w14:textId="4AE39170" w:rsidR="008C3B92" w:rsidRDefault="00902650" w:rsidP="00967CEC">
      <w:pPr>
        <w:pStyle w:val="NumPar1"/>
        <w:numPr>
          <w:ilvl w:val="1"/>
          <w:numId w:val="20"/>
        </w:numPr>
        <w:spacing w:after="120"/>
        <w:rPr>
          <w:b/>
          <w:bCs/>
          <w:noProof/>
        </w:rPr>
      </w:pPr>
      <w:r>
        <w:rPr>
          <w:b/>
          <w:noProof/>
        </w:rPr>
        <w:t>Morebitni predlogi projektov</w:t>
      </w:r>
    </w:p>
    <w:p w14:paraId="0EC2EACD" w14:textId="021DCAA6" w:rsidR="00FE079E" w:rsidRDefault="003068ED" w:rsidP="00843E89">
      <w:pPr>
        <w:spacing w:before="120" w:after="120"/>
        <w:rPr>
          <w:noProof/>
        </w:rPr>
      </w:pPr>
      <w:r>
        <w:rPr>
          <w:noProof/>
        </w:rPr>
        <w:t>Na podlagi izmenjav z EIB in drugimi deležniki instrumenta za posojila v javnem sektorju se pripravljajo predlogi projektov v šestih državah članicah, ki bi se lahko predložili do naslednjih rokov razpisa za zbiranje predlogov v okviru instrumenta za posojila v javnem sektorju. Ti morebitni predlogi projektov so povezani s sektorji energije iz obnovljivih virov, energijske učinkovitosti, javnozdravstvene infrastrukture in drugimi sektorji, ki so skladni z odobrenimi območnimi načrti za pravični prehod. Komisija ocenjuje, da bi bila za njihovo financiranje potrebna nepovratna sredstva v višini nad 100 milijonov EUR.</w:t>
      </w:r>
    </w:p>
    <w:p w14:paraId="6B82AA0F" w14:textId="081D62DF" w:rsidR="00FE079E" w:rsidRPr="007D251F" w:rsidRDefault="00646011" w:rsidP="00843E89">
      <w:pPr>
        <w:spacing w:before="120" w:after="120"/>
        <w:rPr>
          <w:noProof/>
        </w:rPr>
      </w:pPr>
      <w:r>
        <w:rPr>
          <w:noProof/>
        </w:rPr>
        <w:t>Poleg tega je povpraševanje po podpori v okviru Instrumenta mogoče opaziti v državah članicah, ki so že porabile svoje nacionalne dodelitve. Predlogi teh držav članic se lahko predložijo po objavi drugega razpisa za zbiranje predlogov v okviru instrumenta za posojila v javnem sektorju (torej po 31. decembru 2025).</w:t>
      </w:r>
    </w:p>
    <w:p w14:paraId="647FF528" w14:textId="77777777" w:rsidR="0089008F" w:rsidRDefault="00EC2308" w:rsidP="00FA0551">
      <w:pPr>
        <w:pStyle w:val="Heading1"/>
        <w:numPr>
          <w:ilvl w:val="0"/>
          <w:numId w:val="33"/>
        </w:numPr>
        <w:rPr>
          <w:noProof/>
        </w:rPr>
      </w:pPr>
      <w:bookmarkStart w:id="13" w:name="Tocka"/>
      <w:bookmarkEnd w:id="13"/>
      <w:r>
        <w:rPr>
          <w:rStyle w:val="Heading1Char"/>
          <w:b/>
          <w:smallCaps/>
          <w:noProof/>
        </w:rPr>
        <w:t>Dejavnosti komuniciranja</w:t>
      </w:r>
      <w:r>
        <w:rPr>
          <w:noProof/>
        </w:rPr>
        <w:t xml:space="preserve"> </w:t>
      </w:r>
    </w:p>
    <w:p w14:paraId="6D83540D" w14:textId="6FBE7877" w:rsidR="00035E17" w:rsidRDefault="00827897" w:rsidP="00967CEC">
      <w:pPr>
        <w:spacing w:after="120"/>
        <w:rPr>
          <w:noProof/>
        </w:rPr>
      </w:pPr>
      <w:bookmarkStart w:id="14" w:name="_Hlk165984392"/>
      <w:r>
        <w:rPr>
          <w:noProof/>
        </w:rPr>
        <w:t>Komisija ob podpori CINEA in EIB še naprej ozavešča o Instrumentu. S skupnimi ukrepi, ki so jih Komisija, EIB in CINEA izvedle med 1. septembrom 2023 in 30. julijem 2024, je bilo doseženo naslednje:</w:t>
      </w:r>
    </w:p>
    <w:p w14:paraId="010593EF" w14:textId="2E0184CB" w:rsidR="00A650CF" w:rsidRDefault="00A63B68" w:rsidP="00917D91">
      <w:pPr>
        <w:pStyle w:val="Text1"/>
        <w:numPr>
          <w:ilvl w:val="0"/>
          <w:numId w:val="27"/>
        </w:numPr>
        <w:spacing w:before="120" w:after="120"/>
        <w:rPr>
          <w:noProof/>
        </w:rPr>
      </w:pPr>
      <w:r>
        <w:rPr>
          <w:noProof/>
        </w:rPr>
        <w:t>20 sestankov z javnimi organi na nacionalni, regionalni in lokalni ravni,</w:t>
      </w:r>
    </w:p>
    <w:p w14:paraId="0984499B" w14:textId="4318F0F1" w:rsidR="0016206E" w:rsidRPr="00350B23" w:rsidRDefault="002211A6" w:rsidP="00917D91">
      <w:pPr>
        <w:pStyle w:val="Text1"/>
        <w:numPr>
          <w:ilvl w:val="0"/>
          <w:numId w:val="27"/>
        </w:numPr>
        <w:spacing w:before="120" w:after="120"/>
        <w:rPr>
          <w:noProof/>
        </w:rPr>
      </w:pPr>
      <w:r>
        <w:rPr>
          <w:noProof/>
        </w:rPr>
        <w:t>trije sestanki z nacionalnimi spodbujevalnimi bankami in institucijami,</w:t>
      </w:r>
    </w:p>
    <w:p w14:paraId="15ECD7E5" w14:textId="0B503697" w:rsidR="0050365F" w:rsidRPr="00350B23" w:rsidRDefault="00BD54D1" w:rsidP="00917D91">
      <w:pPr>
        <w:pStyle w:val="Text1"/>
        <w:numPr>
          <w:ilvl w:val="0"/>
          <w:numId w:val="27"/>
        </w:numPr>
        <w:spacing w:before="120" w:after="120"/>
        <w:rPr>
          <w:noProof/>
        </w:rPr>
      </w:pPr>
      <w:r>
        <w:rPr>
          <w:noProof/>
        </w:rPr>
        <w:t>štirje sestanki z notranjimi (Delovna skupina za strukturne ukrepe in najbolj oddaljene regije) in zunanjimi (Evropska konfederacija sindikatov (ETUC), Bankwatch) deležniki,</w:t>
      </w:r>
    </w:p>
    <w:p w14:paraId="21AF240C" w14:textId="6E826CDB" w:rsidR="00D67AA5" w:rsidRPr="00350B23" w:rsidRDefault="00D67AA5" w:rsidP="00917D91">
      <w:pPr>
        <w:pStyle w:val="Text1"/>
        <w:numPr>
          <w:ilvl w:val="0"/>
          <w:numId w:val="27"/>
        </w:numPr>
        <w:spacing w:before="120" w:after="120"/>
        <w:rPr>
          <w:noProof/>
        </w:rPr>
      </w:pPr>
      <w:r>
        <w:rPr>
          <w:noProof/>
        </w:rPr>
        <w:t>predstavitev instrumenta za posojila v javnem sektorju na sedmih tematsko povezanih dogodkih (predstavitve, izmenjave vprašanj in odgovorov, namenske stojnice), med drugim v okviru evropskega tedna regij in mest (10. oktober 2023), na dogodku češkega predsedstva Višegrajske skupine „Od premogovniških regij do prihodnosti pravičnega prehoda“ v mestu Ústí nad Labem (11. oktober 2023), na naložbenem forumu konvencije županov (25. oktober 2023), Ecomondu (7.–10. november 2023), v kavnem kotičku instrumenta za posojila v javnem sektorju na konferenci platforme za pravični prehod (16.–17. april 2024), v okviru Zelenega tedna EU (29.–30. maj 2024) in evropskega tedna trajnostne energije (11.–13. junij 2024),</w:t>
      </w:r>
    </w:p>
    <w:p w14:paraId="45F89660" w14:textId="1F4B0657" w:rsidR="00373A02" w:rsidRPr="00350B23" w:rsidRDefault="00373A02" w:rsidP="00917D91">
      <w:pPr>
        <w:pStyle w:val="Text1"/>
        <w:numPr>
          <w:ilvl w:val="0"/>
          <w:numId w:val="27"/>
        </w:numPr>
        <w:spacing w:before="120" w:after="120"/>
        <w:rPr>
          <w:noProof/>
        </w:rPr>
      </w:pPr>
      <w:r>
        <w:rPr>
          <w:noProof/>
        </w:rPr>
        <w:t>uvodni sestanek za grški projekt v Zahodni Makedoniji v Grčiji (5.–7. marec 2024), slovesnost ob podpisu sporazuma o nepovratnih sredstvih za švedski projekt v Bruslju (10. april 2024) in velika slovesnost ob začetku gradnje koncertne dvorane v Ostravi na Češkem (19. julij 2024),</w:t>
      </w:r>
    </w:p>
    <w:p w14:paraId="228CC3D6" w14:textId="03A0CA9D" w:rsidR="00D67AA5" w:rsidRPr="00350B23" w:rsidRDefault="00177126" w:rsidP="00917D91">
      <w:pPr>
        <w:pStyle w:val="Text1"/>
        <w:numPr>
          <w:ilvl w:val="0"/>
          <w:numId w:val="27"/>
        </w:numPr>
        <w:spacing w:before="120" w:after="120"/>
        <w:rPr>
          <w:noProof/>
        </w:rPr>
      </w:pPr>
      <w:r>
        <w:rPr>
          <w:noProof/>
        </w:rPr>
        <w:t>82 objav, sporočil za javnost in drugih člankov, objavljenih v različnih tematskih biltenih, na spletnih mestih in v družbenih medijih,</w:t>
      </w:r>
    </w:p>
    <w:p w14:paraId="1FC99EC6" w14:textId="081C5C7D" w:rsidR="00035E17" w:rsidRPr="00350B23" w:rsidRDefault="00035E17" w:rsidP="00917D91">
      <w:pPr>
        <w:pStyle w:val="Text1"/>
        <w:numPr>
          <w:ilvl w:val="0"/>
          <w:numId w:val="27"/>
        </w:numPr>
        <w:spacing w:before="120" w:after="120"/>
        <w:rPr>
          <w:noProof/>
        </w:rPr>
      </w:pPr>
      <w:r>
        <w:rPr>
          <w:noProof/>
        </w:rPr>
        <w:t>objava promocijskih</w:t>
      </w:r>
      <w:r w:rsidRPr="00350B23">
        <w:rPr>
          <w:rStyle w:val="FootnoteReference"/>
          <w:noProof/>
        </w:rPr>
        <w:footnoteReference w:id="16"/>
      </w:r>
      <w:r>
        <w:rPr>
          <w:noProof/>
        </w:rPr>
        <w:t xml:space="preserve"> in izobraževalnih</w:t>
      </w:r>
      <w:r w:rsidRPr="00350B23">
        <w:rPr>
          <w:rStyle w:val="FootnoteReference"/>
          <w:noProof/>
        </w:rPr>
        <w:footnoteReference w:id="17"/>
      </w:r>
      <w:r>
        <w:rPr>
          <w:noProof/>
        </w:rPr>
        <w:t xml:space="preserve"> videoposnetkov o instrumentu za posojila v javnem sektorju in</w:t>
      </w:r>
    </w:p>
    <w:p w14:paraId="7B5FD48D" w14:textId="233EA357" w:rsidR="00D67AA5" w:rsidRPr="00350B23" w:rsidRDefault="00D67AA5" w:rsidP="00917D91">
      <w:pPr>
        <w:pStyle w:val="Text1"/>
        <w:numPr>
          <w:ilvl w:val="0"/>
          <w:numId w:val="27"/>
        </w:numPr>
        <w:spacing w:before="120" w:after="120"/>
        <w:rPr>
          <w:noProof/>
        </w:rPr>
      </w:pPr>
      <w:r>
        <w:rPr>
          <w:noProof/>
        </w:rPr>
        <w:t>objava 76 pogostih vprašanj na portalu EU za financiranje in javna naročila.</w:t>
      </w:r>
    </w:p>
    <w:p w14:paraId="3AC1D85D" w14:textId="5ED8BB0C" w:rsidR="00855141" w:rsidRDefault="008F436B" w:rsidP="00962069">
      <w:pPr>
        <w:pStyle w:val="Caption"/>
        <w:keepNext/>
        <w:jc w:val="center"/>
        <w:rPr>
          <w:noProof/>
          <w:sz w:val="24"/>
          <w:szCs w:val="22"/>
        </w:rPr>
      </w:pPr>
      <w:r>
        <w:rPr>
          <w:noProof/>
        </w:rPr>
        <w:t>Slika </w:t>
      </w:r>
      <w:r w:rsidR="008E5E43">
        <w:rPr>
          <w:noProof/>
        </w:rPr>
        <w:fldChar w:fldCharType="begin"/>
      </w:r>
      <w:r w:rsidR="008E5E43">
        <w:rPr>
          <w:noProof/>
        </w:rPr>
        <w:instrText xml:space="preserve"> SEQ Figure \* ARABIC </w:instrText>
      </w:r>
      <w:r w:rsidR="008E5E43">
        <w:rPr>
          <w:noProof/>
        </w:rPr>
        <w:fldChar w:fldCharType="separate"/>
      </w:r>
      <w:r w:rsidR="00316D68">
        <w:rPr>
          <w:noProof/>
        </w:rPr>
        <w:t>2</w:t>
      </w:r>
      <w:r w:rsidR="008E5E43">
        <w:rPr>
          <w:noProof/>
        </w:rPr>
        <w:fldChar w:fldCharType="end"/>
      </w:r>
      <w:r>
        <w:rPr>
          <w:noProof/>
        </w:rPr>
        <w:t xml:space="preserve"> </w:t>
      </w:r>
      <w:r>
        <w:rPr>
          <w:noProof/>
          <w:sz w:val="24"/>
        </w:rPr>
        <w:t>Dogodki po državah članicah</w:t>
      </w:r>
    </w:p>
    <w:p w14:paraId="7C04F8B0" w14:textId="01779F40" w:rsidR="00A63B68" w:rsidRPr="00DE2625" w:rsidRDefault="005119A7" w:rsidP="00154714">
      <w:pPr>
        <w:jc w:val="center"/>
        <w:rPr>
          <w:noProof/>
        </w:rPr>
      </w:pPr>
      <w:r w:rsidRPr="005119A7">
        <w:rPr>
          <w:noProof/>
          <w:lang w:val="en-GB" w:eastAsia="en-GB"/>
        </w:rPr>
        <w:drawing>
          <wp:inline distT="0" distB="0" distL="0" distR="0" wp14:anchorId="698532F3" wp14:editId="45370B42">
            <wp:extent cx="4587240" cy="2689860"/>
            <wp:effectExtent l="0" t="0" r="3810" b="0"/>
            <wp:docPr id="7005978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87240" cy="2689860"/>
                    </a:xfrm>
                    <a:prstGeom prst="rect">
                      <a:avLst/>
                    </a:prstGeom>
                    <a:noFill/>
                    <a:ln>
                      <a:noFill/>
                    </a:ln>
                  </pic:spPr>
                </pic:pic>
              </a:graphicData>
            </a:graphic>
          </wp:inline>
        </w:drawing>
      </w:r>
    </w:p>
    <w:p w14:paraId="57152D68" w14:textId="531C7F83" w:rsidR="000551FD" w:rsidRDefault="000C2D1B" w:rsidP="00843E89">
      <w:pPr>
        <w:spacing w:before="120" w:after="120"/>
        <w:rPr>
          <w:noProof/>
        </w:rPr>
      </w:pPr>
      <w:r>
        <w:rPr>
          <w:noProof/>
        </w:rPr>
        <w:t>Z vsemi državami članicami je bil vzpostavljen stik in lahko so se udeležile informativnega sestanka o instrumentu za posojila v javnem sektorju</w:t>
      </w:r>
      <w:r w:rsidR="00CC4303" w:rsidRPr="00702587">
        <w:rPr>
          <w:noProof/>
          <w:vertAlign w:val="superscript"/>
        </w:rPr>
        <w:footnoteReference w:id="18"/>
      </w:r>
      <w:r>
        <w:rPr>
          <w:noProof/>
        </w:rPr>
        <w:t xml:space="preserve">. Od začetka izvajanja instrumenta za posojila v javnem sektorju je bilo organiziranih skupno 110 sestankov, od tega 66 z državami članicami ter 36 z notranjimi in zunanjimi deležniki; Instrument je bil predstavljen na 28 tematskih dogodkih, v različnih tematskih biltenih, na spletnih mestih ter v družbenih medijih pa je bilo objavljenih 161 objav in člankov, vključno s sporočili za javnost. Poleg tega so bili objavljeni dve brošuri in štirje videoposnetki. </w:t>
      </w:r>
    </w:p>
    <w:p w14:paraId="3AFC22CD" w14:textId="7C45F790" w:rsidR="004F33E7" w:rsidRDefault="004276D7" w:rsidP="00843E89">
      <w:pPr>
        <w:spacing w:before="120" w:after="120"/>
        <w:rPr>
          <w:noProof/>
        </w:rPr>
      </w:pPr>
      <w:r>
        <w:rPr>
          <w:noProof/>
        </w:rPr>
        <w:t>Poleg tega CINEA objavlja javno spletno pregledno ploščo, na kateri so predstavljeni vsi programi, ki jih upravlja, vključno z instrumentom za posojila v javnem sektorju</w:t>
      </w:r>
      <w:r w:rsidR="00C80A68" w:rsidRPr="00350B23">
        <w:rPr>
          <w:noProof/>
          <w:vertAlign w:val="superscript"/>
        </w:rPr>
        <w:footnoteReference w:id="19"/>
      </w:r>
      <w:r>
        <w:rPr>
          <w:noProof/>
        </w:rPr>
        <w:t>. Pregledna plošča vsebuje najnovejše informacije o projektih, podprtih v okviru vsakega programa, in povezave med njimi ter omogoča pridobitev podatkov za morebitno ponovno uporabo.</w:t>
      </w:r>
    </w:p>
    <w:p w14:paraId="0BADBD61" w14:textId="299E7B14" w:rsidR="008F436B" w:rsidRDefault="008F436B" w:rsidP="00644B12">
      <w:pPr>
        <w:pStyle w:val="Caption"/>
        <w:keepNext/>
        <w:jc w:val="center"/>
        <w:rPr>
          <w:noProof/>
        </w:rPr>
      </w:pPr>
      <w:r>
        <w:rPr>
          <w:noProof/>
        </w:rPr>
        <w:t>Slika </w:t>
      </w:r>
      <w:r w:rsidR="008E5E43">
        <w:rPr>
          <w:noProof/>
        </w:rPr>
        <w:fldChar w:fldCharType="begin"/>
      </w:r>
      <w:r w:rsidR="008E5E43">
        <w:rPr>
          <w:noProof/>
        </w:rPr>
        <w:instrText xml:space="preserve"> SEQ Figure \* ARABIC </w:instrText>
      </w:r>
      <w:r w:rsidR="008E5E43">
        <w:rPr>
          <w:noProof/>
        </w:rPr>
        <w:fldChar w:fldCharType="separate"/>
      </w:r>
      <w:r w:rsidR="00316D68">
        <w:rPr>
          <w:noProof/>
        </w:rPr>
        <w:t>3</w:t>
      </w:r>
      <w:r w:rsidR="008E5E43">
        <w:rPr>
          <w:noProof/>
        </w:rPr>
        <w:fldChar w:fldCharType="end"/>
      </w:r>
      <w:r>
        <w:rPr>
          <w:noProof/>
        </w:rPr>
        <w:t xml:space="preserve"> Spletna javna pregledna plošča CINEA s pregledom projektov v okviru instrumenta za posojila v javnem sektorju</w:t>
      </w:r>
    </w:p>
    <w:p w14:paraId="20780ABE" w14:textId="221FA15B" w:rsidR="008F00C0" w:rsidRDefault="00855141" w:rsidP="00FC110B">
      <w:pPr>
        <w:pStyle w:val="Text1"/>
        <w:jc w:val="center"/>
        <w:rPr>
          <w:noProof/>
        </w:rPr>
      </w:pPr>
      <w:r>
        <w:rPr>
          <w:noProof/>
          <w:lang w:val="en-GB" w:eastAsia="en-GB"/>
        </w:rPr>
        <w:drawing>
          <wp:inline distT="0" distB="0" distL="0" distR="0" wp14:anchorId="327DE2D2" wp14:editId="1C75497E">
            <wp:extent cx="4590202" cy="2184889"/>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16666" cy="2197486"/>
                    </a:xfrm>
                    <a:prstGeom prst="rect">
                      <a:avLst/>
                    </a:prstGeom>
                    <a:noFill/>
                    <a:ln>
                      <a:noFill/>
                    </a:ln>
                  </pic:spPr>
                </pic:pic>
              </a:graphicData>
            </a:graphic>
          </wp:inline>
        </w:drawing>
      </w:r>
    </w:p>
    <w:p w14:paraId="362D6A14" w14:textId="49BFDD5F" w:rsidR="00035E17" w:rsidRDefault="35018170" w:rsidP="00843E89">
      <w:pPr>
        <w:spacing w:before="120" w:after="120"/>
        <w:rPr>
          <w:noProof/>
        </w:rPr>
      </w:pPr>
      <w:r>
        <w:rPr>
          <w:noProof/>
        </w:rPr>
        <w:t xml:space="preserve">Ker je Instrument na voljo subjektom zasebnega prava, ki jim je zaupano opravljanje javnih storitev, je Komisija poleg tega vzpostavila stike z različnimi sektorskimi organizacijami, med drugim s tistimi, ki zastopajo subjekte s področja kulture, daljinskega ogrevanja in hlajenja, operaterjev distribucijskih sistemov, zdravstva, izobraževanja, železnic, socialne infrastrukture in ravnanja z odpadki. Skupaj je bilo organiziranih devet srečanj z organizacijami, kot so E.DSO, Platforma za vseživljenjsko učenje, Euroheat&amp;Power, Municipal Waste Europe, Skupščina evropskih regij in EIM ter člani združenja Housing Europe. </w:t>
      </w:r>
      <w:bookmarkEnd w:id="14"/>
    </w:p>
    <w:p w14:paraId="0F47BD3B" w14:textId="04197A30" w:rsidR="002A3D60" w:rsidRDefault="002A3D60" w:rsidP="00644B12">
      <w:pPr>
        <w:pStyle w:val="Caption"/>
        <w:jc w:val="center"/>
        <w:rPr>
          <w:noProof/>
        </w:rPr>
      </w:pPr>
      <w:r>
        <w:rPr>
          <w:noProof/>
        </w:rPr>
        <w:t>Slika </w:t>
      </w:r>
      <w:r w:rsidR="008E5E43">
        <w:rPr>
          <w:noProof/>
        </w:rPr>
        <w:fldChar w:fldCharType="begin"/>
      </w:r>
      <w:r w:rsidR="008E5E43">
        <w:rPr>
          <w:noProof/>
        </w:rPr>
        <w:instrText xml:space="preserve"> SEQ Figure \* ARABIC </w:instrText>
      </w:r>
      <w:r w:rsidR="008E5E43">
        <w:rPr>
          <w:noProof/>
        </w:rPr>
        <w:fldChar w:fldCharType="separate"/>
      </w:r>
      <w:r w:rsidR="00316D68">
        <w:rPr>
          <w:noProof/>
        </w:rPr>
        <w:t>4</w:t>
      </w:r>
      <w:r w:rsidR="008E5E43">
        <w:rPr>
          <w:noProof/>
        </w:rPr>
        <w:fldChar w:fldCharType="end"/>
      </w:r>
      <w:r>
        <w:rPr>
          <w:noProof/>
        </w:rPr>
        <w:t xml:space="preserve"> Vrste subjektov, s katerimi </w:t>
      </w:r>
      <w:r w:rsidR="005119A7">
        <w:rPr>
          <w:noProof/>
        </w:rPr>
        <w:t>so</w:t>
      </w:r>
      <w:r>
        <w:rPr>
          <w:noProof/>
        </w:rPr>
        <w:t xml:space="preserve"> bil</w:t>
      </w:r>
      <w:r w:rsidR="005119A7">
        <w:rPr>
          <w:noProof/>
        </w:rPr>
        <w:t>i</w:t>
      </w:r>
      <w:r>
        <w:rPr>
          <w:noProof/>
        </w:rPr>
        <w:t xml:space="preserve"> vzpostavljen</w:t>
      </w:r>
      <w:r w:rsidR="005119A7">
        <w:rPr>
          <w:noProof/>
        </w:rPr>
        <w:t>i</w:t>
      </w:r>
      <w:r>
        <w:rPr>
          <w:noProof/>
        </w:rPr>
        <w:t xml:space="preserve"> stik</w:t>
      </w:r>
      <w:r w:rsidR="005119A7">
        <w:rPr>
          <w:noProof/>
        </w:rPr>
        <w:t>i</w:t>
      </w:r>
    </w:p>
    <w:p w14:paraId="0EE52EE5" w14:textId="5D976952" w:rsidR="00A63B68" w:rsidRDefault="005119A7" w:rsidP="00F154E3">
      <w:pPr>
        <w:pStyle w:val="Text1"/>
        <w:jc w:val="center"/>
        <w:rPr>
          <w:noProof/>
        </w:rPr>
      </w:pPr>
      <w:r w:rsidRPr="005119A7">
        <w:rPr>
          <w:noProof/>
          <w:lang w:val="en-GB" w:eastAsia="en-GB"/>
        </w:rPr>
        <w:drawing>
          <wp:inline distT="0" distB="0" distL="0" distR="0" wp14:anchorId="16D0CB40" wp14:editId="4C581DAD">
            <wp:extent cx="4587240" cy="3093720"/>
            <wp:effectExtent l="0" t="0" r="3810" b="0"/>
            <wp:docPr id="21451191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87240" cy="3093720"/>
                    </a:xfrm>
                    <a:prstGeom prst="rect">
                      <a:avLst/>
                    </a:prstGeom>
                    <a:noFill/>
                    <a:ln>
                      <a:noFill/>
                    </a:ln>
                  </pic:spPr>
                </pic:pic>
              </a:graphicData>
            </a:graphic>
          </wp:inline>
        </w:drawing>
      </w:r>
    </w:p>
    <w:p w14:paraId="75A08B6B" w14:textId="2B119018" w:rsidR="002C3A2E" w:rsidRDefault="002C3A2E">
      <w:pPr>
        <w:spacing w:after="0"/>
        <w:jc w:val="left"/>
        <w:rPr>
          <w:noProof/>
        </w:rPr>
      </w:pPr>
      <w:r>
        <w:rPr>
          <w:noProof/>
        </w:rPr>
        <w:br w:type="page"/>
      </w:r>
    </w:p>
    <w:p w14:paraId="5BD1A4E3" w14:textId="77777777" w:rsidR="002C3A2E" w:rsidRPr="00914667" w:rsidRDefault="002C3A2E" w:rsidP="00F154E3">
      <w:pPr>
        <w:pStyle w:val="Text1"/>
        <w:jc w:val="center"/>
        <w:rPr>
          <w:noProof/>
        </w:rPr>
      </w:pPr>
    </w:p>
    <w:p w14:paraId="420A4040" w14:textId="76E3C97F" w:rsidR="00FE079E" w:rsidRDefault="00FE079E" w:rsidP="007D251F">
      <w:pPr>
        <w:pStyle w:val="Heading1"/>
        <w:numPr>
          <w:ilvl w:val="0"/>
          <w:numId w:val="33"/>
        </w:numPr>
        <w:rPr>
          <w:noProof/>
        </w:rPr>
      </w:pPr>
      <w:r>
        <w:rPr>
          <w:noProof/>
        </w:rPr>
        <w:t>Doseženi napredek in nadaljnji koraki</w:t>
      </w:r>
    </w:p>
    <w:p w14:paraId="71866757" w14:textId="24A4CF09" w:rsidR="00FE079E" w:rsidRDefault="00FE079E" w:rsidP="00967CEC">
      <w:pPr>
        <w:pStyle w:val="NumPar1"/>
        <w:numPr>
          <w:ilvl w:val="1"/>
          <w:numId w:val="33"/>
        </w:numPr>
        <w:spacing w:after="120"/>
        <w:rPr>
          <w:b/>
          <w:bCs/>
          <w:noProof/>
        </w:rPr>
      </w:pPr>
      <w:r>
        <w:rPr>
          <w:b/>
          <w:noProof/>
        </w:rPr>
        <w:t>Izzivi</w:t>
      </w:r>
    </w:p>
    <w:p w14:paraId="7E1CE83B" w14:textId="7C7DDCCE" w:rsidR="00C92431" w:rsidRPr="002B056E" w:rsidRDefault="00BB01B9" w:rsidP="00843E89">
      <w:pPr>
        <w:spacing w:before="120" w:after="120"/>
        <w:rPr>
          <w:noProof/>
        </w:rPr>
      </w:pPr>
      <w:r>
        <w:rPr>
          <w:noProof/>
        </w:rPr>
        <w:t>Po dveh letih od objave prvega razpisa za zbiranje predlogov v okviru instrumenta za posojila v javnem sektorju je bila ugotovljena nizka stopnja črpanja, saj je njegov začetek sovpadal z načrtovanjem drugih skladov (tj. Sklada za pravični prehod, Evropskega sklada za regionalni razvoj</w:t>
      </w:r>
      <w:r w:rsidR="00A91B36">
        <w:rPr>
          <w:rStyle w:val="FootnoteReference"/>
          <w:noProof/>
        </w:rPr>
        <w:footnoteReference w:id="20"/>
      </w:r>
      <w:r>
        <w:rPr>
          <w:noProof/>
        </w:rPr>
        <w:t>, Kohezijskega sklada</w:t>
      </w:r>
      <w:r w:rsidR="00A91B36">
        <w:rPr>
          <w:rStyle w:val="FootnoteReference"/>
          <w:noProof/>
        </w:rPr>
        <w:footnoteReference w:id="21"/>
      </w:r>
      <w:r>
        <w:rPr>
          <w:noProof/>
        </w:rPr>
        <w:t xml:space="preserve"> ali mehanizma za okrevanje in odpornost</w:t>
      </w:r>
      <w:r w:rsidR="00A91B36">
        <w:rPr>
          <w:rStyle w:val="FootnoteReference"/>
          <w:noProof/>
        </w:rPr>
        <w:footnoteReference w:id="22"/>
      </w:r>
      <w:r>
        <w:rPr>
          <w:noProof/>
        </w:rPr>
        <w:t>), ki so zagotavljali financiranje za podobne projekte pod privlačnejšimi pogoji (višji delež financiranja z nepovratnimi sredstvi v celotnem proračunu projektov). Poleg tega je bilo ugotovljeno, da bi se lahko izvajanje instrumenta za posojila v javnem sektorju med državami članicami zelo razlikovalo glede na dejavnike, kot so obseg razpoložljivih alternativnih virov financiranja na nacionalni ravni, razpoložljivost zrelih projektov, različne ravni strategij pravičnega prehoda in različni pristopi k dolžniškim instrumentom.</w:t>
      </w:r>
    </w:p>
    <w:p w14:paraId="78E4EC89" w14:textId="3029BC45" w:rsidR="00FD0732" w:rsidRDefault="00C92431" w:rsidP="00843E89">
      <w:pPr>
        <w:spacing w:before="120" w:after="120"/>
        <w:rPr>
          <w:noProof/>
        </w:rPr>
      </w:pPr>
      <w:r>
        <w:rPr>
          <w:noProof/>
        </w:rPr>
        <w:t>V zvezi z Instrumentom je še vedno prisotna večina omejitev ki so bile podrobno opisane v drugem letnem poročilu o njegovem izvajanju</w:t>
      </w:r>
      <w:r w:rsidR="00E01C7C">
        <w:rPr>
          <w:rStyle w:val="FootnoteReference"/>
          <w:noProof/>
        </w:rPr>
        <w:footnoteReference w:id="23"/>
      </w:r>
      <w:r>
        <w:rPr>
          <w:noProof/>
        </w:rPr>
        <w:t>. To velja zlasti za države članice z najvišjimi nacionalnimi sredstvi (Nemčija, Poljska, Romunija), ki sploh niso predložile projektov ali pa so jih predložile zelo malo. Ugotovljeno je bilo, da je uporaba Instrumenta v teh državah članicah počasna med drugim zaradi naslednjih dejavnikov:</w:t>
      </w:r>
    </w:p>
    <w:p w14:paraId="07E72E65" w14:textId="4935777A" w:rsidR="00FD4F2F" w:rsidRPr="00505252" w:rsidRDefault="008047D0" w:rsidP="00917D91">
      <w:pPr>
        <w:pStyle w:val="Text1"/>
        <w:numPr>
          <w:ilvl w:val="0"/>
          <w:numId w:val="27"/>
        </w:numPr>
        <w:spacing w:before="120" w:after="120"/>
        <w:rPr>
          <w:noProof/>
        </w:rPr>
      </w:pPr>
      <w:r>
        <w:rPr>
          <w:noProof/>
        </w:rPr>
        <w:t>nacionalne dodelitve v okviru instrumenta za posojila v javnem sektorju so v skladu z uredbo o Skladu za pravični prehod (SPP). Zato imajo pri obeh instrumentih iste države članice najvišje dodelitve. Njihova prednostna naloga je torej poraba sredstev, ki so na voljo v okviru SPP, saj je čas za črpanje njegovih sredstev omejen</w:t>
      </w:r>
      <w:r w:rsidRPr="00A86832">
        <w:rPr>
          <w:noProof/>
          <w:vertAlign w:val="superscript"/>
        </w:rPr>
        <w:footnoteReference w:id="24"/>
      </w:r>
      <w:r>
        <w:rPr>
          <w:noProof/>
        </w:rPr>
        <w:t>. Poleg tega je v okviru Sklada za pravični prehod zagotovljen večji delež financiranja z nepovratnimi sredstvi v skupnih proračunih projektov (Nemčija, Poljska, Romunija);</w:t>
      </w:r>
    </w:p>
    <w:p w14:paraId="5A794944" w14:textId="3D980EE4" w:rsidR="00FD0732" w:rsidRPr="00505252" w:rsidRDefault="00973C8B" w:rsidP="00917D91">
      <w:pPr>
        <w:pStyle w:val="Text1"/>
        <w:numPr>
          <w:ilvl w:val="0"/>
          <w:numId w:val="27"/>
        </w:numPr>
        <w:spacing w:before="120" w:after="120"/>
        <w:rPr>
          <w:noProof/>
        </w:rPr>
      </w:pPr>
      <w:r>
        <w:rPr>
          <w:noProof/>
        </w:rPr>
        <w:t>nekatere države članice so običajno tudi prejemnice največjih sredstev iz drugih skladov, zato lahko dodatna sredstva uporabijo le v omejenem obsegu (Poljska, Romunija);</w:t>
      </w:r>
    </w:p>
    <w:p w14:paraId="3C8D294F" w14:textId="175E9287" w:rsidR="00FD0732" w:rsidRPr="00505252" w:rsidRDefault="00BC4550" w:rsidP="00917D91">
      <w:pPr>
        <w:pStyle w:val="Text1"/>
        <w:numPr>
          <w:ilvl w:val="0"/>
          <w:numId w:val="27"/>
        </w:numPr>
        <w:spacing w:before="120" w:after="120"/>
        <w:rPr>
          <w:noProof/>
        </w:rPr>
      </w:pPr>
      <w:r>
        <w:rPr>
          <w:noProof/>
        </w:rPr>
        <w:t>na voljo je privlačnejše in dostopnejše financiranje iz nacionalnih virov (Nemčija);</w:t>
      </w:r>
    </w:p>
    <w:p w14:paraId="5830E47B" w14:textId="037DD6B1" w:rsidR="00FD0732" w:rsidRPr="00FD4F2F" w:rsidRDefault="00BC4550" w:rsidP="00917D91">
      <w:pPr>
        <w:pStyle w:val="Text1"/>
        <w:numPr>
          <w:ilvl w:val="0"/>
          <w:numId w:val="27"/>
        </w:numPr>
        <w:spacing w:before="120" w:after="120"/>
        <w:rPr>
          <w:noProof/>
        </w:rPr>
      </w:pPr>
      <w:r>
        <w:rPr>
          <w:noProof/>
        </w:rPr>
        <w:t>raven dolga malih upravičencev otežuje uporabo dolžniških instrumentov (Poljska) ali nacionalni predpisi o javnem zadolževanju upravičenim upravičencem preprečujejo zadolževanje.</w:t>
      </w:r>
    </w:p>
    <w:p w14:paraId="2BD462D4" w14:textId="35B1612A" w:rsidR="00974BA5" w:rsidRPr="008047D0" w:rsidRDefault="002276E1" w:rsidP="00843E89">
      <w:pPr>
        <w:spacing w:before="120" w:after="120"/>
        <w:rPr>
          <w:b/>
          <w:bCs/>
          <w:noProof/>
        </w:rPr>
      </w:pPr>
      <w:r>
        <w:rPr>
          <w:noProof/>
        </w:rPr>
        <w:t>Podrobnejša analiza in ocena izzivov, ki so se pojavili med izvajanjem Instrumenta, bosta izvedeni z vmesnim ocenjevanjem instrumenta za posojila v javnem sektorju, ki ga je treba izvesti do junija 2025 (glej oddelek 4.4).</w:t>
      </w:r>
    </w:p>
    <w:p w14:paraId="698510A3" w14:textId="05A18985" w:rsidR="00480583" w:rsidRDefault="00FB14A4" w:rsidP="00843E89">
      <w:pPr>
        <w:spacing w:before="120" w:after="120"/>
        <w:rPr>
          <w:rFonts w:eastAsia="Arial" w:cs="Arial"/>
          <w:noProof/>
        </w:rPr>
      </w:pPr>
      <w:r>
        <w:rPr>
          <w:noProof/>
        </w:rPr>
        <w:t xml:space="preserve">Kot je pojasnjeno v oddelku 1.1, je bil instrument za posojila v javnem sektorju vključen v revizijo VFO za obdobje 2021–2027, zaradi česar se je zmanjšal proračun, ki je na voljo v okviru Instrumenta. Nacionalni deleži v okviru instrumenta za posojila v javnem sektorju so izračunani sorazmerno z njegovim skupnim proračunom, ki je na voljo za nepovratna sredstva, zato so bili prav tako popravljeni navzdol. Zaradi revizije se je pospešila poraba nekaterih nacionalnih deležev, pri katerih se je povečalo povpraševanje po instrumentu za posojila v javnem sektorju (Francija, Švedska). Za projekte, izbrane za podporo v okviru instrumenta za posojila v javnem sektorju, je bilo v povprečju zaprošeno za nepovratna sredstva v višini 9 milijonov EUR. Z ekstrapolacijo bi se z zmanjšanjem proračuna instrumenta za posojila v javnem sektorju za 150 milijonov EUR število projektov, ki bi jih lahko podprl instrument za posojila v javnem sektorju, zmanjšalo za 16 ali 17. </w:t>
      </w:r>
    </w:p>
    <w:p w14:paraId="5289A697" w14:textId="50A3FB1E" w:rsidR="00480583" w:rsidRDefault="00BC026E" w:rsidP="00967CEC">
      <w:pPr>
        <w:pStyle w:val="NumPar1"/>
        <w:numPr>
          <w:ilvl w:val="1"/>
          <w:numId w:val="33"/>
        </w:numPr>
        <w:spacing w:before="120" w:after="120"/>
        <w:rPr>
          <w:b/>
          <w:bCs/>
          <w:noProof/>
        </w:rPr>
      </w:pPr>
      <w:r>
        <w:rPr>
          <w:b/>
          <w:noProof/>
        </w:rPr>
        <w:t>Prednosti</w:t>
      </w:r>
    </w:p>
    <w:p w14:paraId="56AD52B9" w14:textId="1A93BC19" w:rsidR="009A761E" w:rsidRPr="002B056E" w:rsidRDefault="00723A58" w:rsidP="00843E89">
      <w:pPr>
        <w:spacing w:before="120" w:after="120"/>
        <w:rPr>
          <w:noProof/>
        </w:rPr>
      </w:pPr>
      <w:bookmarkStart w:id="15" w:name="_Hlk172703196"/>
      <w:r>
        <w:rPr>
          <w:noProof/>
        </w:rPr>
        <w:t xml:space="preserve">Kljub tem izzivom je bilo za instrument za posojila v javnem sektorju precejšnje zanimanje. To velja zlasti za Francijo, kjer je instrument za posojila v javnem sektorju pomagal kriti potrebe po financiranju, ki niso bile podprte v okviru drugih programov financiranja EU. Poleg tega je veliko predlogov predložila Češka, nekaj pa se jih od nje še pričakuje. Visoko stopnjo črpanja sredstev na Češkem je morda mogoče pojasniti z možnostjo financiranja manjših naložb s posredniškim financiranjem, zagotovljenim s sporazumom, ki sta ga podpisali EIB in češka nacionalna razvojna banka, razpoložljivostjo tehnične pomoči za spodbujanje Instrumenta ter splošno pripravljenostjo države, da črpa sredstva iz mehanizma za pravični prehod. Dodatne projekte so predložili vložniki iz Grčije, Nizozemske, Irske, Poljske in Švedske, pred koncem sedanjega razpisa za zbiranje predlogov leta 2025 pa se pričakujejo še nadaljnji projekti. </w:t>
      </w:r>
    </w:p>
    <w:bookmarkEnd w:id="15"/>
    <w:p w14:paraId="2F9E8907" w14:textId="1E860511" w:rsidR="000E2FD3" w:rsidRPr="002B056E" w:rsidRDefault="20D2ACA1" w:rsidP="00843E89">
      <w:pPr>
        <w:spacing w:before="120" w:after="120"/>
        <w:rPr>
          <w:noProof/>
        </w:rPr>
      </w:pPr>
      <w:r>
        <w:rPr>
          <w:noProof/>
        </w:rPr>
        <w:t>Odziv naj bi se po pričakovanjih pri drugem razpisu za zbiranje predlogov v okviru instrumenta za posojila v javnem sektorju, ki bo objavljen leta 2026, še naprej povečeval, saj bodo za druge vire financiranja, ki ponujajo boljše pogoje, že določeni načrti ali pa bodo ti viri izčrpani, poleg tega pa se poznavanje Instrumenta še naprej izboljšuje. Zlasti za programe EU, ki jih podpira NextGenerationEU, veljajo posebne časovne omejitve. Poleg tega drugi razpis za zbiranje predlogov v okviru instrumenta za posojila v javnem sektorju ne bo več omejen z nacionalnimi deleži, zato (i) ga bodo lahko države članice, ki so svoje nacionalne deleže že izčrpale ali naj bi jih izčrpale do konca leta 2025, še naprej uporabljale, pri tem pa bodo imele več časa za načrtovanje kot na začetku izvajanja instrumenta, in (ii) države članice z najnižjimi nacionalnimi deleži bodo zdaj imele dodatno spodbudo za njegovo uporabo, saj zahtevana nepovratna sredstva ne bodo več omejena na znesek, določen v okviru nacionalnih deležev. Zaradi tega bo instrument za posojila v javnem sektorju lahko bolj koristil regijam z največjim povpraševanjem in zrelimi projekti.</w:t>
      </w:r>
    </w:p>
    <w:p w14:paraId="5FD1B489" w14:textId="442C6DDA" w:rsidR="009A761E" w:rsidRDefault="00224AE1" w:rsidP="00843E89">
      <w:pPr>
        <w:spacing w:before="120" w:after="120"/>
        <w:rPr>
          <w:noProof/>
        </w:rPr>
      </w:pPr>
      <w:r>
        <w:rPr>
          <w:noProof/>
        </w:rPr>
        <w:t xml:space="preserve">Poleg tega se je po dveh letih od objave razpisa za zbiranje predlogov v okviru instrumenta za posojila v javnem sektorju potrdilo, da je del nepovratnih sredstev v okviru instrumenta za posojila v javnem sektorju jasna spodbuda za subjekte javnega sektorja, da s pomočjo posojil EIB podprejo javne naložbe v regijah, v katerih poteka podnebni prehod. Instrument zagotavlja privlačne posojilne pogoje v primerjavi z instrumenti, ki so običajno na voljo na trgu. To je zlasti pomembno za premagovanje gospodarskih omejitev, ki so posledica gospodarske krize zaradi COVID-19 in trenutnih gospodarskih posledic ruske vojne agresije proti Ukrajini. </w:t>
      </w:r>
    </w:p>
    <w:p w14:paraId="0D402A44" w14:textId="05746562" w:rsidR="00FE079E" w:rsidRDefault="00FE079E" w:rsidP="00967CEC">
      <w:pPr>
        <w:pStyle w:val="NumPar1"/>
        <w:numPr>
          <w:ilvl w:val="1"/>
          <w:numId w:val="33"/>
        </w:numPr>
        <w:spacing w:before="120" w:after="120"/>
        <w:rPr>
          <w:b/>
          <w:bCs/>
          <w:noProof/>
        </w:rPr>
      </w:pPr>
      <w:r>
        <w:rPr>
          <w:b/>
          <w:noProof/>
        </w:rPr>
        <w:t>Ukrepi, ki jih je Komisija sprejela za reševanje izzivov</w:t>
      </w:r>
    </w:p>
    <w:p w14:paraId="074067BB" w14:textId="294EAC05" w:rsidR="00210850" w:rsidRDefault="00302B2D" w:rsidP="00843E89">
      <w:pPr>
        <w:spacing w:before="120" w:after="120"/>
        <w:rPr>
          <w:noProof/>
        </w:rPr>
      </w:pPr>
      <w:r>
        <w:rPr>
          <w:noProof/>
        </w:rPr>
        <w:t>Ugotovljeno je bilo, da so potencialni upravičenci vse bolj ozaveščeni o instrumentu za posojila v javnem sektorju. To se najprej kaže v uporabi Instrumenta in njegovem razvijajočem se naboru projektov, pa tudi v vse večjem številu nosilcev projektov, ki se obračajo na Komisijo s specifičnimi vprašanji o instrumentu za posojila v javnem sektorju. Da bi podprla ta razvoj, je Komisija pripravila dodatno informativno gradivo in nadaljevala svojo komunikacijsko kampanjo ozaveščanja.</w:t>
      </w:r>
    </w:p>
    <w:p w14:paraId="431C3939" w14:textId="4D075E82" w:rsidR="00316C0D" w:rsidRDefault="00302B2D" w:rsidP="00967CEC">
      <w:pPr>
        <w:spacing w:before="120" w:after="120"/>
        <w:rPr>
          <w:b/>
          <w:bCs/>
          <w:noProof/>
        </w:rPr>
      </w:pPr>
      <w:r>
        <w:rPr>
          <w:noProof/>
        </w:rPr>
        <w:t>Poleg tega si Komisija in EIB s skupno revizijo obstoječih pravil prizadevata olajšati dostopnost instrumenta za posojila v javnem sektorju za manjše upravičence in projekte ter zagotoviti več posredniških posojil pri nacionalnih spodbujevalnih bankah in institucijah. Prvič, s sporazumom med Komisijo in EIB se je minimalni znesek posredniškega posojila od septembra 2023 zmanjšal s 3 milijonov EUR na 1 milijon EUR</w:t>
      </w:r>
      <w:r w:rsidR="00654A4B">
        <w:rPr>
          <w:rStyle w:val="FootnoteReference"/>
          <w:noProof/>
        </w:rPr>
        <w:footnoteReference w:id="25"/>
      </w:r>
      <w:r>
        <w:rPr>
          <w:noProof/>
        </w:rPr>
        <w:t>. Drugič, omejitev iz upravnega sporazuma v zvezi s sodelovanjem nacionalnih spodbujevalnih bank in institucij pri izvajanju instrumenta za posojila v javnem sektorju kot finančnih posrednikov EIB naj bi bila odpravljena</w:t>
      </w:r>
      <w:r w:rsidR="003339CF">
        <w:rPr>
          <w:rStyle w:val="FootnoteReference"/>
          <w:noProof/>
        </w:rPr>
        <w:footnoteReference w:id="26"/>
      </w:r>
      <w:r>
        <w:rPr>
          <w:noProof/>
        </w:rPr>
        <w:t>. V skladu s temi prizadevanji so bili na razpis za zbiranje predlogov v okviru instrumenta za posojila v javnem sektorju predloženi prvi projekti, pri čemer je sodelovala češka nacionalna razvojna banka.</w:t>
      </w:r>
    </w:p>
    <w:p w14:paraId="006415FD" w14:textId="46BC5BD8" w:rsidR="00334768" w:rsidRDefault="00FE079E" w:rsidP="00967CEC">
      <w:pPr>
        <w:pStyle w:val="NumPar1"/>
        <w:numPr>
          <w:ilvl w:val="1"/>
          <w:numId w:val="33"/>
        </w:numPr>
        <w:spacing w:before="120" w:after="120"/>
        <w:rPr>
          <w:b/>
          <w:bCs/>
          <w:noProof/>
        </w:rPr>
      </w:pPr>
      <w:r>
        <w:rPr>
          <w:b/>
          <w:noProof/>
        </w:rPr>
        <w:t>Pripravljalna dela za vmesno ocenjevanje instrumenta za posojila v javnem sektorju</w:t>
      </w:r>
    </w:p>
    <w:p w14:paraId="47ACA057" w14:textId="212C068E" w:rsidR="00334768" w:rsidRDefault="00334768" w:rsidP="00843E89">
      <w:pPr>
        <w:spacing w:before="120" w:after="120"/>
        <w:rPr>
          <w:noProof/>
        </w:rPr>
      </w:pPr>
      <w:r>
        <w:rPr>
          <w:noProof/>
        </w:rPr>
        <w:t>V skladu s členom 17 uredbe o instrumentu za posojila v javnem sektorju mora Komisija do 30. junija 2025 izvesti vmesno ocenjevanje, da oceni izvajanje instrumenta in njegovo zmogljivost za doseganje ciljev iz člena 3 navedene uredbe.</w:t>
      </w:r>
    </w:p>
    <w:p w14:paraId="714800C3" w14:textId="5C80B460" w:rsidR="00334768" w:rsidRDefault="00334768" w:rsidP="00843E89">
      <w:pPr>
        <w:spacing w:before="120" w:after="120"/>
        <w:rPr>
          <w:noProof/>
        </w:rPr>
      </w:pPr>
      <w:r>
        <w:rPr>
          <w:noProof/>
        </w:rPr>
        <w:t>Namen ocenjevanja je pridobiti izkušnje, ki bi se lahko uporabile za izboljšanje uspešnosti instrumenta za posojila v javnem sektorju v preostalem obdobju njegovega izvajanja. Ocenjevanje bo zajemalo del nepovratnih sredstev Instrumenta od datuma, ko je uredba o instrumentu za posojila v javnem sektorju leta 2021 začela veljati v 27 državah članicah, do najnovejših razpoložljivih informacij.</w:t>
      </w:r>
    </w:p>
    <w:p w14:paraId="233361B6" w14:textId="5094B013" w:rsidR="003D1736" w:rsidRDefault="002F0800" w:rsidP="00843E89">
      <w:pPr>
        <w:spacing w:before="120" w:after="120"/>
        <w:rPr>
          <w:noProof/>
        </w:rPr>
      </w:pPr>
      <w:r>
        <w:rPr>
          <w:noProof/>
        </w:rPr>
        <w:t xml:space="preserve">V okviru priprave delovnega dokumenta služb Komisije o vmesnem ocenjevanju bodo izvedeni naslednji koraki, ki se bodo uporabljali kot podlaga: </w:t>
      </w:r>
    </w:p>
    <w:p w14:paraId="2E8BB41C" w14:textId="359490E4" w:rsidR="003D1736" w:rsidRDefault="00F038A2" w:rsidP="003D1736">
      <w:pPr>
        <w:pStyle w:val="NumPar1"/>
        <w:numPr>
          <w:ilvl w:val="0"/>
          <w:numId w:val="28"/>
        </w:numPr>
        <w:rPr>
          <w:noProof/>
        </w:rPr>
      </w:pPr>
      <w:r>
        <w:rPr>
          <w:noProof/>
        </w:rPr>
        <w:t xml:space="preserve">ocena instrumenta za posojila v javnem sektorju, ki jo bo interno izvedla Komisija, in </w:t>
      </w:r>
    </w:p>
    <w:p w14:paraId="26FB3793" w14:textId="1F875B7D" w:rsidR="00334768" w:rsidRPr="003D1736" w:rsidRDefault="003D1736" w:rsidP="003D1736">
      <w:pPr>
        <w:pStyle w:val="NumPar1"/>
        <w:numPr>
          <w:ilvl w:val="0"/>
          <w:numId w:val="28"/>
        </w:numPr>
        <w:rPr>
          <w:b/>
          <w:bCs/>
          <w:noProof/>
        </w:rPr>
      </w:pPr>
      <w:r>
        <w:rPr>
          <w:noProof/>
        </w:rPr>
        <w:t>študija za zbiranje dokazov, v kateri bodo poudarjena vprašanja, povezana z izvajanjem, tehnično pomočjo, skladnostjo, sinergijami z drugimi evropskimi in nacionalnimi instrumenti financiranja, dodano vrednostjo EU ter drugimi temami.</w:t>
      </w:r>
    </w:p>
    <w:p w14:paraId="03764884" w14:textId="26CD8A07" w:rsidR="00EF7E2C" w:rsidRPr="00EF7E2C" w:rsidRDefault="0065674D" w:rsidP="00967CEC">
      <w:pPr>
        <w:spacing w:before="120" w:after="120"/>
        <w:rPr>
          <w:noProof/>
        </w:rPr>
      </w:pPr>
      <w:r>
        <w:rPr>
          <w:noProof/>
        </w:rPr>
        <w:t>Ocenjevanje se je začelo v začetku leta 2024 in se bo nadaljevalo v celotnem pripravljalnem obdobju ocenjevanja. Komisija je aprila 2024 podpisala pogodbo s podjetjema T33 srl in Prognos AG, ki bosta pripravili študijo.</w:t>
      </w:r>
    </w:p>
    <w:p w14:paraId="53EB0F4A" w14:textId="1E99C17D" w:rsidR="00FE079E" w:rsidRPr="00967CEC" w:rsidRDefault="00FA0551" w:rsidP="00967CEC">
      <w:pPr>
        <w:pStyle w:val="Heading1"/>
        <w:numPr>
          <w:ilvl w:val="0"/>
          <w:numId w:val="33"/>
        </w:numPr>
        <w:rPr>
          <w:noProof/>
        </w:rPr>
      </w:pPr>
      <w:r>
        <w:rPr>
          <w:noProof/>
        </w:rPr>
        <w:t>Tehnična pomoč</w:t>
      </w:r>
    </w:p>
    <w:p w14:paraId="03B506ED" w14:textId="7964B9EF" w:rsidR="00582D30" w:rsidRDefault="00FA0551" w:rsidP="00967CEC">
      <w:pPr>
        <w:spacing w:after="120"/>
        <w:rPr>
          <w:noProof/>
        </w:rPr>
      </w:pPr>
      <w:r>
        <w:rPr>
          <w:noProof/>
        </w:rPr>
        <w:t>Svetovalne storitve EIB so na voljo v okviru svetovalnega vozlišča InvestEU za pripravo, razvoj in izvajanje upravičenih projektov</w:t>
      </w:r>
      <w:r>
        <w:rPr>
          <w:rStyle w:val="FootnoteReference"/>
          <w:noProof/>
        </w:rPr>
        <w:footnoteReference w:id="27"/>
      </w:r>
      <w:r>
        <w:rPr>
          <w:noProof/>
        </w:rPr>
        <w:t>. Do konca julija 2024 je bila svetovalna pomoč v podporo instrumentu za posojila v javnem sektorju zagotovljena v Bolgariji, na Cipru, v Grčiji, Franciji, Romuniji, Španiji in na Švedskem</w:t>
      </w:r>
      <w:r>
        <w:rPr>
          <w:rStyle w:val="FootnoteReference"/>
          <w:noProof/>
        </w:rPr>
        <w:footnoteReference w:id="28"/>
      </w:r>
      <w:r>
        <w:rPr>
          <w:noProof/>
        </w:rPr>
        <w:t xml:space="preserve">. </w:t>
      </w:r>
    </w:p>
    <w:p w14:paraId="797EF9F3" w14:textId="6CE4BE99" w:rsidR="00FA0551" w:rsidRDefault="00FA0551" w:rsidP="00843E89">
      <w:pPr>
        <w:spacing w:before="120" w:after="120"/>
        <w:rPr>
          <w:noProof/>
        </w:rPr>
      </w:pPr>
      <w:r>
        <w:rPr>
          <w:noProof/>
        </w:rPr>
        <w:t>Podporne storitve so bile zasnovane in prilagojene posebnim potrebam posameznih nosilcev projektov ter so zajemale vse od splošnih smernic za opredelitev ustreznih projektov in podpore od zgoraj navzdol pri pripravi naložbenih programov do svetovanja pri razvoju projektov in podpore pri pripravi vloge za nepovratna sredstva instrumenta za posojila v javnem sektorju. Poleg tega EIB izvaja različne dejavnosti za opredelitev in podporo projektov, ki bi lahko bili upravičeni do financiranja v okviru instrumenta za posojila v javnem sektorju.</w:t>
      </w:r>
    </w:p>
    <w:p w14:paraId="1747CEC6" w14:textId="1E70E088" w:rsidR="00FA0551" w:rsidRDefault="00FA0551" w:rsidP="00843E89">
      <w:pPr>
        <w:spacing w:before="120" w:after="120"/>
        <w:rPr>
          <w:noProof/>
        </w:rPr>
      </w:pPr>
      <w:r>
        <w:rPr>
          <w:noProof/>
        </w:rPr>
        <w:t>Da bi pomagala razviti povpraševanje po podpori v okviru instrumenta za posojila v javnem sektorju v prihodnosti (glej oddelek 4.1), namerava EIB na podlagi teh začetnih izkušenj še naprej ponujati svetovalne dejavnosti na petih delovnih področjih:</w:t>
      </w:r>
    </w:p>
    <w:p w14:paraId="38D44032" w14:textId="4E8C62B2" w:rsidR="00FA0551" w:rsidRDefault="00FA0551" w:rsidP="00702587">
      <w:pPr>
        <w:pStyle w:val="NumPar1"/>
        <w:numPr>
          <w:ilvl w:val="0"/>
          <w:numId w:val="34"/>
        </w:numPr>
        <w:rPr>
          <w:noProof/>
        </w:rPr>
      </w:pPr>
      <w:r>
        <w:rPr>
          <w:b/>
          <w:noProof/>
        </w:rPr>
        <w:t>neposredno svetovanje</w:t>
      </w:r>
      <w:r>
        <w:rPr>
          <w:noProof/>
        </w:rPr>
        <w:t xml:space="preserve"> posameznim nosilcem in posojilojemalcem samostojnih naložbenih posojil prek širokega spektra svetovalnih storitev v pripravljalni in izvedbeni fazi, vključno s pomočjo pri vlogah za nepovratna sredstva;</w:t>
      </w:r>
    </w:p>
    <w:p w14:paraId="41AF95D5" w14:textId="77777777" w:rsidR="00FA0551" w:rsidRDefault="00FA0551" w:rsidP="00FB12D1">
      <w:pPr>
        <w:pStyle w:val="NumPar1"/>
        <w:numPr>
          <w:ilvl w:val="0"/>
          <w:numId w:val="34"/>
        </w:numPr>
        <w:rPr>
          <w:noProof/>
        </w:rPr>
      </w:pPr>
      <w:r>
        <w:rPr>
          <w:b/>
          <w:noProof/>
        </w:rPr>
        <w:t>podpora za krepitev zmogljivosti</w:t>
      </w:r>
      <w:r>
        <w:rPr>
          <w:noProof/>
        </w:rPr>
        <w:t xml:space="preserve"> nebančnih institucij, ki običajno delujejo kot povezovalke manjših projektov, da bi razvile upravne in operativne zmogljivosti za učinkovito pregledovanje, izbiranje, prednostno razvrščanje, spremljanje ali drugačno usklajevanje številnih podprojektov;</w:t>
      </w:r>
    </w:p>
    <w:p w14:paraId="0813D3CA" w14:textId="5C78275B" w:rsidR="00FA0551" w:rsidRDefault="00FA0551" w:rsidP="00FB12D1">
      <w:pPr>
        <w:pStyle w:val="NumPar1"/>
        <w:numPr>
          <w:ilvl w:val="0"/>
          <w:numId w:val="34"/>
        </w:numPr>
        <w:rPr>
          <w:noProof/>
        </w:rPr>
      </w:pPr>
      <w:r>
        <w:rPr>
          <w:b/>
          <w:noProof/>
        </w:rPr>
        <w:t>posredna svetovalna podpora</w:t>
      </w:r>
      <w:r>
        <w:rPr>
          <w:noProof/>
        </w:rPr>
        <w:t xml:space="preserve"> končnim upravičencem do posredniških ali okvirnih posojil prek standardiziranih svežnjev podpore, namenjenih izboljšanju smotrnosti predlogov in skladnosti z veljavnimi posojilnimi politikami;</w:t>
      </w:r>
    </w:p>
    <w:p w14:paraId="7BB0A3D4" w14:textId="088AB696" w:rsidR="00FA0551" w:rsidRPr="00874005" w:rsidRDefault="00FA0551" w:rsidP="00FB12D1">
      <w:pPr>
        <w:pStyle w:val="NumPar1"/>
        <w:numPr>
          <w:ilvl w:val="0"/>
          <w:numId w:val="34"/>
        </w:numPr>
        <w:rPr>
          <w:b/>
          <w:bCs/>
          <w:noProof/>
        </w:rPr>
      </w:pPr>
      <w:r>
        <w:rPr>
          <w:b/>
          <w:noProof/>
        </w:rPr>
        <w:t>svetovanje o razvoju trga</w:t>
      </w:r>
      <w:r>
        <w:rPr>
          <w:noProof/>
        </w:rPr>
        <w:t xml:space="preserve"> na ravni držav članic, da bi ugotovili, kakšno je morebitno povpraševanje po podpori v okviru instrumenta za posojila v javnem sektorju in ali so razpoložljivi finančni produkti instrumenta za posojila v javnem sektorju ustrezni; </w:t>
      </w:r>
    </w:p>
    <w:p w14:paraId="4289E5BD" w14:textId="4C8B5AE1" w:rsidR="00FA0551" w:rsidRDefault="00FA0551" w:rsidP="00FB12D1">
      <w:pPr>
        <w:pStyle w:val="NumPar1"/>
        <w:numPr>
          <w:ilvl w:val="0"/>
          <w:numId w:val="34"/>
        </w:numPr>
        <w:rPr>
          <w:noProof/>
        </w:rPr>
      </w:pPr>
      <w:r>
        <w:rPr>
          <w:b/>
          <w:noProof/>
        </w:rPr>
        <w:t>preverjanje, določanje obsega in razširjanje</w:t>
      </w:r>
      <w:r>
        <w:rPr>
          <w:noProof/>
        </w:rPr>
        <w:t xml:space="preserve"> za spodbujanje uporabe instrumenta, opredelitev in prednostno razvrstitev ustreznih projektov ter zagotavljanje splošnih smernic o vlogah za nepovratna sredstva instrumenta za posojila v javnem sektorju.</w:t>
      </w:r>
    </w:p>
    <w:p w14:paraId="2D6A3BA6" w14:textId="06673888" w:rsidR="00582D30" w:rsidRPr="00F038A2" w:rsidRDefault="00FA0551" w:rsidP="00843E89">
      <w:pPr>
        <w:spacing w:before="120" w:after="120"/>
        <w:rPr>
          <w:noProof/>
        </w:rPr>
      </w:pPr>
      <w:r>
        <w:rPr>
          <w:noProof/>
        </w:rPr>
        <w:t>Poleg storitev, ki jih EIB ponuja prek svetovalnega vozlišča InvestEU, je Komisija na zahtevo Češke, Grčije in Slovaške zagotovila svetovalne storitve, da bi povečala ozaveščenost o Instrumentu ter opredelila in razvila predloge projektov. Češki zagotavlja tehnično pomoč Komisija, Slovaški pa je podpora zagotovljena v okviru Instrumenta za tehnično podporo</w:t>
      </w:r>
      <w:r w:rsidRPr="00F038A2">
        <w:rPr>
          <w:rStyle w:val="FootnoteReference"/>
          <w:noProof/>
        </w:rPr>
        <w:footnoteReference w:id="29"/>
      </w:r>
      <w:r>
        <w:rPr>
          <w:noProof/>
        </w:rPr>
        <w:t xml:space="preserve">. V okviru obeh pogodb se zagotavlja širok nabor storitev, med drugim ozaveščanje, mobilizacija potencialnih upravičencev v regijah območnih načrtov za pravični prehod ter pregledovanje projektnih zamisli. </w:t>
      </w:r>
    </w:p>
    <w:p w14:paraId="3F3F68E3" w14:textId="2B53DBEB" w:rsidR="00FA0551" w:rsidRDefault="00FA0551" w:rsidP="00843E89">
      <w:pPr>
        <w:spacing w:before="120" w:after="120"/>
        <w:rPr>
          <w:noProof/>
        </w:rPr>
      </w:pPr>
      <w:r>
        <w:rPr>
          <w:noProof/>
        </w:rPr>
        <w:t>Grčija v okviru Instrumenta za tehnično podporo prejema širšo podporo za izvajanje vseh treh stebrov mehanizma za pravični prehod. Poleg tega je Grčija zaprosila za podporo, ki je na voljo v okviru JTP Groundwork</w:t>
      </w:r>
      <w:r w:rsidRPr="00F038A2">
        <w:rPr>
          <w:rStyle w:val="FootnoteReference"/>
          <w:noProof/>
        </w:rPr>
        <w:footnoteReference w:id="30"/>
      </w:r>
      <w:r>
        <w:rPr>
          <w:noProof/>
        </w:rPr>
        <w:t xml:space="preserve"> za opredelitev projektov in poznejšo pripravo predlogov projektov, za katere bodo predložene vloge za financiranje iz instrumenta za posojila v javnem sektorju v </w:t>
      </w:r>
      <w:r>
        <w:rPr>
          <w:rStyle w:val="lrzxr"/>
          <w:noProof/>
        </w:rPr>
        <w:t>regiji Peloponez</w:t>
      </w:r>
      <w:r>
        <w:rPr>
          <w:noProof/>
        </w:rPr>
        <w:t xml:space="preserve">. </w:t>
      </w:r>
    </w:p>
    <w:p w14:paraId="08769A98" w14:textId="0F91FB8C" w:rsidR="00FA0551" w:rsidRPr="00A70604" w:rsidRDefault="00FA0551" w:rsidP="00FB12D1">
      <w:pPr>
        <w:pStyle w:val="NumPar1"/>
        <w:rPr>
          <w:noProof/>
        </w:rPr>
      </w:pPr>
      <w:r>
        <w:rPr>
          <w:noProof/>
        </w:rPr>
        <w:t xml:space="preserve">Komisija in EIB sodelujeta pri spremljanju izvajanja svetovalnih nalog, da se zagotovi njihovo dopolnjevanje z drugimi svetovalnimi dejavnostmi v upravičenih državah članicah. </w:t>
      </w:r>
    </w:p>
    <w:p w14:paraId="5287D606" w14:textId="31B7157B" w:rsidR="00FA0551" w:rsidRPr="00967CEC" w:rsidRDefault="00FA0551" w:rsidP="00967CEC">
      <w:pPr>
        <w:pStyle w:val="Heading1"/>
        <w:numPr>
          <w:ilvl w:val="0"/>
          <w:numId w:val="33"/>
        </w:numPr>
        <w:rPr>
          <w:noProof/>
        </w:rPr>
      </w:pPr>
      <w:r>
        <w:rPr>
          <w:noProof/>
        </w:rPr>
        <w:t>Naslednji koraki</w:t>
      </w:r>
    </w:p>
    <w:p w14:paraId="285E7BD1" w14:textId="34E81C00" w:rsidR="000A2D86" w:rsidRDefault="00E01BA2" w:rsidP="00967CEC">
      <w:pPr>
        <w:spacing w:after="120"/>
        <w:rPr>
          <w:noProof/>
          <w:szCs w:val="24"/>
        </w:rPr>
      </w:pPr>
      <w:r>
        <w:rPr>
          <w:noProof/>
        </w:rPr>
        <w:t>Komisija bo ob usklajevanju s CINEA in EIB še naprej ozaveščala o Instrumentu za zagotovitev, da morebitni vložniki razumejo, kaj ta ponuja, in se lahko prijavijo za podporo. Podrobnejše informacije o projektih, podprtih v okviru instrumenta za posojila v javnem sektorju, bodo na voljo na javni pregledni plošči CINEA</w:t>
      </w:r>
      <w:r w:rsidR="001E72CD" w:rsidRPr="00A0516B">
        <w:rPr>
          <w:rStyle w:val="FootnoteReference"/>
          <w:noProof/>
        </w:rPr>
        <w:footnoteReference w:id="31"/>
      </w:r>
      <w:r>
        <w:rPr>
          <w:noProof/>
        </w:rPr>
        <w:t>.</w:t>
      </w:r>
    </w:p>
    <w:p w14:paraId="65A4F920" w14:textId="59A91B00" w:rsidR="00E01BA2" w:rsidRPr="00183860" w:rsidRDefault="00E01BA2" w:rsidP="00843E89">
      <w:pPr>
        <w:spacing w:before="120" w:after="120"/>
        <w:rPr>
          <w:noProof/>
          <w:szCs w:val="24"/>
        </w:rPr>
      </w:pPr>
      <w:r>
        <w:rPr>
          <w:noProof/>
        </w:rPr>
        <w:t>EIB bo na podlagi svoje naloge v okviru svetovalnega vozlišča InvestEU še naprej izvajala instrument za posojila v javnem sektorju, in sicer z opredelitvijo in preverjanjem potencialnih projektov, zagotavljanjem svetovalne podpore nosilcem projektov in ustreznim organom ter prek namenskih sestankov in dogodkov na ravni EU ter nacionalni in regionalni ravni. Države članice lahko prek Instrumenta za tehnično podporo še naprej prejemajo podporo za izvajanje instrumenta za posojila v javnem sektorju.</w:t>
      </w:r>
    </w:p>
    <w:p w14:paraId="34A85E26" w14:textId="081DDC70" w:rsidR="007E5618" w:rsidRDefault="00044D7F" w:rsidP="00843E89">
      <w:pPr>
        <w:spacing w:before="120" w:after="120"/>
        <w:rPr>
          <w:noProof/>
        </w:rPr>
      </w:pPr>
      <w:r>
        <w:rPr>
          <w:noProof/>
        </w:rPr>
        <w:t xml:space="preserve">Drugi razpis za zbiranje predlogov bo v skladu z uredbo o instrumentu za posojila v javnem sektorju objavljen leta 2026. </w:t>
      </w:r>
    </w:p>
    <w:p w14:paraId="3B7BFEB0" w14:textId="70D36692" w:rsidR="007E5618" w:rsidRDefault="007E5618" w:rsidP="00843E89">
      <w:pPr>
        <w:spacing w:before="120" w:after="120"/>
        <w:rPr>
          <w:noProof/>
        </w:rPr>
      </w:pPr>
      <w:r>
        <w:rPr>
          <w:noProof/>
        </w:rPr>
        <w:t>Nazadnje, Komisija bo do 30. junija 2025 dokončala vmesno oceno instrumenta za posojila v javnem sektorju in jo poslala Svetu ter Evropskemu parlamentu.</w:t>
      </w:r>
    </w:p>
    <w:p w14:paraId="322744D3" w14:textId="69CF2B94" w:rsidR="002D564D" w:rsidRPr="002C0C75" w:rsidRDefault="002D564D" w:rsidP="007D251F">
      <w:pPr>
        <w:pStyle w:val="Heading1"/>
        <w:numPr>
          <w:ilvl w:val="0"/>
          <w:numId w:val="33"/>
        </w:numPr>
        <w:rPr>
          <w:noProof/>
        </w:rPr>
      </w:pPr>
      <w:r>
        <w:rPr>
          <w:noProof/>
        </w:rPr>
        <w:t>Sklepne ugotovitve</w:t>
      </w:r>
    </w:p>
    <w:p w14:paraId="67934C42" w14:textId="77777777" w:rsidR="009A2235" w:rsidRDefault="009A2235" w:rsidP="00967CEC">
      <w:pPr>
        <w:spacing w:after="120"/>
        <w:rPr>
          <w:noProof/>
          <w:szCs w:val="24"/>
        </w:rPr>
      </w:pPr>
      <w:r>
        <w:rPr>
          <w:noProof/>
        </w:rPr>
        <w:t xml:space="preserve">Instrument za posojila v javnem sektorju je instrument, ki je namenjen zagotavljanju, da prehod na podnebno nevtralno gospodarstvo poteka na pravičen in socialno trajnosten način, saj ima javni sektor ključno vlogo pri odpravljanju nepravilnega delovanja trga. </w:t>
      </w:r>
    </w:p>
    <w:p w14:paraId="472DEC7F" w14:textId="759F46A8" w:rsidR="008D4414" w:rsidRDefault="008D4414" w:rsidP="00843E89">
      <w:pPr>
        <w:spacing w:before="120" w:after="120"/>
        <w:rPr>
          <w:noProof/>
        </w:rPr>
      </w:pPr>
      <w:r>
        <w:rPr>
          <w:noProof/>
        </w:rPr>
        <w:t>Zaradi številnih sektorjev, ki jih lahko podpira, kot so energijska učinkovitost, socialna in cenovno dostopna stanovanja ter trajnostna mobilnost, ter razpoložljivega zneska financiranja je pomemben za doseganje podnebnih ciljev Unije do leta 2030 in cilja podnebne nevtralnosti v Uniji do leta 2050 ter zagotovitev, da pri tem ne bosta prezrta noben posameznik in nobena regija.</w:t>
      </w:r>
    </w:p>
    <w:p w14:paraId="4B6FE1FB" w14:textId="1B6272F7" w:rsidR="008D4414" w:rsidRDefault="008D4414" w:rsidP="00843E89">
      <w:pPr>
        <w:spacing w:before="120" w:after="120"/>
        <w:rPr>
          <w:noProof/>
        </w:rPr>
      </w:pPr>
      <w:r>
        <w:rPr>
          <w:noProof/>
        </w:rPr>
        <w:t xml:space="preserve">Od objave prvega razpisa za zbiranje predlogov v okviru instrumenta za posojila v javnem sektorju sta minili dve leti, število predloženih upravičenih predlogov projektov se povečuje, še več potencialnih projektov pa se pripravlja. Pri vmesnem ocenjevanju instrumenta za posojila v javnem sektorju, ki naj bi bilo zaključeno pred 30. junijem 2025, se bodo zbrali podatki, na podlagi katerih bo mogoče oblikovati nadaljnje ugotovitve o stanju izvajanja Instrumenta. </w:t>
      </w:r>
    </w:p>
    <w:p w14:paraId="598421EA" w14:textId="34B80CF9" w:rsidR="00563538" w:rsidRPr="00563538" w:rsidRDefault="00686C52" w:rsidP="00843E89">
      <w:pPr>
        <w:spacing w:before="120" w:after="120"/>
        <w:rPr>
          <w:noProof/>
        </w:rPr>
      </w:pPr>
      <w:r>
        <w:rPr>
          <w:noProof/>
        </w:rPr>
        <w:t xml:space="preserve">Ocenjevalni odbor instrumenta za posojila v javnem sektorju je do 30. julija 2024 izbral predloge projektov, katerih financiranje predstavlja ocenjeni znesek v višini 148 milijonov EUR nepovratnih sredstev Komisije in ocenjeni znesek v višini 863 milijonov EUR posojil EIB. Podpisani so bili štirje sporazumi o nepovratnih sredstvih, izvajanje ustreznih projektov pa se je začelo. </w:t>
      </w:r>
    </w:p>
    <w:p w14:paraId="3DE0F462" w14:textId="2F6CDDEB" w:rsidR="00476FD9" w:rsidRDefault="00476FD9" w:rsidP="00843E89">
      <w:pPr>
        <w:spacing w:before="120" w:after="120"/>
        <w:rPr>
          <w:noProof/>
          <w:szCs w:val="24"/>
        </w:rPr>
      </w:pPr>
    </w:p>
    <w:sectPr w:rsidR="00476FD9" w:rsidSect="00843E89">
      <w:headerReference w:type="even" r:id="rId26"/>
      <w:headerReference w:type="default" r:id="rId27"/>
      <w:footerReference w:type="even" r:id="rId28"/>
      <w:footerReference w:type="default" r:id="rId29"/>
      <w:headerReference w:type="first" r:id="rId30"/>
      <w:footerReference w:type="first" r:id="rId31"/>
      <w:pgSz w:w="11906" w:h="16838"/>
      <w:pgMar w:top="1020" w:right="1276" w:bottom="1020" w:left="1134" w:header="601"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89D2B" w14:textId="77777777" w:rsidR="00462DD1" w:rsidRDefault="00462DD1">
      <w:pPr>
        <w:spacing w:after="0"/>
      </w:pPr>
      <w:r>
        <w:separator/>
      </w:r>
    </w:p>
  </w:endnote>
  <w:endnote w:type="continuationSeparator" w:id="0">
    <w:p w14:paraId="03FDE046" w14:textId="77777777" w:rsidR="00462DD1" w:rsidRDefault="00462DD1">
      <w:pPr>
        <w:spacing w:after="0"/>
      </w:pPr>
      <w:r>
        <w:continuationSeparator/>
      </w:r>
    </w:p>
  </w:endnote>
  <w:endnote w:type="continuationNotice" w:id="1">
    <w:p w14:paraId="17004878" w14:textId="77777777" w:rsidR="00462DD1" w:rsidRDefault="00462D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EC Square Sans Pro">
    <w:charset w:val="00"/>
    <w:family w:val="swiss"/>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868E8" w14:textId="3BE37AE4" w:rsidR="004F7AD8" w:rsidRPr="004F7AD8" w:rsidRDefault="004F7AD8" w:rsidP="004F7AD8">
    <w:pPr>
      <w:pStyle w:val="FooterCoverPage"/>
      <w:rPr>
        <w:rFonts w:ascii="Arial" w:hAnsi="Arial" w:cs="Arial"/>
        <w:b/>
        <w:sz w:val="48"/>
      </w:rPr>
    </w:pPr>
    <w:r w:rsidRPr="004F7AD8">
      <w:rPr>
        <w:rFonts w:ascii="Arial" w:hAnsi="Arial" w:cs="Arial"/>
        <w:b/>
        <w:sz w:val="48"/>
      </w:rPr>
      <w:t>SL</w:t>
    </w:r>
    <w:r w:rsidRPr="004F7AD8">
      <w:rPr>
        <w:rFonts w:ascii="Arial" w:hAnsi="Arial" w:cs="Arial"/>
        <w:b/>
        <w:sz w:val="48"/>
      </w:rPr>
      <w:tab/>
    </w:r>
    <w:r w:rsidRPr="004F7AD8">
      <w:rPr>
        <w:rFonts w:ascii="Arial" w:hAnsi="Arial" w:cs="Arial"/>
        <w:b/>
        <w:sz w:val="48"/>
      </w:rPr>
      <w:tab/>
    </w:r>
    <w:r w:rsidRPr="004F7AD8">
      <w:tab/>
    </w:r>
    <w:r w:rsidRPr="004F7AD8">
      <w:rPr>
        <w:rFonts w:ascii="Arial" w:hAnsi="Arial" w:cs="Arial"/>
        <w:b/>
        <w:sz w:val="48"/>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60DCA" w14:textId="678D5085" w:rsidR="004F7AD8" w:rsidRPr="004F7AD8" w:rsidRDefault="004F7AD8" w:rsidP="004F7AD8">
    <w:pPr>
      <w:pStyle w:val="FooterCoverPage"/>
      <w:rPr>
        <w:rFonts w:ascii="Arial" w:hAnsi="Arial" w:cs="Arial"/>
        <w:b/>
        <w:sz w:val="48"/>
      </w:rPr>
    </w:pPr>
    <w:r w:rsidRPr="004F7AD8">
      <w:rPr>
        <w:rFonts w:ascii="Arial" w:hAnsi="Arial" w:cs="Arial"/>
        <w:b/>
        <w:sz w:val="48"/>
      </w:rPr>
      <w:t>SL</w:t>
    </w:r>
    <w:r w:rsidRPr="004F7AD8">
      <w:rPr>
        <w:rFonts w:ascii="Arial" w:hAnsi="Arial" w:cs="Arial"/>
        <w:b/>
        <w:sz w:val="48"/>
      </w:rPr>
      <w:tab/>
    </w:r>
    <w:r w:rsidRPr="004F7AD8">
      <w:rPr>
        <w:rFonts w:ascii="Arial" w:hAnsi="Arial" w:cs="Arial"/>
        <w:b/>
        <w:sz w:val="48"/>
      </w:rPr>
      <w:tab/>
    </w:r>
    <w:r w:rsidRPr="004F7AD8">
      <w:tab/>
    </w:r>
    <w:r w:rsidRPr="004F7AD8">
      <w:rPr>
        <w:rFonts w:ascii="Arial" w:hAnsi="Arial" w:cs="Arial"/>
        <w:b/>
        <w:sz w:val="48"/>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50BF5" w14:textId="77777777" w:rsidR="004F7AD8" w:rsidRPr="004F7AD8" w:rsidRDefault="004F7AD8" w:rsidP="004F7AD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D26F6" w14:textId="77777777" w:rsidR="00843E89" w:rsidRDefault="00843E89">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CC41B" w14:textId="4BBFE92E" w:rsidR="00843E89" w:rsidRDefault="00843E89">
    <w:pPr>
      <w:pStyle w:val="FooterLine"/>
      <w:jc w:val="center"/>
    </w:pPr>
    <w:r>
      <w:fldChar w:fldCharType="begin"/>
    </w:r>
    <w:r>
      <w:instrText>PAGE   \* MERGEFORMAT</w:instrText>
    </w:r>
    <w:r>
      <w:fldChar w:fldCharType="separate"/>
    </w:r>
    <w:r w:rsidR="004F7AD8">
      <w:rPr>
        <w:noProof/>
      </w:rPr>
      <w:t>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DB10B" w14:textId="201092EA" w:rsidR="00843E89" w:rsidRPr="00C6305C" w:rsidRDefault="00843E89" w:rsidP="00145D0A">
    <w:pPr>
      <w:pStyle w:val="Footer"/>
      <w:jc w:val="center"/>
      <w:rPr>
        <w:szCs w:val="16"/>
      </w:rPr>
    </w:pPr>
    <w:r w:rsidRPr="00C6305C">
      <w:fldChar w:fldCharType="begin"/>
    </w:r>
    <w:r w:rsidRPr="00C6305C">
      <w:instrText xml:space="preserve"> PAGE  \* Arabic  \* MERGEFORMAT </w:instrText>
    </w:r>
    <w:r w:rsidRPr="00C6305C">
      <w:fldChar w:fldCharType="separate"/>
    </w:r>
    <w:r w:rsidR="004F7AD8">
      <w:rPr>
        <w:noProof/>
      </w:rPr>
      <w:t>1</w:t>
    </w:r>
    <w:r w:rsidRPr="00C6305C">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C2BC3" w14:textId="77777777" w:rsidR="00462DD1" w:rsidRDefault="00462DD1">
      <w:pPr>
        <w:spacing w:after="0"/>
      </w:pPr>
      <w:r>
        <w:separator/>
      </w:r>
    </w:p>
  </w:footnote>
  <w:footnote w:type="continuationSeparator" w:id="0">
    <w:p w14:paraId="0C6F45A8" w14:textId="77777777" w:rsidR="00462DD1" w:rsidRDefault="00462DD1">
      <w:pPr>
        <w:spacing w:after="0"/>
      </w:pPr>
      <w:r>
        <w:continuationSeparator/>
      </w:r>
    </w:p>
  </w:footnote>
  <w:footnote w:type="continuationNotice" w:id="1">
    <w:p w14:paraId="7CE0C957" w14:textId="77777777" w:rsidR="00462DD1" w:rsidRDefault="00462DD1">
      <w:pPr>
        <w:spacing w:after="0"/>
      </w:pPr>
    </w:p>
  </w:footnote>
  <w:footnote w:id="2">
    <w:p w14:paraId="5E4C6945" w14:textId="2F6DB4F4" w:rsidR="00FF0953" w:rsidRPr="00EA5B36" w:rsidRDefault="00FF0953" w:rsidP="00C21647">
      <w:pPr>
        <w:pStyle w:val="FootnoteText"/>
        <w:spacing w:after="0"/>
      </w:pPr>
      <w:r>
        <w:rPr>
          <w:rStyle w:val="FootnoteReference"/>
        </w:rPr>
        <w:footnoteRef/>
      </w:r>
      <w:r>
        <w:tab/>
        <w:t>Sporočilo Komisije Evropskemu parlamentu, Svetu, Evropskemu ekonomsko-socialnemu odboru in Odboru regij – Naložbeni načrt za trajnostno Evropo – Naložbeni načrt za evropski zeleni dogovor – COM(2020) 21 final z dne 14. januarja 2020</w:t>
      </w:r>
      <w:r>
        <w:rPr>
          <w:rStyle w:val="Hyperlink"/>
          <w:color w:val="auto"/>
          <w:u w:val="none"/>
        </w:rPr>
        <w:t>.</w:t>
      </w:r>
    </w:p>
  </w:footnote>
  <w:footnote w:id="3">
    <w:p w14:paraId="4F54D6F1" w14:textId="253626AB" w:rsidR="009C66B0" w:rsidRPr="009C66B0" w:rsidRDefault="009C66B0" w:rsidP="00D75156">
      <w:pPr>
        <w:pStyle w:val="FootnoteText"/>
        <w:spacing w:after="0"/>
      </w:pPr>
      <w:r>
        <w:rPr>
          <w:vertAlign w:val="superscript"/>
        </w:rPr>
        <w:footnoteRef/>
      </w:r>
      <w:r>
        <w:rPr>
          <w:vertAlign w:val="superscript"/>
        </w:rPr>
        <w:t xml:space="preserve"> </w:t>
      </w:r>
      <w:r>
        <w:tab/>
        <w:t>Uredba (EU) 2021/1229 Evropskega parlamenta in Sveta z dne 14. julija 2021 o instrumentu za posojila v javnem sektorju v okviru Mehanizma za pravični prehod (UL L 274, 30.7.2021).</w:t>
      </w:r>
    </w:p>
  </w:footnote>
  <w:footnote w:id="4">
    <w:p w14:paraId="0D64F9F9" w14:textId="66ECBDEF" w:rsidR="00495B62" w:rsidRPr="00495B62" w:rsidRDefault="00495B62" w:rsidP="00DA537B">
      <w:pPr>
        <w:pStyle w:val="FootnoteText"/>
        <w:spacing w:after="0"/>
      </w:pPr>
      <w:r>
        <w:rPr>
          <w:rStyle w:val="FootnoteReference"/>
        </w:rPr>
        <w:footnoteRef/>
      </w:r>
      <w:r>
        <w:tab/>
        <w:t>Uredba (EU) 2021/1119 Evropskega parlamenta in Sveta z dne 30. junija 2021 o vzpostavitvi okvira za doseganje podnebne nevtralnosti in spremembi uredb (ES) št. 401/2009 in (EU) 2018/1999 (evropska podnebna pravila) (UL L 243, 9.7.2021).</w:t>
      </w:r>
    </w:p>
  </w:footnote>
  <w:footnote w:id="5">
    <w:p w14:paraId="2D4F75D8" w14:textId="5513D1E5" w:rsidR="00495B62" w:rsidRPr="00E6749A" w:rsidRDefault="00495B62" w:rsidP="00E60972">
      <w:pPr>
        <w:pStyle w:val="FootnoteText"/>
        <w:spacing w:after="0"/>
      </w:pPr>
      <w:r>
        <w:rPr>
          <w:rStyle w:val="FootnoteReference"/>
        </w:rPr>
        <w:footnoteRef/>
      </w:r>
      <w:r>
        <w:tab/>
        <w:t>Kot je opredeljeno v členu 11 Uredbe (EU) 2021/1056 Evropskega parlamenta in Sveta z dne 24. junija 2021 o vzpostavitvi Sklada za pravični prehod (UL L 231, 30.6.2021).</w:t>
      </w:r>
    </w:p>
  </w:footnote>
  <w:footnote w:id="6">
    <w:p w14:paraId="11F04B1B" w14:textId="39DFE098" w:rsidR="008571BB" w:rsidRPr="00537687" w:rsidRDefault="008571BB" w:rsidP="00CB35FA">
      <w:pPr>
        <w:pStyle w:val="FootnoteText"/>
        <w:spacing w:after="0"/>
      </w:pPr>
      <w:r>
        <w:rPr>
          <w:rStyle w:val="FootnoteReference"/>
        </w:rPr>
        <w:footnoteRef/>
      </w:r>
      <w:r>
        <w:tab/>
        <w:t>Glej uvodno izjavo 6 Uredbe (EU) 2021/1229.</w:t>
      </w:r>
    </w:p>
  </w:footnote>
  <w:footnote w:id="7">
    <w:p w14:paraId="729CBD56" w14:textId="030309A2" w:rsidR="005B34B2" w:rsidRPr="005B34B2" w:rsidRDefault="005B34B2" w:rsidP="00843E89">
      <w:pPr>
        <w:pStyle w:val="FootnoteText"/>
        <w:spacing w:after="0"/>
      </w:pPr>
      <w:r>
        <w:rPr>
          <w:rStyle w:val="FootnoteReference"/>
        </w:rPr>
        <w:footnoteRef/>
      </w:r>
      <w:r>
        <w:tab/>
        <w:t xml:space="preserve">Vložniki ločeno zaprosijo za posojilo EIB ali finančnega posrednika; zato postopek oddaje vloge za posojilo poteka vzporedno s postopkom oddaje vloge za nepovratna sredstva. Podpis sporazuma o nepovratnih sredstvih je pogojen z odobritvijo posojila. Več podrobnosti je na voljo v dokumentu razpisa za zbiranje predlogov v okviru instrumenta za posojila v javnem sektorju: </w:t>
      </w:r>
      <w:hyperlink r:id="rId1" w:history="1">
        <w:r>
          <w:rPr>
            <w:rStyle w:val="Hyperlink"/>
          </w:rPr>
          <w:t>call-fiche_jtm-2022-2025-pslf_en.pdf (europa.eu)</w:t>
        </w:r>
      </w:hyperlink>
      <w:r>
        <w:rPr>
          <w:rStyle w:val="Hyperlink"/>
          <w:color w:val="auto"/>
          <w:u w:val="none"/>
        </w:rPr>
        <w:t>.</w:t>
      </w:r>
    </w:p>
  </w:footnote>
  <w:footnote w:id="8">
    <w:p w14:paraId="0D0AD63C" w14:textId="2568D163" w:rsidR="00FC5691" w:rsidRPr="00FC5691" w:rsidRDefault="00FC5691" w:rsidP="00843E89">
      <w:pPr>
        <w:pStyle w:val="FootnoteText"/>
        <w:spacing w:after="0"/>
      </w:pPr>
      <w:r>
        <w:rPr>
          <w:rStyle w:val="FootnoteReference"/>
        </w:rPr>
        <w:footnoteRef/>
      </w:r>
      <w:r>
        <w:tab/>
        <w:t>Znesek ne vključuje predlogov z rezervnega seznama.</w:t>
      </w:r>
    </w:p>
  </w:footnote>
  <w:footnote w:id="9">
    <w:p w14:paraId="5EE2A49B" w14:textId="32C7B6FB" w:rsidR="00C32D9A" w:rsidRPr="00C32D9A" w:rsidRDefault="00C32D9A" w:rsidP="00843E89">
      <w:pPr>
        <w:pStyle w:val="FootnoteText"/>
        <w:spacing w:after="0"/>
      </w:pPr>
      <w:r>
        <w:rPr>
          <w:rStyle w:val="FootnoteReference"/>
        </w:rPr>
        <w:footnoteRef/>
      </w:r>
      <w:r>
        <w:tab/>
        <w:t xml:space="preserve">Podrobnosti so na voljo v dokumentu razpisa za zbiranje predlogov v okviru instrumenta za posojila v javnem sektorju: </w:t>
      </w:r>
      <w:hyperlink r:id="rId2" w:history="1">
        <w:r>
          <w:rPr>
            <w:rStyle w:val="Hyperlink"/>
          </w:rPr>
          <w:t>call-fiche_jtm-2022-2025-pslf_en.pdf (europa.eu)</w:t>
        </w:r>
      </w:hyperlink>
      <w:r>
        <w:rPr>
          <w:rStyle w:val="Hyperlink"/>
          <w:color w:val="auto"/>
          <w:u w:val="none"/>
        </w:rPr>
        <w:t>.</w:t>
      </w:r>
    </w:p>
  </w:footnote>
  <w:footnote w:id="10">
    <w:p w14:paraId="58D32A50" w14:textId="7CA82829" w:rsidR="00FC5691" w:rsidRPr="00FC5691" w:rsidRDefault="00FC5691" w:rsidP="00843E89">
      <w:pPr>
        <w:pStyle w:val="FootnoteText"/>
        <w:spacing w:after="0"/>
      </w:pPr>
      <w:r>
        <w:rPr>
          <w:rStyle w:val="FootnoteReference"/>
        </w:rPr>
        <w:footnoteRef/>
      </w:r>
      <w:r>
        <w:tab/>
        <w:t>Znesek ne vključuje predlogov z rezervnega seznama.</w:t>
      </w:r>
    </w:p>
  </w:footnote>
  <w:footnote w:id="11">
    <w:p w14:paraId="55F7AEF7" w14:textId="1A63AB1D" w:rsidR="007D47DE" w:rsidRPr="00D208F9" w:rsidRDefault="00D208F9" w:rsidP="007F43B2">
      <w:pPr>
        <w:pStyle w:val="FootnoteText"/>
        <w:spacing w:after="0"/>
      </w:pPr>
      <w:r>
        <w:rPr>
          <w:rStyle w:val="FootnoteReference"/>
        </w:rPr>
        <w:footnoteRef/>
      </w:r>
      <w:r>
        <w:tab/>
        <w:t xml:space="preserve">Nacionalne dodelitve predstavljajo vrednosti po reviziji VFO za obdobje 2021–2027. </w:t>
      </w:r>
    </w:p>
  </w:footnote>
  <w:footnote w:id="12">
    <w:p w14:paraId="229EFB13" w14:textId="32C38EE1" w:rsidR="00FB4AA0" w:rsidRPr="00EA51D5" w:rsidRDefault="00FB4AA0" w:rsidP="00843E89">
      <w:pPr>
        <w:pStyle w:val="FootnoteText"/>
        <w:spacing w:after="0"/>
      </w:pPr>
      <w:r>
        <w:rPr>
          <w:rStyle w:val="FootnoteReference"/>
        </w:rPr>
        <w:footnoteRef/>
      </w:r>
      <w:r>
        <w:tab/>
        <w:t xml:space="preserve">Sporočilo za medije o socialno-ekonomskem prehodu Zahodne Makedonije: </w:t>
      </w:r>
      <w:hyperlink r:id="rId3" w:history="1">
        <w:r>
          <w:rPr>
            <w:rStyle w:val="Hyperlink"/>
            <w:i/>
          </w:rPr>
          <w:t>The transition towards a greener future of Western Macedonia is the first project supported by the European Union’s Public Sector Loan Facility</w:t>
        </w:r>
        <w:r>
          <w:rPr>
            <w:rStyle w:val="Hyperlink"/>
          </w:rPr>
          <w:t xml:space="preserve"> (Prehod na bolj zeleno prihodnost Zahodne Makedonije je prvi projekt, podprt v okviru instrumenta Evropske unije za posojila v javnem sektorju) – Evropska komisija (europa.eu)</w:t>
        </w:r>
      </w:hyperlink>
      <w:r>
        <w:rPr>
          <w:rStyle w:val="Hyperlink"/>
          <w:color w:val="auto"/>
          <w:u w:val="none"/>
        </w:rPr>
        <w:t>.</w:t>
      </w:r>
    </w:p>
  </w:footnote>
  <w:footnote w:id="13">
    <w:p w14:paraId="79A26E92" w14:textId="134D2376" w:rsidR="00FB4AA0" w:rsidRPr="00FF643D" w:rsidRDefault="00FB4AA0" w:rsidP="00843E89">
      <w:pPr>
        <w:pStyle w:val="FootnoteText"/>
        <w:spacing w:after="0"/>
      </w:pPr>
      <w:r>
        <w:rPr>
          <w:rStyle w:val="FootnoteReference"/>
        </w:rPr>
        <w:footnoteRef/>
      </w:r>
      <w:r>
        <w:tab/>
        <w:t xml:space="preserve">Sporočilo za javnost o infrastrukturah za trajnostno mobilnost za nizke emisije in kakovostne storitve: </w:t>
      </w:r>
      <w:hyperlink r:id="rId4" w:history="1">
        <w:r>
          <w:rPr>
            <w:rStyle w:val="Hyperlink"/>
            <w:i/>
          </w:rPr>
          <w:t>Green mobility in Nantes receives boost thanks to EU support</w:t>
        </w:r>
        <w:r>
          <w:rPr>
            <w:rStyle w:val="Hyperlink"/>
          </w:rPr>
          <w:t xml:space="preserve"> (EU je podprla in spodbudila zeleno mobilnost v Nantesu) – Evropska komisija (europa.eu)</w:t>
        </w:r>
      </w:hyperlink>
      <w:r>
        <w:rPr>
          <w:rStyle w:val="Hyperlink"/>
          <w:color w:val="auto"/>
          <w:u w:val="none"/>
        </w:rPr>
        <w:t>.</w:t>
      </w:r>
    </w:p>
  </w:footnote>
  <w:footnote w:id="14">
    <w:p w14:paraId="240BC899" w14:textId="7B5626D2" w:rsidR="00FB4AA0" w:rsidRPr="0090133B" w:rsidRDefault="00FB4AA0" w:rsidP="00843E89">
      <w:pPr>
        <w:pStyle w:val="FootnoteText"/>
        <w:spacing w:after="0"/>
      </w:pPr>
      <w:r>
        <w:rPr>
          <w:rStyle w:val="FootnoteReference"/>
        </w:rPr>
        <w:footnoteRef/>
      </w:r>
      <w:r>
        <w:tab/>
      </w:r>
      <w:hyperlink r:id="rId5" w:history="1">
        <w:r>
          <w:rPr>
            <w:rStyle w:val="Hyperlink"/>
            <w:i/>
          </w:rPr>
          <w:t>Sustainable and affordable housing to support green growth in Sweden</w:t>
        </w:r>
        <w:r>
          <w:rPr>
            <w:rStyle w:val="Hyperlink"/>
          </w:rPr>
          <w:t xml:space="preserve"> (Trajnostna in cenovno dostopna stanovanja za podporo zelene rasti na Švedskem) – Evropska komisija (europa.eu)</w:t>
        </w:r>
      </w:hyperlink>
      <w:r>
        <w:t>.</w:t>
      </w:r>
    </w:p>
  </w:footnote>
  <w:footnote w:id="15">
    <w:p w14:paraId="7694ABCB" w14:textId="6CCFCF72" w:rsidR="005A7568" w:rsidRPr="00FB12D1" w:rsidRDefault="005A7568" w:rsidP="00843E89">
      <w:pPr>
        <w:pStyle w:val="FootnoteText"/>
        <w:spacing w:after="0"/>
      </w:pPr>
      <w:r>
        <w:rPr>
          <w:rStyle w:val="FootnoteReference"/>
        </w:rPr>
        <w:footnoteRef/>
      </w:r>
      <w:r>
        <w:tab/>
      </w:r>
      <w:hyperlink r:id="rId6" w:history="1">
        <w:r>
          <w:rPr>
            <w:rStyle w:val="Hyperlink"/>
            <w:i/>
          </w:rPr>
          <w:t>The construction of the Ostrava Concert Hall in Czechia receives European support worth EUR 105 million</w:t>
        </w:r>
        <w:r>
          <w:rPr>
            <w:rStyle w:val="Hyperlink"/>
          </w:rPr>
          <w:t xml:space="preserve"> (Gradnji koncertne dvorane v Ostravi na Češkem dodeljena evropska podpora v vrednosti 105 milijonov EUR) – Evropska komisija (europa.eu)</w:t>
        </w:r>
      </w:hyperlink>
    </w:p>
  </w:footnote>
  <w:footnote w:id="16">
    <w:p w14:paraId="7D1D7A3D" w14:textId="05B0DB0A" w:rsidR="00035E17" w:rsidRPr="00035E17" w:rsidRDefault="00035E17" w:rsidP="00843E89">
      <w:pPr>
        <w:pStyle w:val="FootnoteText"/>
        <w:spacing w:after="0"/>
      </w:pPr>
      <w:r>
        <w:rPr>
          <w:rStyle w:val="FootnoteReference"/>
        </w:rPr>
        <w:footnoteRef/>
      </w:r>
      <w:r>
        <w:tab/>
      </w:r>
      <w:hyperlink r:id="rId7" w:history="1">
        <w:r>
          <w:rPr>
            <w:rStyle w:val="Hyperlink"/>
            <w:i/>
          </w:rPr>
          <w:t>The Public Sector Loan Facility under the Just Transition Mechanism</w:t>
        </w:r>
        <w:r>
          <w:rPr>
            <w:rStyle w:val="Hyperlink"/>
          </w:rPr>
          <w:t xml:space="preserve"> (Instrument za posojila v javnem sektorju v okviru mehanizma za pravični prehod) (youtube.com)</w:t>
        </w:r>
      </w:hyperlink>
      <w:r>
        <w:t>.</w:t>
      </w:r>
    </w:p>
  </w:footnote>
  <w:footnote w:id="17">
    <w:p w14:paraId="0AAD2C73" w14:textId="52F46AC5" w:rsidR="00035E17" w:rsidRPr="006E4294" w:rsidRDefault="00035E17" w:rsidP="00843E89">
      <w:pPr>
        <w:pStyle w:val="FootnoteText"/>
        <w:spacing w:after="0"/>
      </w:pPr>
      <w:r>
        <w:rPr>
          <w:rStyle w:val="FootnoteReference"/>
        </w:rPr>
        <w:footnoteRef/>
      </w:r>
      <w:r>
        <w:tab/>
      </w:r>
      <w:hyperlink r:id="rId8" w:history="1">
        <w:r>
          <w:rPr>
            <w:rStyle w:val="Hyperlink"/>
          </w:rPr>
          <w:t>https://youtu.be/_bgPXkIKU04</w:t>
        </w:r>
      </w:hyperlink>
      <w:r>
        <w:t>.</w:t>
      </w:r>
    </w:p>
  </w:footnote>
  <w:footnote w:id="18">
    <w:p w14:paraId="2BC9E41C" w14:textId="42589174" w:rsidR="00CC4303" w:rsidRPr="00CC4303" w:rsidRDefault="00CC4303" w:rsidP="00843E89">
      <w:pPr>
        <w:pStyle w:val="FootnoteText"/>
        <w:spacing w:after="0"/>
      </w:pPr>
      <w:r>
        <w:rPr>
          <w:rStyle w:val="FootnoteReference"/>
        </w:rPr>
        <w:footnoteRef/>
      </w:r>
      <w:r>
        <w:tab/>
        <w:t>Predstavniki Cipra, Finske in Luksemburga niso izrazili zanimanja za organizacijo posebnega sestanka.</w:t>
      </w:r>
    </w:p>
  </w:footnote>
  <w:footnote w:id="19">
    <w:p w14:paraId="301DA15C" w14:textId="471C0AD6" w:rsidR="00C80A68" w:rsidRPr="00644B12" w:rsidRDefault="00C80A68" w:rsidP="00843E89">
      <w:pPr>
        <w:pStyle w:val="FootnoteText"/>
        <w:spacing w:after="0"/>
      </w:pPr>
      <w:r>
        <w:rPr>
          <w:rStyle w:val="FootnoteReference"/>
        </w:rPr>
        <w:footnoteRef/>
      </w:r>
      <w:r>
        <w:tab/>
      </w:r>
      <w:hyperlink r:id="rId9" w:history="1">
        <w:r>
          <w:rPr>
            <w:rStyle w:val="Hyperlink"/>
          </w:rPr>
          <w:t>CINEA Project Portfolio - Welcome (Portfelj projektov CINEA – Uvodna stran)|</w:t>
        </w:r>
      </w:hyperlink>
      <w:hyperlink r:id="rId10" w:history="1">
        <w:r>
          <w:rPr>
            <w:rStyle w:val="Hyperlink"/>
          </w:rPr>
          <w:t xml:space="preserve"> Sheet - Qlik Sense (europa.eu)</w:t>
        </w:r>
      </w:hyperlink>
      <w:r>
        <w:t>.</w:t>
      </w:r>
    </w:p>
  </w:footnote>
  <w:footnote w:id="20">
    <w:p w14:paraId="4760FEC6" w14:textId="7DE7F7D8" w:rsidR="00A91B36" w:rsidRPr="0072643E" w:rsidRDefault="00A91B36" w:rsidP="00A70604">
      <w:pPr>
        <w:pStyle w:val="FootnoteText"/>
        <w:spacing w:after="0"/>
      </w:pPr>
      <w:r>
        <w:rPr>
          <w:rStyle w:val="FootnoteReference"/>
        </w:rPr>
        <w:footnoteRef/>
      </w:r>
      <w:r>
        <w:tab/>
      </w:r>
      <w:hyperlink r:id="rId11" w:history="1">
        <w:r>
          <w:rPr>
            <w:rStyle w:val="Hyperlink"/>
          </w:rPr>
          <w:t>Evropski sklad za regionalni razvoj (ESRR) (europa.eu)</w:t>
        </w:r>
      </w:hyperlink>
      <w:r>
        <w:t>.</w:t>
      </w:r>
    </w:p>
  </w:footnote>
  <w:footnote w:id="21">
    <w:p w14:paraId="6F1ACFF6" w14:textId="6FCEDA6F" w:rsidR="00A91B36" w:rsidRPr="00793189" w:rsidRDefault="00A91B36" w:rsidP="00A70604">
      <w:pPr>
        <w:pStyle w:val="FootnoteText"/>
        <w:spacing w:after="0"/>
      </w:pPr>
      <w:r>
        <w:rPr>
          <w:rStyle w:val="FootnoteReference"/>
        </w:rPr>
        <w:footnoteRef/>
      </w:r>
      <w:r>
        <w:tab/>
      </w:r>
      <w:hyperlink r:id="rId12" w:history="1">
        <w:r>
          <w:rPr>
            <w:rStyle w:val="Hyperlink"/>
          </w:rPr>
          <w:t>Kohezijski sklad (europa.eu)</w:t>
        </w:r>
      </w:hyperlink>
      <w:r>
        <w:t>.</w:t>
      </w:r>
    </w:p>
  </w:footnote>
  <w:footnote w:id="22">
    <w:p w14:paraId="72A90EFE" w14:textId="56452E2B" w:rsidR="00A91B36" w:rsidRPr="00112045" w:rsidRDefault="00A91B36" w:rsidP="00A70604">
      <w:pPr>
        <w:pStyle w:val="FootnoteText"/>
        <w:spacing w:after="0"/>
      </w:pPr>
      <w:r>
        <w:rPr>
          <w:rStyle w:val="FootnoteReference"/>
        </w:rPr>
        <w:footnoteRef/>
      </w:r>
      <w:r>
        <w:tab/>
      </w:r>
      <w:hyperlink r:id="rId13" w:history="1">
        <w:r>
          <w:rPr>
            <w:rStyle w:val="Hyperlink"/>
          </w:rPr>
          <w:t>Mehanizem za okrevanje in odpornost (europa.eu)</w:t>
        </w:r>
      </w:hyperlink>
      <w:r>
        <w:t>.</w:t>
      </w:r>
    </w:p>
  </w:footnote>
  <w:footnote w:id="23">
    <w:p w14:paraId="55889578" w14:textId="084915BC" w:rsidR="00E01C7C" w:rsidRPr="00E01C7C" w:rsidRDefault="00E01C7C" w:rsidP="00843E89">
      <w:pPr>
        <w:pStyle w:val="FootnoteText"/>
        <w:spacing w:after="0"/>
      </w:pPr>
      <w:r>
        <w:rPr>
          <w:rStyle w:val="FootnoteReference"/>
        </w:rPr>
        <w:footnoteRef/>
      </w:r>
      <w:r>
        <w:tab/>
        <w:t>Za več podrobnosti glej oddelek 4.1 drugega poročila o izvajanju instrumenta za posojila v javnem sektorju.</w:t>
      </w:r>
    </w:p>
  </w:footnote>
  <w:footnote w:id="24">
    <w:p w14:paraId="36DFE4F1" w14:textId="1C446E53" w:rsidR="008047D0" w:rsidRPr="008047D0" w:rsidRDefault="008047D0" w:rsidP="00843E89">
      <w:pPr>
        <w:pStyle w:val="FootnoteText"/>
        <w:spacing w:after="0"/>
      </w:pPr>
      <w:r>
        <w:rPr>
          <w:rStyle w:val="FootnoteReference"/>
        </w:rPr>
        <w:footnoteRef/>
      </w:r>
      <w:r>
        <w:tab/>
        <w:t xml:space="preserve">Proračun Sklada za pravični prehod vključuje sredstva, ki izhajajo iz VFO in evropskega instrumenta za okrevanje ali NextGenerationEU. V okviru sprejetih programov Sklada za pravični prehod so sredstva instrumenta NextGenerationEU skoncentrirana v proračunskih obveznostih za leti 2022 in 2023, medtem ko so sredstva VFO razporejena med letoma 2021 in 2027. 70 % proračuna Sklada za pravični prehod je zato skoncentriranih v prvih dveh letnih obrokih. Komisija bo sprostila zneske, ki niso bili uporabljeni za predhodno financiranje ali za katere zahtevek za izplačilo ni bil predložen do 31. decembra tretjega koledarskega leta, ki sledi letu proračunskih obveznosti (t. i. pravilo „N+3“); več informacij o Skladu za pravični prehod: </w:t>
      </w:r>
      <w:hyperlink r:id="rId14" w:history="1">
        <w:r>
          <w:rPr>
            <w:rStyle w:val="Hyperlink"/>
          </w:rPr>
          <w:t>Inforegio – Sklad za pravični prehod (europa.eu)</w:t>
        </w:r>
      </w:hyperlink>
      <w:r>
        <w:rPr>
          <w:rStyle w:val="Hyperlink"/>
          <w:color w:val="auto"/>
          <w:u w:val="none"/>
        </w:rPr>
        <w:t>.</w:t>
      </w:r>
    </w:p>
  </w:footnote>
  <w:footnote w:id="25">
    <w:p w14:paraId="284C9EC5" w14:textId="3521989D" w:rsidR="00654A4B" w:rsidRPr="003A26B6" w:rsidRDefault="00654A4B" w:rsidP="00843E89">
      <w:pPr>
        <w:pStyle w:val="FootnoteText"/>
        <w:spacing w:after="0"/>
      </w:pPr>
      <w:r>
        <w:rPr>
          <w:rStyle w:val="FootnoteReference"/>
        </w:rPr>
        <w:footnoteRef/>
      </w:r>
      <w:r>
        <w:tab/>
        <w:t xml:space="preserve">Več podrobnosti je na voljo v spremembi razpisa za zbiranje predlogov v okviru instrumenta za posojila v javnem sektorju, uvedeni 25. septembra 2023. </w:t>
      </w:r>
    </w:p>
  </w:footnote>
  <w:footnote w:id="26">
    <w:p w14:paraId="2DB7FCD8" w14:textId="35CA8373" w:rsidR="003339CF" w:rsidRPr="00FB12D1" w:rsidRDefault="003339CF" w:rsidP="00843E89">
      <w:pPr>
        <w:pStyle w:val="FootnoteText"/>
        <w:spacing w:after="0"/>
      </w:pPr>
      <w:r>
        <w:rPr>
          <w:rStyle w:val="FootnoteReference"/>
        </w:rPr>
        <w:footnoteRef/>
      </w:r>
      <w:r>
        <w:t xml:space="preserve"> </w:t>
      </w:r>
      <w:bookmarkStart w:id="16" w:name="_Hlk172624874"/>
      <w:r>
        <w:tab/>
        <w:t xml:space="preserve">Komisija in EIB pripravljata spremembo upravnega sporazuma med obema stranema. </w:t>
      </w:r>
      <w:bookmarkEnd w:id="16"/>
    </w:p>
  </w:footnote>
  <w:footnote w:id="27">
    <w:p w14:paraId="038C09BA" w14:textId="45284ACD" w:rsidR="00FA0551" w:rsidRPr="004331B6" w:rsidRDefault="00FA0551" w:rsidP="00843E89">
      <w:pPr>
        <w:pStyle w:val="FootnoteText"/>
        <w:spacing w:after="0"/>
      </w:pPr>
      <w:r>
        <w:rPr>
          <w:rStyle w:val="FootnoteReference"/>
        </w:rPr>
        <w:footnoteRef/>
      </w:r>
      <w:r>
        <w:tab/>
        <w:t>Za več podrobnosti glej oddelek 2.1.4 prvega poročila o izvajanju instrumenta za posojila v javnem sektorju in oddelek 2.2 drugega poročila o izvajanju instrumenta za posojila v javnem sektorju.</w:t>
      </w:r>
    </w:p>
  </w:footnote>
  <w:footnote w:id="28">
    <w:p w14:paraId="2E5DD919" w14:textId="7F2487AA" w:rsidR="00FA0551" w:rsidRPr="00684024" w:rsidRDefault="00FA0551" w:rsidP="00843E89">
      <w:pPr>
        <w:pStyle w:val="FootnoteText"/>
        <w:spacing w:after="0"/>
      </w:pPr>
      <w:r>
        <w:rPr>
          <w:rStyle w:val="FootnoteReference"/>
        </w:rPr>
        <w:footnoteRef/>
      </w:r>
      <w:r>
        <w:tab/>
        <w:t>Nekatere svetovalne dejavnosti na Cipru, v Grčiji in Franciji so se začele izvajati pred vzpostavitvijo instrumenta za posojila v javnem sektorju, zato so bile financirane iz drugih virov, kot sta Evropsko svetovalno vozlišče za naložbe (Grčija) in sklop za trajnostno infrastrukturo svetovalnega vozlišča InvestEU (Ciper in Francija).</w:t>
      </w:r>
    </w:p>
  </w:footnote>
  <w:footnote w:id="29">
    <w:p w14:paraId="615E5438" w14:textId="599186E7" w:rsidR="00FA0551" w:rsidRPr="00644B12" w:rsidRDefault="00FA0551" w:rsidP="00843E89">
      <w:pPr>
        <w:pStyle w:val="FootnoteText"/>
        <w:spacing w:after="0"/>
      </w:pPr>
      <w:r>
        <w:rPr>
          <w:rStyle w:val="FootnoteReference"/>
        </w:rPr>
        <w:footnoteRef/>
      </w:r>
      <w:r>
        <w:tab/>
      </w:r>
      <w:hyperlink r:id="rId15" w:history="1">
        <w:r>
          <w:rPr>
            <w:rStyle w:val="Hyperlink"/>
          </w:rPr>
          <w:t>Instrument za tehnično podporo (europa.eu)</w:t>
        </w:r>
      </w:hyperlink>
      <w:r>
        <w:t>.</w:t>
      </w:r>
    </w:p>
  </w:footnote>
  <w:footnote w:id="30">
    <w:p w14:paraId="7AD1D4C3" w14:textId="7C3D5FCF" w:rsidR="00FA0551" w:rsidRPr="00B81078" w:rsidRDefault="00FA0551" w:rsidP="00843E89">
      <w:pPr>
        <w:pStyle w:val="FootnoteText"/>
        <w:spacing w:after="0"/>
      </w:pPr>
      <w:r>
        <w:rPr>
          <w:rStyle w:val="FootnoteReference"/>
        </w:rPr>
        <w:footnoteRef/>
      </w:r>
      <w:r>
        <w:tab/>
      </w:r>
      <w:hyperlink r:id="rId16" w:history="1">
        <w:r>
          <w:rPr>
            <w:rStyle w:val="Hyperlink"/>
          </w:rPr>
          <w:t>Inforegio– Sklad za pravični prehod (europa.eu)</w:t>
        </w:r>
      </w:hyperlink>
      <w:r>
        <w:t>.</w:t>
      </w:r>
    </w:p>
  </w:footnote>
  <w:footnote w:id="31">
    <w:p w14:paraId="201ABF79" w14:textId="1B85EF63" w:rsidR="001E72CD" w:rsidRPr="00945908" w:rsidRDefault="001E72CD" w:rsidP="00843E89">
      <w:pPr>
        <w:pStyle w:val="FootnoteText"/>
        <w:spacing w:after="0"/>
      </w:pPr>
      <w:r>
        <w:rPr>
          <w:rStyle w:val="FootnoteReference"/>
        </w:rPr>
        <w:footnoteRef/>
      </w:r>
      <w:r>
        <w:tab/>
      </w:r>
      <w:hyperlink r:id="rId17" w:history="1">
        <w:r>
          <w:rPr>
            <w:rStyle w:val="Hyperlink"/>
          </w:rPr>
          <w:t>Qlik Sense (europa.eu)</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D03FC" w14:textId="77777777" w:rsidR="004F7AD8" w:rsidRPr="004F7AD8" w:rsidRDefault="004F7AD8" w:rsidP="004F7AD8">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2FF1B" w14:textId="77777777" w:rsidR="004F7AD8" w:rsidRPr="004F7AD8" w:rsidRDefault="004F7AD8" w:rsidP="004F7AD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18681" w14:textId="77777777" w:rsidR="004F7AD8" w:rsidRPr="004F7AD8" w:rsidRDefault="004F7AD8" w:rsidP="004F7AD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A246E" w14:textId="77777777" w:rsidR="00843E89" w:rsidRDefault="00843E89">
    <w:pPr>
      <w:pStyle w:val="Header"/>
    </w:pPr>
    <w:r>
      <w:rPr>
        <w:noProof/>
        <w:lang w:val="en-GB" w:eastAsia="en-GB"/>
      </w:rPr>
      <mc:AlternateContent>
        <mc:Choice Requires="wps">
          <w:drawing>
            <wp:anchor distT="0" distB="0" distL="0" distR="0" simplePos="0" relativeHeight="251678721" behindDoc="0" locked="0" layoutInCell="1" allowOverlap="1" wp14:anchorId="5A54581E" wp14:editId="70C54DAA">
              <wp:simplePos x="635" y="635"/>
              <wp:positionH relativeFrom="page">
                <wp:align>center</wp:align>
              </wp:positionH>
              <wp:positionV relativeFrom="page">
                <wp:align>top</wp:align>
              </wp:positionV>
              <wp:extent cx="443865" cy="443865"/>
              <wp:effectExtent l="0" t="0" r="15240" b="16510"/>
              <wp:wrapNone/>
              <wp:docPr id="8" name="Text Box 8" descr="Poslovna uporaba">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6CAA03" w14:textId="77777777" w:rsidR="00843E89" w:rsidRPr="000E0F68" w:rsidRDefault="00843E89" w:rsidP="000E0F68">
                          <w:pPr>
                            <w:spacing w:after="0"/>
                            <w:rPr>
                              <w:rFonts w:ascii="Calibri" w:eastAsia="Calibri" w:hAnsi="Calibri" w:cs="Calibri"/>
                              <w:noProof/>
                              <w:color w:val="808080"/>
                              <w:sz w:val="20"/>
                            </w:rPr>
                          </w:pPr>
                          <w:r>
                            <w:rPr>
                              <w:rFonts w:ascii="Calibri" w:hAnsi="Calibri"/>
                              <w:color w:val="808080"/>
                              <w:sz w:val="20"/>
                            </w:rPr>
                            <w:t>Poslovna uporaba</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54581E" id="_x0000_t202" coordsize="21600,21600" o:spt="202" path="m,l,21600r21600,l21600,xe">
              <v:stroke joinstyle="miter"/>
              <v:path gradientshapeok="t" o:connecttype="rect"/>
            </v:shapetype>
            <v:shape id="Text Box 8" o:spid="_x0000_s1026" type="#_x0000_t202" alt="Poslovna uporaba" style="position:absolute;left:0;text-align:left;margin-left:0;margin-top:0;width:34.95pt;height:34.95pt;z-index:25167872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" filled="f" stroked="f">
              <v:textbox style="mso-fit-shape-to-text:t" inset="0,15pt,0,0">
                <w:txbxContent>
                  <w:p w14:paraId="2B6CAA03" w14:textId="77777777" w:rsidR="00843E89" w:rsidRPr="000E0F68" w:rsidRDefault="00843E89" w:rsidP="000E0F68">
                    <w:pPr>
                      <w:spacing w:after="0"/>
                      <w:rPr>
                        <w:rFonts w:ascii="Calibri" w:eastAsia="Calibri" w:hAnsi="Calibri" w:cs="Calibri"/>
                        <w:noProof/>
                        <w:color w:val="808080"/>
                        <w:sz w:val="20"/>
                      </w:rPr>
                    </w:pPr>
                    <w:r>
                      <w:rPr>
                        <w:rFonts w:ascii="Calibri" w:hAnsi="Calibri"/>
                        <w:color w:val="808080"/>
                        <w:sz w:val="20"/>
                      </w:rPr>
                      <w:t>Poslovna uporaba</w:t>
                    </w:r>
                  </w:p>
                </w:txbxContent>
              </v:textbox>
              <w10:wrap anchorx="page" anchory="page"/>
            </v:shape>
          </w:pict>
        </mc:Fallback>
      </mc:AlternateContent>
    </w:r>
    <w:r>
      <w:rPr>
        <w:noProof/>
        <w:lang w:val="en-GB" w:eastAsia="en-GB"/>
      </w:rPr>
      <mc:AlternateContent>
        <mc:Choice Requires="wps">
          <w:drawing>
            <wp:anchor distT="0" distB="0" distL="0" distR="0" simplePos="0" relativeHeight="251677697" behindDoc="0" locked="0" layoutInCell="1" allowOverlap="1" wp14:anchorId="5C4159A2" wp14:editId="521884D3">
              <wp:simplePos x="635" y="635"/>
              <wp:positionH relativeFrom="page">
                <wp:align>center</wp:align>
              </wp:positionH>
              <wp:positionV relativeFrom="page">
                <wp:align>top</wp:align>
              </wp:positionV>
              <wp:extent cx="443865" cy="443865"/>
              <wp:effectExtent l="0" t="0" r="15240" b="16510"/>
              <wp:wrapNone/>
              <wp:docPr id="15" name="Text Box 15" descr="Poslovna uporaba">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F92D7F" w14:textId="77777777" w:rsidR="00843E89" w:rsidRPr="000E0F68" w:rsidRDefault="00843E89" w:rsidP="000E0F68">
                          <w:pPr>
                            <w:spacing w:after="0"/>
                            <w:rPr>
                              <w:rFonts w:ascii="Calibri" w:eastAsia="Calibri" w:hAnsi="Calibri" w:cs="Calibri"/>
                              <w:noProof/>
                              <w:color w:val="808080"/>
                              <w:sz w:val="20"/>
                            </w:rPr>
                          </w:pPr>
                          <w:r>
                            <w:rPr>
                              <w:rFonts w:ascii="Calibri" w:hAnsi="Calibri"/>
                              <w:color w:val="808080"/>
                              <w:sz w:val="20"/>
                            </w:rPr>
                            <w:t>Poslovna uporaba</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5C4159A2" id="Text Box 15" o:spid="_x0000_s1027" type="#_x0000_t202" alt="Poslovna uporaba" style="position:absolute;left:0;text-align:left;margin-left:0;margin-top:0;width:34.95pt;height:34.95pt;z-index:25167769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" filled="f" stroked="f">
              <v:textbox style="mso-fit-shape-to-text:t" inset="0,15pt,0,0">
                <w:txbxContent>
                  <w:p w14:paraId="0AF92D7F" w14:textId="77777777" w:rsidR="00843E89" w:rsidRPr="000E0F68" w:rsidRDefault="00843E89" w:rsidP="000E0F68">
                    <w:pPr>
                      <w:spacing w:after="0"/>
                      <w:rPr>
                        <w:rFonts w:ascii="Calibri" w:eastAsia="Calibri" w:hAnsi="Calibri" w:cs="Calibri"/>
                        <w:noProof/>
                        <w:color w:val="808080"/>
                        <w:sz w:val="20"/>
                      </w:rPr>
                    </w:pPr>
                    <w:r>
                      <w:rPr>
                        <w:rFonts w:ascii="Calibri" w:hAnsi="Calibri"/>
                        <w:color w:val="808080"/>
                        <w:sz w:val="20"/>
                      </w:rPr>
                      <w:t>Poslovna uporaba</w:t>
                    </w:r>
                  </w:p>
                </w:txbxContent>
              </v:textbox>
              <w10:wrap anchorx="page" anchory="page"/>
            </v:shape>
          </w:pict>
        </mc:Fallback>
      </mc:AlternateContent>
    </w:r>
    <w:r>
      <w:rPr>
        <w:noProof/>
        <w:lang w:val="en-GB" w:eastAsia="en-GB"/>
      </w:rPr>
      <mc:AlternateContent>
        <mc:Choice Requires="wps">
          <w:drawing>
            <wp:anchor distT="0" distB="0" distL="0" distR="0" simplePos="0" relativeHeight="251676673" behindDoc="0" locked="0" layoutInCell="1" allowOverlap="1" wp14:anchorId="11AC7EDA" wp14:editId="218B2FC3">
              <wp:simplePos x="635" y="635"/>
              <wp:positionH relativeFrom="page">
                <wp:align>center</wp:align>
              </wp:positionH>
              <wp:positionV relativeFrom="page">
                <wp:align>top</wp:align>
              </wp:positionV>
              <wp:extent cx="443865" cy="443865"/>
              <wp:effectExtent l="0" t="0" r="15240" b="16510"/>
              <wp:wrapNone/>
              <wp:docPr id="16" name="Text Box 16" descr="Poslovna uporaba">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FCC02C" w14:textId="77777777" w:rsidR="00843E89" w:rsidRPr="000E0F68" w:rsidRDefault="00843E89" w:rsidP="000E0F68">
                          <w:pPr>
                            <w:spacing w:after="0"/>
                            <w:rPr>
                              <w:rFonts w:ascii="Calibri" w:eastAsia="Calibri" w:hAnsi="Calibri" w:cs="Calibri"/>
                              <w:noProof/>
                              <w:color w:val="808080"/>
                              <w:sz w:val="20"/>
                            </w:rPr>
                          </w:pPr>
                          <w:r>
                            <w:rPr>
                              <w:rFonts w:ascii="Calibri" w:hAnsi="Calibri"/>
                              <w:color w:val="808080"/>
                              <w:sz w:val="20"/>
                            </w:rPr>
                            <w:t>Poslovna uporaba</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11AC7EDA" id="Text Box 16" o:spid="_x0000_s1028" type="#_x0000_t202" alt="Poslovna uporaba" style="position:absolute;left:0;text-align:left;margin-left:0;margin-top:0;width:34.95pt;height:34.95pt;z-index:25167667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" filled="f" stroked="f">
              <v:textbox style="mso-fit-shape-to-text:t" inset="0,15pt,0,0">
                <w:txbxContent>
                  <w:p w14:paraId="53FCC02C" w14:textId="77777777" w:rsidR="00843E89" w:rsidRPr="000E0F68" w:rsidRDefault="00843E89" w:rsidP="000E0F68">
                    <w:pPr>
                      <w:spacing w:after="0"/>
                      <w:rPr>
                        <w:rFonts w:ascii="Calibri" w:eastAsia="Calibri" w:hAnsi="Calibri" w:cs="Calibri"/>
                        <w:noProof/>
                        <w:color w:val="808080"/>
                        <w:sz w:val="20"/>
                      </w:rPr>
                    </w:pPr>
                    <w:r>
                      <w:rPr>
                        <w:rFonts w:ascii="Calibri" w:hAnsi="Calibri"/>
                        <w:color w:val="808080"/>
                        <w:sz w:val="20"/>
                      </w:rPr>
                      <w:t>Poslovna uporaba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05FA1" w14:textId="77777777" w:rsidR="00843E89" w:rsidRDefault="00843E89">
    <w:pPr>
      <w:pStyle w:val="Header"/>
    </w:pPr>
    <w:r>
      <w:rPr>
        <w:noProof/>
        <w:lang w:val="en-GB" w:eastAsia="en-GB"/>
      </w:rPr>
      <mc:AlternateContent>
        <mc:Choice Requires="wps">
          <w:drawing>
            <wp:anchor distT="0" distB="0" distL="0" distR="0" simplePos="0" relativeHeight="251674625" behindDoc="0" locked="0" layoutInCell="1" allowOverlap="1" wp14:anchorId="32D17B4E" wp14:editId="297434AE">
              <wp:simplePos x="720725" y="382270"/>
              <wp:positionH relativeFrom="page">
                <wp:align>center</wp:align>
              </wp:positionH>
              <wp:positionV relativeFrom="page">
                <wp:align>top</wp:align>
              </wp:positionV>
              <wp:extent cx="443865" cy="443865"/>
              <wp:effectExtent l="0" t="0" r="15240" b="16510"/>
              <wp:wrapNone/>
              <wp:docPr id="2" name="Text Box 2" descr="Poslovna uporaba">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373ABE" w14:textId="77777777" w:rsidR="00843E89" w:rsidRPr="000E0F68" w:rsidRDefault="00843E89" w:rsidP="000E0F68">
                          <w:pPr>
                            <w:spacing w:after="0"/>
                            <w:rPr>
                              <w:rFonts w:ascii="Calibri" w:eastAsia="Calibri" w:hAnsi="Calibri" w:cs="Calibri"/>
                              <w:noProof/>
                              <w:color w:val="808080"/>
                              <w:sz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D17B4E" id="_x0000_t202" coordsize="21600,21600" o:spt="202" path="m,l,21600r21600,l21600,xe">
              <v:stroke joinstyle="miter"/>
              <v:path gradientshapeok="t" o:connecttype="rect"/>
            </v:shapetype>
            <v:shape id="Text Box 2" o:spid="_x0000_s1029" type="#_x0000_t202" alt="Poslovna uporaba" style="position:absolute;left:0;text-align:left;margin-left:0;margin-top:0;width:34.95pt;height:34.95pt;z-index:25167462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" filled="f" stroked="f">
              <v:textbox style="mso-fit-shape-to-text:t" inset="0,15pt,0,0">
                <w:txbxContent>
                  <w:p w14:paraId="1C373ABE" w14:textId="77777777" w:rsidR="00843E89" w:rsidRPr="000E0F68" w:rsidRDefault="00843E89" w:rsidP="000E0F68">
                    <w:pPr>
                      <w:spacing w:after="0"/>
                      <w:rPr>
                        <w:rFonts w:ascii="Calibri" w:eastAsia="Calibri" w:hAnsi="Calibri" w:cs="Calibri"/>
                        <w:noProof/>
                        <w:color w:val="808080"/>
                        <w:sz w:val="20"/>
                      </w:rPr>
                    </w:pPr>
                  </w:p>
                </w:txbxContent>
              </v:textbox>
              <w10:wrap anchorx="page" anchory="page"/>
            </v:shape>
          </w:pict>
        </mc:Fallback>
      </mc:AlternateContent>
    </w:r>
    <w:r>
      <w:rPr>
        <w:noProof/>
        <w:lang w:val="en-GB" w:eastAsia="en-GB"/>
      </w:rPr>
      <mc:AlternateContent>
        <mc:Choice Requires="wps">
          <w:drawing>
            <wp:anchor distT="0" distB="0" distL="0" distR="0" simplePos="0" relativeHeight="251673601" behindDoc="0" locked="0" layoutInCell="1" allowOverlap="1" wp14:anchorId="6A15CCC7" wp14:editId="615DD8C4">
              <wp:simplePos x="720725" y="382270"/>
              <wp:positionH relativeFrom="page">
                <wp:align>center</wp:align>
              </wp:positionH>
              <wp:positionV relativeFrom="page">
                <wp:align>top</wp:align>
              </wp:positionV>
              <wp:extent cx="443865" cy="443865"/>
              <wp:effectExtent l="0" t="0" r="15240" b="16510"/>
              <wp:wrapNone/>
              <wp:docPr id="3" name="Text Box 3" descr="Poslovna uporaba">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94919C" w14:textId="77777777" w:rsidR="00843E89" w:rsidRPr="000E0F68" w:rsidRDefault="00843E89" w:rsidP="000E0F68">
                          <w:pPr>
                            <w:spacing w:after="0"/>
                            <w:rPr>
                              <w:rFonts w:ascii="Calibri" w:eastAsia="Calibri" w:hAnsi="Calibri" w:cs="Calibri"/>
                              <w:noProof/>
                              <w:color w:val="808080"/>
                              <w:sz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6A15CCC7" id="Text Box 3" o:spid="_x0000_s1030" type="#_x0000_t202" alt="Poslovna uporaba" style="position:absolute;left:0;text-align:left;margin-left:0;margin-top:0;width:34.95pt;height:34.95pt;z-index:25167360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" filled="f" stroked="f">
              <v:textbox style="mso-fit-shape-to-text:t" inset="0,15pt,0,0">
                <w:txbxContent>
                  <w:p w14:paraId="4A94919C" w14:textId="77777777" w:rsidR="00843E89" w:rsidRPr="000E0F68" w:rsidRDefault="00843E89" w:rsidP="000E0F68">
                    <w:pPr>
                      <w:spacing w:after="0"/>
                      <w:rPr>
                        <w:rFonts w:ascii="Calibri" w:eastAsia="Calibri" w:hAnsi="Calibri" w:cs="Calibri"/>
                        <w:noProof/>
                        <w:color w:val="808080"/>
                        <w:sz w:val="20"/>
                      </w:rPr>
                    </w:pPr>
                  </w:p>
                </w:txbxContent>
              </v:textbox>
              <w10:wrap anchorx="page" anchory="page"/>
            </v:shape>
          </w:pict>
        </mc:Fallback>
      </mc:AlternateContent>
    </w:r>
    <w:r>
      <w:rPr>
        <w:noProof/>
        <w:lang w:val="en-GB" w:eastAsia="en-GB"/>
      </w:rPr>
      <mc:AlternateContent>
        <mc:Choice Requires="wps">
          <w:drawing>
            <wp:anchor distT="0" distB="0" distL="0" distR="0" simplePos="0" relativeHeight="251672577" behindDoc="0" locked="0" layoutInCell="1" allowOverlap="1" wp14:anchorId="6851B550" wp14:editId="21A59D4C">
              <wp:simplePos x="720725" y="382270"/>
              <wp:positionH relativeFrom="page">
                <wp:align>center</wp:align>
              </wp:positionH>
              <wp:positionV relativeFrom="page">
                <wp:align>top</wp:align>
              </wp:positionV>
              <wp:extent cx="443865" cy="443865"/>
              <wp:effectExtent l="0" t="0" r="15240" b="16510"/>
              <wp:wrapNone/>
              <wp:docPr id="7" name="Text Box 7" descr="Poslovna uporaba">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114457" w14:textId="77777777" w:rsidR="00843E89" w:rsidRPr="000E0F68" w:rsidRDefault="00843E89" w:rsidP="000E0F68">
                          <w:pPr>
                            <w:spacing w:after="0"/>
                            <w:rPr>
                              <w:rFonts w:ascii="Calibri" w:eastAsia="Calibri" w:hAnsi="Calibri" w:cs="Calibri"/>
                              <w:noProof/>
                              <w:color w:val="808080"/>
                              <w:sz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6851B550" id="Text Box 7" o:spid="_x0000_s1031" type="#_x0000_t202" alt="Poslovna uporaba" style="position:absolute;left:0;text-align:left;margin-left:0;margin-top:0;width:34.95pt;height:34.95pt;z-index:25167257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" filled="f" stroked="f">
              <v:textbox style="mso-fit-shape-to-text:t" inset="0,15pt,0,0">
                <w:txbxContent>
                  <w:p w14:paraId="44114457" w14:textId="77777777" w:rsidR="00843E89" w:rsidRPr="000E0F68" w:rsidRDefault="00843E89" w:rsidP="000E0F68">
                    <w:pPr>
                      <w:spacing w:after="0"/>
                      <w:rPr>
                        <w:rFonts w:ascii="Calibri" w:eastAsia="Calibri" w:hAnsi="Calibri" w:cs="Calibri"/>
                        <w:noProof/>
                        <w:color w:val="808080"/>
                        <w:sz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19345" w14:textId="77777777" w:rsidR="00843E89" w:rsidRPr="00250EC3" w:rsidRDefault="00843E89" w:rsidP="00250EC3">
    <w:pPr>
      <w:pStyle w:val="Header"/>
      <w:jc w:val="right"/>
      <w:rPr>
        <w:b/>
        <w:i/>
        <w:sz w:val="16"/>
        <w:szCs w:val="16"/>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06E0"/>
    <w:multiLevelType w:val="hybridMultilevel"/>
    <w:tmpl w:val="EFE494BE"/>
    <w:lvl w:ilvl="0" w:tplc="1809001B">
      <w:start w:val="1"/>
      <w:numFmt w:val="low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2900F7"/>
    <w:multiLevelType w:val="multilevel"/>
    <w:tmpl w:val="6144FBFE"/>
    <w:name w:val="ListDash4Numbering"/>
    <w:lvl w:ilvl="0">
      <w:start w:val="1"/>
      <w:numFmt w:val="bullet"/>
      <w:pStyle w:val="ListDash4"/>
      <w:lvlText w:val="–"/>
      <w:lvlJc w:val="left"/>
      <w:pPr>
        <w:tabs>
          <w:tab w:val="num" w:pos="2803"/>
        </w:tabs>
        <w:ind w:left="2803" w:hanging="283"/>
      </w:pPr>
      <w:rPr>
        <w:rFonts w:ascii="Times New Roman" w:hAnsi="Times New Roman"/>
      </w:rPr>
    </w:lvl>
    <w:lvl w:ilvl="1">
      <w:start w:val="1"/>
      <w:numFmt w:val="bullet"/>
      <w:pStyle w:val="ListDash4Level2"/>
      <w:lvlText w:val="–"/>
      <w:lvlJc w:val="left"/>
      <w:pPr>
        <w:tabs>
          <w:tab w:val="num" w:pos="3087"/>
        </w:tabs>
        <w:ind w:left="3087" w:hanging="284"/>
      </w:pPr>
      <w:rPr>
        <w:rFonts w:ascii="Times New Roman" w:hAnsi="Times New Roman"/>
      </w:rPr>
    </w:lvl>
    <w:lvl w:ilvl="2">
      <w:start w:val="1"/>
      <w:numFmt w:val="bullet"/>
      <w:pStyle w:val="ListDash4Level3"/>
      <w:lvlText w:val="–"/>
      <w:lvlJc w:val="left"/>
      <w:pPr>
        <w:tabs>
          <w:tab w:val="num" w:pos="3370"/>
        </w:tabs>
        <w:ind w:left="3370" w:hanging="283"/>
      </w:pPr>
      <w:rPr>
        <w:rFonts w:ascii="Times New Roman" w:hAnsi="Times New Roman"/>
      </w:rPr>
    </w:lvl>
    <w:lvl w:ilvl="3">
      <w:start w:val="1"/>
      <w:numFmt w:val="bullet"/>
      <w:pStyle w:val="ListDash4Level4"/>
      <w:lvlText w:val="–"/>
      <w:lvlJc w:val="left"/>
      <w:pPr>
        <w:tabs>
          <w:tab w:val="num" w:pos="3654"/>
        </w:tabs>
        <w:ind w:left="365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B724912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62685D"/>
    <w:multiLevelType w:val="multilevel"/>
    <w:tmpl w:val="DA3CF00C"/>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3D0A16"/>
    <w:multiLevelType w:val="multilevel"/>
    <w:tmpl w:val="479218B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72F0AC5"/>
    <w:multiLevelType w:val="multilevel"/>
    <w:tmpl w:val="DC1CAC3E"/>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B2F1547"/>
    <w:multiLevelType w:val="hybridMultilevel"/>
    <w:tmpl w:val="6548F4F4"/>
    <w:lvl w:ilvl="0" w:tplc="1809001B">
      <w:start w:val="1"/>
      <w:numFmt w:val="lowerRoman"/>
      <w:lvlText w:val="%1."/>
      <w:lvlJc w:val="right"/>
      <w:pPr>
        <w:ind w:left="720" w:hanging="360"/>
      </w:pPr>
      <w:rPr>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B2F1E7E"/>
    <w:multiLevelType w:val="hybridMultilevel"/>
    <w:tmpl w:val="72664424"/>
    <w:lvl w:ilvl="0" w:tplc="6AD29498">
      <w:start w:val="1"/>
      <w:numFmt w:val="bullet"/>
      <w:lvlText w:val="‒"/>
      <w:lvlJc w:val="left"/>
      <w:pPr>
        <w:ind w:left="842" w:hanging="360"/>
      </w:pPr>
      <w:rPr>
        <w:rFonts w:ascii="Times New Roman" w:eastAsia="Times New Roman" w:hAnsi="Times New Roman" w:cs="Times New Roman" w:hint="default"/>
      </w:rPr>
    </w:lvl>
    <w:lvl w:ilvl="1" w:tplc="18090003" w:tentative="1">
      <w:start w:val="1"/>
      <w:numFmt w:val="bullet"/>
      <w:lvlText w:val="o"/>
      <w:lvlJc w:val="left"/>
      <w:pPr>
        <w:ind w:left="1562" w:hanging="360"/>
      </w:pPr>
      <w:rPr>
        <w:rFonts w:ascii="Courier New" w:hAnsi="Courier New" w:cs="Courier New" w:hint="default"/>
      </w:rPr>
    </w:lvl>
    <w:lvl w:ilvl="2" w:tplc="18090005" w:tentative="1">
      <w:start w:val="1"/>
      <w:numFmt w:val="bullet"/>
      <w:lvlText w:val=""/>
      <w:lvlJc w:val="left"/>
      <w:pPr>
        <w:ind w:left="2282" w:hanging="360"/>
      </w:pPr>
      <w:rPr>
        <w:rFonts w:ascii="Wingdings" w:hAnsi="Wingdings" w:hint="default"/>
      </w:rPr>
    </w:lvl>
    <w:lvl w:ilvl="3" w:tplc="18090001" w:tentative="1">
      <w:start w:val="1"/>
      <w:numFmt w:val="bullet"/>
      <w:lvlText w:val=""/>
      <w:lvlJc w:val="left"/>
      <w:pPr>
        <w:ind w:left="3002" w:hanging="360"/>
      </w:pPr>
      <w:rPr>
        <w:rFonts w:ascii="Symbol" w:hAnsi="Symbol" w:hint="default"/>
      </w:rPr>
    </w:lvl>
    <w:lvl w:ilvl="4" w:tplc="18090003" w:tentative="1">
      <w:start w:val="1"/>
      <w:numFmt w:val="bullet"/>
      <w:lvlText w:val="o"/>
      <w:lvlJc w:val="left"/>
      <w:pPr>
        <w:ind w:left="3722" w:hanging="360"/>
      </w:pPr>
      <w:rPr>
        <w:rFonts w:ascii="Courier New" w:hAnsi="Courier New" w:cs="Courier New" w:hint="default"/>
      </w:rPr>
    </w:lvl>
    <w:lvl w:ilvl="5" w:tplc="18090005" w:tentative="1">
      <w:start w:val="1"/>
      <w:numFmt w:val="bullet"/>
      <w:lvlText w:val=""/>
      <w:lvlJc w:val="left"/>
      <w:pPr>
        <w:ind w:left="4442" w:hanging="360"/>
      </w:pPr>
      <w:rPr>
        <w:rFonts w:ascii="Wingdings" w:hAnsi="Wingdings" w:hint="default"/>
      </w:rPr>
    </w:lvl>
    <w:lvl w:ilvl="6" w:tplc="18090001" w:tentative="1">
      <w:start w:val="1"/>
      <w:numFmt w:val="bullet"/>
      <w:lvlText w:val=""/>
      <w:lvlJc w:val="left"/>
      <w:pPr>
        <w:ind w:left="5162" w:hanging="360"/>
      </w:pPr>
      <w:rPr>
        <w:rFonts w:ascii="Symbol" w:hAnsi="Symbol" w:hint="default"/>
      </w:rPr>
    </w:lvl>
    <w:lvl w:ilvl="7" w:tplc="18090003" w:tentative="1">
      <w:start w:val="1"/>
      <w:numFmt w:val="bullet"/>
      <w:lvlText w:val="o"/>
      <w:lvlJc w:val="left"/>
      <w:pPr>
        <w:ind w:left="5882" w:hanging="360"/>
      </w:pPr>
      <w:rPr>
        <w:rFonts w:ascii="Courier New" w:hAnsi="Courier New" w:cs="Courier New" w:hint="default"/>
      </w:rPr>
    </w:lvl>
    <w:lvl w:ilvl="8" w:tplc="18090005" w:tentative="1">
      <w:start w:val="1"/>
      <w:numFmt w:val="bullet"/>
      <w:lvlText w:val=""/>
      <w:lvlJc w:val="left"/>
      <w:pPr>
        <w:ind w:left="6602" w:hanging="360"/>
      </w:pPr>
      <w:rPr>
        <w:rFonts w:ascii="Wingdings" w:hAnsi="Wingdings" w:hint="default"/>
      </w:rPr>
    </w:lvl>
  </w:abstractNum>
  <w:abstractNum w:abstractNumId="8" w15:restartNumberingAfterBreak="0">
    <w:nsid w:val="1C7B624F"/>
    <w:multiLevelType w:val="multilevel"/>
    <w:tmpl w:val="FD24D0E6"/>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EEC0C76"/>
    <w:multiLevelType w:val="hybridMultilevel"/>
    <w:tmpl w:val="8F2C107A"/>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DFDF8"/>
    <w:multiLevelType w:val="multilevel"/>
    <w:tmpl w:val="968AD7C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457E6C5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3A263FD6"/>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1474024"/>
    <w:multiLevelType w:val="hybridMultilevel"/>
    <w:tmpl w:val="C79EB54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9C223136"/>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AFD4DA6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95F3130"/>
    <w:multiLevelType w:val="multilevel"/>
    <w:tmpl w:val="E3FA742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A7730C4"/>
    <w:multiLevelType w:val="multilevel"/>
    <w:tmpl w:val="7B144B28"/>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29E6259"/>
    <w:multiLevelType w:val="hybridMultilevel"/>
    <w:tmpl w:val="02749D0E"/>
    <w:lvl w:ilvl="0" w:tplc="C102FF62">
      <w:numFmt w:val="bullet"/>
      <w:lvlText w:val="-"/>
      <w:lvlJc w:val="left"/>
      <w:pPr>
        <w:ind w:left="842" w:hanging="360"/>
      </w:pPr>
      <w:rPr>
        <w:rFonts w:ascii="Times New Roman" w:eastAsia="Times New Roman" w:hAnsi="Times New Roman" w:cs="Times New Roman" w:hint="default"/>
      </w:rPr>
    </w:lvl>
    <w:lvl w:ilvl="1" w:tplc="18090003" w:tentative="1">
      <w:start w:val="1"/>
      <w:numFmt w:val="bullet"/>
      <w:lvlText w:val="o"/>
      <w:lvlJc w:val="left"/>
      <w:pPr>
        <w:ind w:left="1562" w:hanging="360"/>
      </w:pPr>
      <w:rPr>
        <w:rFonts w:ascii="Courier New" w:hAnsi="Courier New" w:cs="Courier New" w:hint="default"/>
      </w:rPr>
    </w:lvl>
    <w:lvl w:ilvl="2" w:tplc="18090005" w:tentative="1">
      <w:start w:val="1"/>
      <w:numFmt w:val="bullet"/>
      <w:lvlText w:val=""/>
      <w:lvlJc w:val="left"/>
      <w:pPr>
        <w:ind w:left="2282" w:hanging="360"/>
      </w:pPr>
      <w:rPr>
        <w:rFonts w:ascii="Wingdings" w:hAnsi="Wingdings" w:hint="default"/>
      </w:rPr>
    </w:lvl>
    <w:lvl w:ilvl="3" w:tplc="18090001" w:tentative="1">
      <w:start w:val="1"/>
      <w:numFmt w:val="bullet"/>
      <w:lvlText w:val=""/>
      <w:lvlJc w:val="left"/>
      <w:pPr>
        <w:ind w:left="3002" w:hanging="360"/>
      </w:pPr>
      <w:rPr>
        <w:rFonts w:ascii="Symbol" w:hAnsi="Symbol" w:hint="default"/>
      </w:rPr>
    </w:lvl>
    <w:lvl w:ilvl="4" w:tplc="18090003" w:tentative="1">
      <w:start w:val="1"/>
      <w:numFmt w:val="bullet"/>
      <w:lvlText w:val="o"/>
      <w:lvlJc w:val="left"/>
      <w:pPr>
        <w:ind w:left="3722" w:hanging="360"/>
      </w:pPr>
      <w:rPr>
        <w:rFonts w:ascii="Courier New" w:hAnsi="Courier New" w:cs="Courier New" w:hint="default"/>
      </w:rPr>
    </w:lvl>
    <w:lvl w:ilvl="5" w:tplc="18090005" w:tentative="1">
      <w:start w:val="1"/>
      <w:numFmt w:val="bullet"/>
      <w:lvlText w:val=""/>
      <w:lvlJc w:val="left"/>
      <w:pPr>
        <w:ind w:left="4442" w:hanging="360"/>
      </w:pPr>
      <w:rPr>
        <w:rFonts w:ascii="Wingdings" w:hAnsi="Wingdings" w:hint="default"/>
      </w:rPr>
    </w:lvl>
    <w:lvl w:ilvl="6" w:tplc="18090001" w:tentative="1">
      <w:start w:val="1"/>
      <w:numFmt w:val="bullet"/>
      <w:lvlText w:val=""/>
      <w:lvlJc w:val="left"/>
      <w:pPr>
        <w:ind w:left="5162" w:hanging="360"/>
      </w:pPr>
      <w:rPr>
        <w:rFonts w:ascii="Symbol" w:hAnsi="Symbol" w:hint="default"/>
      </w:rPr>
    </w:lvl>
    <w:lvl w:ilvl="7" w:tplc="18090003" w:tentative="1">
      <w:start w:val="1"/>
      <w:numFmt w:val="bullet"/>
      <w:lvlText w:val="o"/>
      <w:lvlJc w:val="left"/>
      <w:pPr>
        <w:ind w:left="5882" w:hanging="360"/>
      </w:pPr>
      <w:rPr>
        <w:rFonts w:ascii="Courier New" w:hAnsi="Courier New" w:cs="Courier New" w:hint="default"/>
      </w:rPr>
    </w:lvl>
    <w:lvl w:ilvl="8" w:tplc="18090005" w:tentative="1">
      <w:start w:val="1"/>
      <w:numFmt w:val="bullet"/>
      <w:lvlText w:val=""/>
      <w:lvlJc w:val="left"/>
      <w:pPr>
        <w:ind w:left="6602" w:hanging="360"/>
      </w:pPr>
      <w:rPr>
        <w:rFonts w:ascii="Wingdings" w:hAnsi="Wingdings" w:hint="default"/>
      </w:rPr>
    </w:lvl>
  </w:abstractNum>
  <w:abstractNum w:abstractNumId="21" w15:restartNumberingAfterBreak="0">
    <w:nsid w:val="429E662A"/>
    <w:multiLevelType w:val="multilevel"/>
    <w:tmpl w:val="A2D091F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982C"/>
    <w:multiLevelType w:val="multilevel"/>
    <w:tmpl w:val="89AC250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034BBB"/>
    <w:multiLevelType w:val="hybridMultilevel"/>
    <w:tmpl w:val="160AFD66"/>
    <w:lvl w:ilvl="0" w:tplc="18090005">
      <w:start w:val="1"/>
      <w:numFmt w:val="bullet"/>
      <w:lvlText w:val=""/>
      <w:lvlJc w:val="left"/>
      <w:pPr>
        <w:ind w:left="-3960" w:hanging="360"/>
      </w:pPr>
      <w:rPr>
        <w:rFonts w:ascii="Wingdings" w:hAnsi="Wingdings"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1800" w:hanging="360"/>
      </w:pPr>
      <w:rPr>
        <w:rFonts w:ascii="Symbol" w:hAnsi="Symbol" w:hint="default"/>
      </w:rPr>
    </w:lvl>
    <w:lvl w:ilvl="4" w:tplc="18090003" w:tentative="1">
      <w:start w:val="1"/>
      <w:numFmt w:val="bullet"/>
      <w:lvlText w:val="o"/>
      <w:lvlJc w:val="left"/>
      <w:pPr>
        <w:ind w:left="-1080" w:hanging="360"/>
      </w:pPr>
      <w:rPr>
        <w:rFonts w:ascii="Courier New" w:hAnsi="Courier New" w:cs="Courier New" w:hint="default"/>
      </w:rPr>
    </w:lvl>
    <w:lvl w:ilvl="5" w:tplc="18090005" w:tentative="1">
      <w:start w:val="1"/>
      <w:numFmt w:val="bullet"/>
      <w:lvlText w:val=""/>
      <w:lvlJc w:val="left"/>
      <w:pPr>
        <w:ind w:left="-360" w:hanging="360"/>
      </w:pPr>
      <w:rPr>
        <w:rFonts w:ascii="Wingdings" w:hAnsi="Wingdings" w:hint="default"/>
      </w:rPr>
    </w:lvl>
    <w:lvl w:ilvl="6" w:tplc="18090001" w:tentative="1">
      <w:start w:val="1"/>
      <w:numFmt w:val="bullet"/>
      <w:lvlText w:val=""/>
      <w:lvlJc w:val="left"/>
      <w:pPr>
        <w:ind w:left="360" w:hanging="360"/>
      </w:pPr>
      <w:rPr>
        <w:rFonts w:ascii="Symbol" w:hAnsi="Symbol" w:hint="default"/>
      </w:rPr>
    </w:lvl>
    <w:lvl w:ilvl="7" w:tplc="18090003" w:tentative="1">
      <w:start w:val="1"/>
      <w:numFmt w:val="bullet"/>
      <w:lvlText w:val="o"/>
      <w:lvlJc w:val="left"/>
      <w:pPr>
        <w:ind w:left="1080" w:hanging="360"/>
      </w:pPr>
      <w:rPr>
        <w:rFonts w:ascii="Courier New" w:hAnsi="Courier New" w:cs="Courier New" w:hint="default"/>
      </w:rPr>
    </w:lvl>
    <w:lvl w:ilvl="8" w:tplc="18090005" w:tentative="1">
      <w:start w:val="1"/>
      <w:numFmt w:val="bullet"/>
      <w:lvlText w:val=""/>
      <w:lvlJc w:val="left"/>
      <w:pPr>
        <w:ind w:left="1800" w:hanging="360"/>
      </w:pPr>
      <w:rPr>
        <w:rFonts w:ascii="Wingdings" w:hAnsi="Wingdings" w:hint="default"/>
      </w:rPr>
    </w:lvl>
  </w:abstractNum>
  <w:abstractNum w:abstractNumId="24" w15:restartNumberingAfterBreak="0">
    <w:nsid w:val="5072619B"/>
    <w:multiLevelType w:val="multilevel"/>
    <w:tmpl w:val="43BC04F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0A060B7"/>
    <w:multiLevelType w:val="hybridMultilevel"/>
    <w:tmpl w:val="10A838C4"/>
    <w:lvl w:ilvl="0" w:tplc="0A22054C">
      <w:start w:val="1"/>
      <w:numFmt w:val="lowerRoman"/>
      <w:lvlText w:val="%1."/>
      <w:lvlJc w:val="right"/>
      <w:pPr>
        <w:ind w:left="720" w:hanging="360"/>
      </w:pPr>
      <w:rPr>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65C15CB"/>
    <w:multiLevelType w:val="hybridMultilevel"/>
    <w:tmpl w:val="854666E4"/>
    <w:lvl w:ilvl="0" w:tplc="61F45BB4">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15:restartNumberingAfterBreak="0">
    <w:nsid w:val="6977472E"/>
    <w:multiLevelType w:val="multilevel"/>
    <w:tmpl w:val="873C8B60"/>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705372F7"/>
    <w:multiLevelType w:val="multilevel"/>
    <w:tmpl w:val="E3FA742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1D67E44"/>
    <w:multiLevelType w:val="hybridMultilevel"/>
    <w:tmpl w:val="A1B8C1D0"/>
    <w:lvl w:ilvl="0" w:tplc="C102FF6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2C24641"/>
    <w:multiLevelType w:val="hybridMultilevel"/>
    <w:tmpl w:val="29F89D0A"/>
    <w:lvl w:ilvl="0" w:tplc="5EF68EA0">
      <w:start w:val="5"/>
      <w:numFmt w:val="bullet"/>
      <w:lvlText w:val="-"/>
      <w:lvlJc w:val="left"/>
      <w:pPr>
        <w:ind w:left="1440" w:hanging="360"/>
      </w:pPr>
      <w:rPr>
        <w:rFonts w:ascii="Times New Roman" w:eastAsia="Times New Roman" w:hAnsi="Times New Roman" w:cs="Times New Roman"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2" w15:restartNumberingAfterBreak="0">
    <w:nsid w:val="75C318C1"/>
    <w:multiLevelType w:val="hybridMultilevel"/>
    <w:tmpl w:val="A45C0FCE"/>
    <w:lvl w:ilvl="0" w:tplc="7E7E3174">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6697793"/>
    <w:multiLevelType w:val="multilevel"/>
    <w:tmpl w:val="1F3CC42A"/>
    <w:lvl w:ilvl="0">
      <w:start w:val="3"/>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C65145E"/>
    <w:multiLevelType w:val="multilevel"/>
    <w:tmpl w:val="C77C8B56"/>
    <w:name w:val="EurolookHeading"/>
    <w:lvl w:ilvl="0">
      <w:start w:val="1"/>
      <w:numFmt w:val="decimal"/>
      <w:lvlText w:val="%1."/>
      <w:lvlJc w:val="left"/>
      <w:pPr>
        <w:tabs>
          <w:tab w:val="num" w:pos="2750"/>
        </w:tabs>
        <w:ind w:left="2750" w:hanging="482"/>
      </w:pPr>
    </w:lvl>
    <w:lvl w:ilvl="1">
      <w:start w:val="1"/>
      <w:numFmt w:val="decimal"/>
      <w:lvlText w:val="%1.%2."/>
      <w:lvlJc w:val="left"/>
      <w:pPr>
        <w:tabs>
          <w:tab w:val="num" w:pos="3345"/>
        </w:tabs>
        <w:ind w:left="3345" w:hanging="595"/>
      </w:pPr>
      <w:rPr>
        <w:rFonts w:ascii="Times New Roman" w:hAnsi="Times New Roman" w:cs="Times New Roman" w:hint="default"/>
        <w:b/>
        <w:i w:val="0"/>
        <w:color w:val="auto"/>
        <w:lang w:val="en-US"/>
      </w:rPr>
    </w:lvl>
    <w:lvl w:ilvl="2">
      <w:start w:val="1"/>
      <w:numFmt w:val="decimal"/>
      <w:lvlText w:val="%1.%2.%3."/>
      <w:lvlJc w:val="left"/>
      <w:pPr>
        <w:tabs>
          <w:tab w:val="num" w:pos="4190"/>
        </w:tabs>
        <w:ind w:left="4190" w:hanging="845"/>
      </w:pPr>
      <w:rPr>
        <w:b/>
        <w:i w:val="0"/>
      </w:rPr>
    </w:lvl>
    <w:lvl w:ilvl="3">
      <w:start w:val="1"/>
      <w:numFmt w:val="decimal"/>
      <w:lvlText w:val="%1.%2.%3.%4."/>
      <w:lvlJc w:val="left"/>
      <w:pPr>
        <w:tabs>
          <w:tab w:val="num" w:pos="5148"/>
        </w:tabs>
        <w:ind w:left="5148" w:hanging="958"/>
      </w:pPr>
    </w:lvl>
    <w:lvl w:ilvl="4">
      <w:start w:val="1"/>
      <w:numFmt w:val="decimal"/>
      <w:lvlText w:val="%1.%2.%3.%4.%5."/>
      <w:lvlJc w:val="left"/>
      <w:pPr>
        <w:tabs>
          <w:tab w:val="num" w:pos="5148"/>
        </w:tabs>
        <w:ind w:left="6106" w:hanging="958"/>
      </w:pPr>
    </w:lvl>
    <w:lvl w:ilvl="5">
      <w:start w:val="1"/>
      <w:numFmt w:val="decimal"/>
      <w:lvlText w:val="%1.%2.%3.%4.%5.%6."/>
      <w:lvlJc w:val="left"/>
      <w:pPr>
        <w:tabs>
          <w:tab w:val="num" w:pos="5148"/>
        </w:tabs>
        <w:ind w:left="6106" w:hanging="958"/>
      </w:pPr>
    </w:lvl>
    <w:lvl w:ilvl="6">
      <w:start w:val="1"/>
      <w:numFmt w:val="decimal"/>
      <w:lvlText w:val="%1.%2.%3.%4.%5.%6.%7."/>
      <w:lvlJc w:val="left"/>
      <w:pPr>
        <w:tabs>
          <w:tab w:val="num" w:pos="5148"/>
        </w:tabs>
        <w:ind w:left="6106" w:hanging="958"/>
      </w:pPr>
    </w:lvl>
    <w:lvl w:ilvl="7">
      <w:start w:val="1"/>
      <w:numFmt w:val="decimal"/>
      <w:lvlText w:val="%1.%2.%3.%4.%5.%6.%7.%8."/>
      <w:lvlJc w:val="left"/>
      <w:pPr>
        <w:tabs>
          <w:tab w:val="num" w:pos="5148"/>
        </w:tabs>
        <w:ind w:left="6106" w:hanging="958"/>
      </w:pPr>
    </w:lvl>
    <w:lvl w:ilvl="8">
      <w:start w:val="1"/>
      <w:numFmt w:val="decimal"/>
      <w:lvlText w:val="%1.%2.%3.%4.%5.%6.%7.%8.%9."/>
      <w:lvlJc w:val="left"/>
      <w:pPr>
        <w:tabs>
          <w:tab w:val="num" w:pos="5148"/>
        </w:tabs>
        <w:ind w:left="6106" w:hanging="958"/>
      </w:pPr>
    </w:lvl>
  </w:abstractNum>
  <w:abstractNum w:abstractNumId="3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5"/>
  </w:num>
  <w:num w:numId="2">
    <w:abstractNumId w:val="13"/>
  </w:num>
  <w:num w:numId="3">
    <w:abstractNumId w:val="12"/>
  </w:num>
  <w:num w:numId="4">
    <w:abstractNumId w:val="22"/>
  </w:num>
  <w:num w:numId="5">
    <w:abstractNumId w:val="18"/>
  </w:num>
  <w:num w:numId="6">
    <w:abstractNumId w:val="11"/>
  </w:num>
  <w:num w:numId="7">
    <w:abstractNumId w:val="4"/>
  </w:num>
  <w:num w:numId="8">
    <w:abstractNumId w:val="3"/>
  </w:num>
  <w:num w:numId="9">
    <w:abstractNumId w:val="2"/>
  </w:num>
  <w:num w:numId="10">
    <w:abstractNumId w:val="21"/>
  </w:num>
  <w:num w:numId="11">
    <w:abstractNumId w:val="5"/>
  </w:num>
  <w:num w:numId="12">
    <w:abstractNumId w:val="28"/>
  </w:num>
  <w:num w:numId="13">
    <w:abstractNumId w:val="24"/>
  </w:num>
  <w:num w:numId="14">
    <w:abstractNumId w:val="16"/>
  </w:num>
  <w:num w:numId="15">
    <w:abstractNumId w:val="8"/>
  </w:num>
  <w:num w:numId="16">
    <w:abstractNumId w:val="15"/>
  </w:num>
  <w:num w:numId="17">
    <w:abstractNumId w:val="1"/>
  </w:num>
  <w:num w:numId="18">
    <w:abstractNumId w:val="19"/>
  </w:num>
  <w:num w:numId="19">
    <w:abstractNumId w:val="27"/>
  </w:num>
  <w:num w:numId="20">
    <w:abstractNumId w:val="17"/>
  </w:num>
  <w:num w:numId="21">
    <w:abstractNumId w:val="20"/>
  </w:num>
  <w:num w:numId="22">
    <w:abstractNumId w:val="31"/>
  </w:num>
  <w:num w:numId="23">
    <w:abstractNumId w:val="30"/>
  </w:num>
  <w:num w:numId="24">
    <w:abstractNumId w:val="9"/>
  </w:num>
  <w:num w:numId="25">
    <w:abstractNumId w:val="14"/>
  </w:num>
  <w:num w:numId="26">
    <w:abstractNumId w:val="23"/>
  </w:num>
  <w:num w:numId="27">
    <w:abstractNumId w:val="7"/>
  </w:num>
  <w:num w:numId="28">
    <w:abstractNumId w:val="6"/>
  </w:num>
  <w:num w:numId="29">
    <w:abstractNumId w:val="25"/>
  </w:num>
  <w:num w:numId="30">
    <w:abstractNumId w:val="32"/>
  </w:num>
  <w:num w:numId="31">
    <w:abstractNumId w:val="29"/>
  </w:num>
  <w:num w:numId="32">
    <w:abstractNumId w:val="26"/>
  </w:num>
  <w:num w:numId="33">
    <w:abstractNumId w:val="33"/>
  </w:num>
  <w:num w:numId="34">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l-PL"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C716CC54-0F47-4F7C-B2F6-A4DBD97AB469"/>
    <w:docVar w:name="LW_COVERPAGE_TYPE" w:val="1"/>
    <w:docVar w:name="LW_CROSSREFERENCE" w:val="&lt;UNUSED&gt;"/>
    <w:docVar w:name="LW_DocType" w:val="1A63FA88216A4FE584FF410AEB8E82F0"/>
    <w:docVar w:name="LW_EMISSION" w:val="30.9.2024"/>
    <w:docVar w:name="LW_EMISSION_ISODATE" w:val="2024-09-30"/>
    <w:docVar w:name="LW_EMISSION_LOCATION" w:val="BRX"/>
    <w:docVar w:name="LW_EMISSION_PREFIX" w:val="Bruselj, "/>
    <w:docVar w:name="LW_EMISSION_SUFFIX" w:val=" "/>
    <w:docVar w:name="LW_ID_DOCTYPE_NONLW" w:val="CP-006"/>
    <w:docVar w:name="LW_LANGUE" w:val="SL"/>
    <w:docVar w:name="LW_LEVEL_OF_SENSITIVITY" w:val="Standard treatment"/>
    <w:docVar w:name="LW_NOM.INST" w:val="EVROPSKA KOMISIJA"/>
    <w:docVar w:name="LW_NOM.INST_JOINTDOC" w:val="&lt;EMPTY&gt;"/>
    <w:docVar w:name="LW_PART_NBR" w:val="1"/>
    <w:docVar w:name="LW_PART_NBR_TOTAL" w:val="1"/>
    <w:docVar w:name="LW_REF.INST.NEW" w:val="COM"/>
    <w:docVar w:name="LW_REF.INST.NEW_ADOPTED" w:val="final"/>
    <w:docVar w:name="LW_REF.INST.NEW_TEXT" w:val="(2024) 42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 izvajanju instrumenta za posojila v javnem sektorju v okviru mehanizma za pravi\u269?ni prehod v letu 2024 iz \u269?lena 16 Uredbe (EU) 2021/1229&lt;/FMT&gt;"/>
    <w:docVar w:name="LW_TYPE.DOC.CP" w:val="PORO\u268?ILO KOMISIJE EVROPSKEMU PARLAMENTU IN SVETU"/>
    <w:docVar w:name="LwApiVersions" w:val="LW4CoDe 1.24.5.0; LW 9.0, Build 20240221"/>
  </w:docVars>
  <w:rsids>
    <w:rsidRoot w:val="00D95E85"/>
    <w:rsid w:val="000002FE"/>
    <w:rsid w:val="00000993"/>
    <w:rsid w:val="00000A89"/>
    <w:rsid w:val="000010C0"/>
    <w:rsid w:val="0000136C"/>
    <w:rsid w:val="000016C1"/>
    <w:rsid w:val="00003F47"/>
    <w:rsid w:val="00005189"/>
    <w:rsid w:val="000062D8"/>
    <w:rsid w:val="0000765B"/>
    <w:rsid w:val="00007BC3"/>
    <w:rsid w:val="00007FB2"/>
    <w:rsid w:val="00010053"/>
    <w:rsid w:val="00011AB0"/>
    <w:rsid w:val="00012EDA"/>
    <w:rsid w:val="0001463F"/>
    <w:rsid w:val="00014BB6"/>
    <w:rsid w:val="00014D63"/>
    <w:rsid w:val="000151E4"/>
    <w:rsid w:val="00017648"/>
    <w:rsid w:val="00017D3D"/>
    <w:rsid w:val="00017D91"/>
    <w:rsid w:val="00017DA0"/>
    <w:rsid w:val="0002073F"/>
    <w:rsid w:val="00022772"/>
    <w:rsid w:val="00023256"/>
    <w:rsid w:val="0002383B"/>
    <w:rsid w:val="00023EE8"/>
    <w:rsid w:val="0002569C"/>
    <w:rsid w:val="0002606A"/>
    <w:rsid w:val="0002667E"/>
    <w:rsid w:val="000266F2"/>
    <w:rsid w:val="00026D8F"/>
    <w:rsid w:val="00027160"/>
    <w:rsid w:val="000272BB"/>
    <w:rsid w:val="00030A79"/>
    <w:rsid w:val="000317B8"/>
    <w:rsid w:val="00031872"/>
    <w:rsid w:val="00032652"/>
    <w:rsid w:val="00035232"/>
    <w:rsid w:val="000356EF"/>
    <w:rsid w:val="000358C9"/>
    <w:rsid w:val="00035E17"/>
    <w:rsid w:val="00036011"/>
    <w:rsid w:val="000362D9"/>
    <w:rsid w:val="00036416"/>
    <w:rsid w:val="00036A60"/>
    <w:rsid w:val="00037215"/>
    <w:rsid w:val="000415B0"/>
    <w:rsid w:val="00041A3B"/>
    <w:rsid w:val="00042510"/>
    <w:rsid w:val="00042A25"/>
    <w:rsid w:val="00043878"/>
    <w:rsid w:val="00043A81"/>
    <w:rsid w:val="00043EE5"/>
    <w:rsid w:val="00044BB7"/>
    <w:rsid w:val="00044D7F"/>
    <w:rsid w:val="00045C60"/>
    <w:rsid w:val="000460B2"/>
    <w:rsid w:val="0004674B"/>
    <w:rsid w:val="00046C31"/>
    <w:rsid w:val="00046EDA"/>
    <w:rsid w:val="00047883"/>
    <w:rsid w:val="000505F4"/>
    <w:rsid w:val="00052088"/>
    <w:rsid w:val="00052D87"/>
    <w:rsid w:val="000539E6"/>
    <w:rsid w:val="000550E2"/>
    <w:rsid w:val="000551FD"/>
    <w:rsid w:val="000556F2"/>
    <w:rsid w:val="00055A29"/>
    <w:rsid w:val="0005649F"/>
    <w:rsid w:val="000572A1"/>
    <w:rsid w:val="000577AF"/>
    <w:rsid w:val="0005783D"/>
    <w:rsid w:val="000578B1"/>
    <w:rsid w:val="000578FD"/>
    <w:rsid w:val="00061116"/>
    <w:rsid w:val="0006173D"/>
    <w:rsid w:val="000620B0"/>
    <w:rsid w:val="00063E16"/>
    <w:rsid w:val="000643B8"/>
    <w:rsid w:val="000655DF"/>
    <w:rsid w:val="00066396"/>
    <w:rsid w:val="0006675D"/>
    <w:rsid w:val="000678B1"/>
    <w:rsid w:val="00067EBE"/>
    <w:rsid w:val="0007025E"/>
    <w:rsid w:val="00071262"/>
    <w:rsid w:val="0007187C"/>
    <w:rsid w:val="00072CE9"/>
    <w:rsid w:val="000732D3"/>
    <w:rsid w:val="0007361A"/>
    <w:rsid w:val="00075102"/>
    <w:rsid w:val="0007521C"/>
    <w:rsid w:val="000772E8"/>
    <w:rsid w:val="00080520"/>
    <w:rsid w:val="0008122B"/>
    <w:rsid w:val="0008171A"/>
    <w:rsid w:val="00082C26"/>
    <w:rsid w:val="00082ED3"/>
    <w:rsid w:val="000838A7"/>
    <w:rsid w:val="00084002"/>
    <w:rsid w:val="00084AC5"/>
    <w:rsid w:val="00084EBB"/>
    <w:rsid w:val="00085D9B"/>
    <w:rsid w:val="00085FDE"/>
    <w:rsid w:val="0008777F"/>
    <w:rsid w:val="00087BA8"/>
    <w:rsid w:val="00090E10"/>
    <w:rsid w:val="00092EA0"/>
    <w:rsid w:val="00093F66"/>
    <w:rsid w:val="000947D5"/>
    <w:rsid w:val="00094A38"/>
    <w:rsid w:val="00094AE1"/>
    <w:rsid w:val="00094B02"/>
    <w:rsid w:val="00096E4C"/>
    <w:rsid w:val="00097E5D"/>
    <w:rsid w:val="000A10E2"/>
    <w:rsid w:val="000A186C"/>
    <w:rsid w:val="000A2D86"/>
    <w:rsid w:val="000A3C50"/>
    <w:rsid w:val="000A3F10"/>
    <w:rsid w:val="000A4C02"/>
    <w:rsid w:val="000A57F7"/>
    <w:rsid w:val="000A78DC"/>
    <w:rsid w:val="000B2083"/>
    <w:rsid w:val="000B2199"/>
    <w:rsid w:val="000B2799"/>
    <w:rsid w:val="000B2E73"/>
    <w:rsid w:val="000B2FF1"/>
    <w:rsid w:val="000B30CD"/>
    <w:rsid w:val="000B3316"/>
    <w:rsid w:val="000B4F79"/>
    <w:rsid w:val="000B51C5"/>
    <w:rsid w:val="000C0698"/>
    <w:rsid w:val="000C1310"/>
    <w:rsid w:val="000C1CC5"/>
    <w:rsid w:val="000C2B85"/>
    <w:rsid w:val="000C2D1B"/>
    <w:rsid w:val="000C2E7E"/>
    <w:rsid w:val="000C6049"/>
    <w:rsid w:val="000C631B"/>
    <w:rsid w:val="000D1891"/>
    <w:rsid w:val="000D1AB7"/>
    <w:rsid w:val="000D2B77"/>
    <w:rsid w:val="000D2C37"/>
    <w:rsid w:val="000D35AD"/>
    <w:rsid w:val="000D3DDC"/>
    <w:rsid w:val="000D4E4B"/>
    <w:rsid w:val="000D585B"/>
    <w:rsid w:val="000D6C39"/>
    <w:rsid w:val="000D71C4"/>
    <w:rsid w:val="000D795F"/>
    <w:rsid w:val="000E0F68"/>
    <w:rsid w:val="000E1394"/>
    <w:rsid w:val="000E28DD"/>
    <w:rsid w:val="000E2AEF"/>
    <w:rsid w:val="000E2E56"/>
    <w:rsid w:val="000E2FD3"/>
    <w:rsid w:val="000E4851"/>
    <w:rsid w:val="000E5B9C"/>
    <w:rsid w:val="000E5D9C"/>
    <w:rsid w:val="000E614F"/>
    <w:rsid w:val="000E7C3A"/>
    <w:rsid w:val="000F0DE7"/>
    <w:rsid w:val="000F3DB7"/>
    <w:rsid w:val="000F40A9"/>
    <w:rsid w:val="000F4960"/>
    <w:rsid w:val="000F4CBF"/>
    <w:rsid w:val="000F5180"/>
    <w:rsid w:val="000F6C9C"/>
    <w:rsid w:val="000F724D"/>
    <w:rsid w:val="001012E9"/>
    <w:rsid w:val="00102787"/>
    <w:rsid w:val="00103436"/>
    <w:rsid w:val="00103CC8"/>
    <w:rsid w:val="001044CE"/>
    <w:rsid w:val="0010478B"/>
    <w:rsid w:val="00104AB8"/>
    <w:rsid w:val="00104D50"/>
    <w:rsid w:val="00105D6C"/>
    <w:rsid w:val="00111978"/>
    <w:rsid w:val="00112045"/>
    <w:rsid w:val="00112F1E"/>
    <w:rsid w:val="00113927"/>
    <w:rsid w:val="00116842"/>
    <w:rsid w:val="0011698B"/>
    <w:rsid w:val="00116B99"/>
    <w:rsid w:val="00117C17"/>
    <w:rsid w:val="001207A3"/>
    <w:rsid w:val="00121456"/>
    <w:rsid w:val="001222F6"/>
    <w:rsid w:val="00122473"/>
    <w:rsid w:val="00124718"/>
    <w:rsid w:val="00125F4B"/>
    <w:rsid w:val="0012797D"/>
    <w:rsid w:val="0013013E"/>
    <w:rsid w:val="00130195"/>
    <w:rsid w:val="00133BC7"/>
    <w:rsid w:val="00135BA0"/>
    <w:rsid w:val="00136034"/>
    <w:rsid w:val="001378C1"/>
    <w:rsid w:val="00137944"/>
    <w:rsid w:val="001379F7"/>
    <w:rsid w:val="00140026"/>
    <w:rsid w:val="001403B5"/>
    <w:rsid w:val="0014095C"/>
    <w:rsid w:val="00141369"/>
    <w:rsid w:val="00141CD5"/>
    <w:rsid w:val="00142D3D"/>
    <w:rsid w:val="00142DD5"/>
    <w:rsid w:val="001438A3"/>
    <w:rsid w:val="0014415C"/>
    <w:rsid w:val="0014491C"/>
    <w:rsid w:val="00144AD4"/>
    <w:rsid w:val="00145D0A"/>
    <w:rsid w:val="00146CF5"/>
    <w:rsid w:val="00151B32"/>
    <w:rsid w:val="00152B1E"/>
    <w:rsid w:val="00153BC6"/>
    <w:rsid w:val="00154714"/>
    <w:rsid w:val="001547C4"/>
    <w:rsid w:val="00154813"/>
    <w:rsid w:val="001557E3"/>
    <w:rsid w:val="001559C5"/>
    <w:rsid w:val="0015735A"/>
    <w:rsid w:val="0016206E"/>
    <w:rsid w:val="00162F74"/>
    <w:rsid w:val="00163C88"/>
    <w:rsid w:val="00164451"/>
    <w:rsid w:val="00164C45"/>
    <w:rsid w:val="0016544C"/>
    <w:rsid w:val="0016566C"/>
    <w:rsid w:val="00165EE3"/>
    <w:rsid w:val="00166CF8"/>
    <w:rsid w:val="0016737A"/>
    <w:rsid w:val="0016746C"/>
    <w:rsid w:val="00167DF0"/>
    <w:rsid w:val="001720B0"/>
    <w:rsid w:val="0017223A"/>
    <w:rsid w:val="00173129"/>
    <w:rsid w:val="00174109"/>
    <w:rsid w:val="001746A6"/>
    <w:rsid w:val="00175FD5"/>
    <w:rsid w:val="001761DD"/>
    <w:rsid w:val="00176C33"/>
    <w:rsid w:val="00177032"/>
    <w:rsid w:val="00177126"/>
    <w:rsid w:val="00180178"/>
    <w:rsid w:val="001811BE"/>
    <w:rsid w:val="001814B5"/>
    <w:rsid w:val="0018292A"/>
    <w:rsid w:val="00182BCF"/>
    <w:rsid w:val="00183860"/>
    <w:rsid w:val="00183C71"/>
    <w:rsid w:val="0018470F"/>
    <w:rsid w:val="00185262"/>
    <w:rsid w:val="00185860"/>
    <w:rsid w:val="00185AFA"/>
    <w:rsid w:val="00185BF0"/>
    <w:rsid w:val="0018714D"/>
    <w:rsid w:val="00187B7C"/>
    <w:rsid w:val="001906E5"/>
    <w:rsid w:val="00190C88"/>
    <w:rsid w:val="00193170"/>
    <w:rsid w:val="00193DC5"/>
    <w:rsid w:val="00194CE3"/>
    <w:rsid w:val="001952FC"/>
    <w:rsid w:val="00195340"/>
    <w:rsid w:val="0019553A"/>
    <w:rsid w:val="001970C9"/>
    <w:rsid w:val="0019777D"/>
    <w:rsid w:val="00197D90"/>
    <w:rsid w:val="001A0751"/>
    <w:rsid w:val="001A18D4"/>
    <w:rsid w:val="001A1F68"/>
    <w:rsid w:val="001A22E1"/>
    <w:rsid w:val="001A2746"/>
    <w:rsid w:val="001A2FC1"/>
    <w:rsid w:val="001A3076"/>
    <w:rsid w:val="001A51D9"/>
    <w:rsid w:val="001A6FAC"/>
    <w:rsid w:val="001A7085"/>
    <w:rsid w:val="001A78B3"/>
    <w:rsid w:val="001A7F03"/>
    <w:rsid w:val="001B2E3E"/>
    <w:rsid w:val="001B35CE"/>
    <w:rsid w:val="001B3A93"/>
    <w:rsid w:val="001B3E1E"/>
    <w:rsid w:val="001B40EA"/>
    <w:rsid w:val="001B51D1"/>
    <w:rsid w:val="001B5799"/>
    <w:rsid w:val="001B59A4"/>
    <w:rsid w:val="001B5A68"/>
    <w:rsid w:val="001C01CF"/>
    <w:rsid w:val="001C02FB"/>
    <w:rsid w:val="001C03F9"/>
    <w:rsid w:val="001C20C6"/>
    <w:rsid w:val="001C2332"/>
    <w:rsid w:val="001C745D"/>
    <w:rsid w:val="001C765B"/>
    <w:rsid w:val="001D0313"/>
    <w:rsid w:val="001D08DB"/>
    <w:rsid w:val="001D14D9"/>
    <w:rsid w:val="001D14EC"/>
    <w:rsid w:val="001D1847"/>
    <w:rsid w:val="001D1978"/>
    <w:rsid w:val="001D1FD1"/>
    <w:rsid w:val="001D230F"/>
    <w:rsid w:val="001D2410"/>
    <w:rsid w:val="001D2982"/>
    <w:rsid w:val="001D3D89"/>
    <w:rsid w:val="001D43FB"/>
    <w:rsid w:val="001E0D28"/>
    <w:rsid w:val="001E233E"/>
    <w:rsid w:val="001E28FC"/>
    <w:rsid w:val="001E2BB5"/>
    <w:rsid w:val="001E2E77"/>
    <w:rsid w:val="001E364F"/>
    <w:rsid w:val="001E441E"/>
    <w:rsid w:val="001E4909"/>
    <w:rsid w:val="001E5749"/>
    <w:rsid w:val="001E72CD"/>
    <w:rsid w:val="001E7F2B"/>
    <w:rsid w:val="001F05A0"/>
    <w:rsid w:val="001F08B0"/>
    <w:rsid w:val="001F1150"/>
    <w:rsid w:val="001F1177"/>
    <w:rsid w:val="001F1195"/>
    <w:rsid w:val="001F20E7"/>
    <w:rsid w:val="001F2CAC"/>
    <w:rsid w:val="001F3F1A"/>
    <w:rsid w:val="001F3F20"/>
    <w:rsid w:val="001F5560"/>
    <w:rsid w:val="001F6504"/>
    <w:rsid w:val="001F69D3"/>
    <w:rsid w:val="001F7259"/>
    <w:rsid w:val="002006B2"/>
    <w:rsid w:val="00200DBF"/>
    <w:rsid w:val="00201947"/>
    <w:rsid w:val="00201D67"/>
    <w:rsid w:val="002020E1"/>
    <w:rsid w:val="0020233B"/>
    <w:rsid w:val="002028B3"/>
    <w:rsid w:val="0020410D"/>
    <w:rsid w:val="002049F7"/>
    <w:rsid w:val="002050E6"/>
    <w:rsid w:val="002054C1"/>
    <w:rsid w:val="00205D31"/>
    <w:rsid w:val="00206638"/>
    <w:rsid w:val="00206E32"/>
    <w:rsid w:val="00206EB6"/>
    <w:rsid w:val="00206ED5"/>
    <w:rsid w:val="00206F62"/>
    <w:rsid w:val="00210850"/>
    <w:rsid w:val="00210D60"/>
    <w:rsid w:val="00211BAC"/>
    <w:rsid w:val="00211BB1"/>
    <w:rsid w:val="002122B4"/>
    <w:rsid w:val="002123EF"/>
    <w:rsid w:val="00212494"/>
    <w:rsid w:val="00212E50"/>
    <w:rsid w:val="00213C7C"/>
    <w:rsid w:val="00214527"/>
    <w:rsid w:val="002150F2"/>
    <w:rsid w:val="00220684"/>
    <w:rsid w:val="002208C3"/>
    <w:rsid w:val="00220E37"/>
    <w:rsid w:val="002211A6"/>
    <w:rsid w:val="00222415"/>
    <w:rsid w:val="00222438"/>
    <w:rsid w:val="00222C7E"/>
    <w:rsid w:val="00224391"/>
    <w:rsid w:val="002247B9"/>
    <w:rsid w:val="00224AE1"/>
    <w:rsid w:val="002268B3"/>
    <w:rsid w:val="00226E48"/>
    <w:rsid w:val="0022733A"/>
    <w:rsid w:val="002276E1"/>
    <w:rsid w:val="00227DC2"/>
    <w:rsid w:val="002329C0"/>
    <w:rsid w:val="002338D4"/>
    <w:rsid w:val="0023444B"/>
    <w:rsid w:val="00235873"/>
    <w:rsid w:val="00236DF2"/>
    <w:rsid w:val="002418F0"/>
    <w:rsid w:val="00241E3D"/>
    <w:rsid w:val="00242685"/>
    <w:rsid w:val="002437C8"/>
    <w:rsid w:val="002438C5"/>
    <w:rsid w:val="00245C05"/>
    <w:rsid w:val="0024618F"/>
    <w:rsid w:val="002464D5"/>
    <w:rsid w:val="00246967"/>
    <w:rsid w:val="0024730D"/>
    <w:rsid w:val="002502E2"/>
    <w:rsid w:val="00250A58"/>
    <w:rsid w:val="00250EC3"/>
    <w:rsid w:val="00250FFF"/>
    <w:rsid w:val="0025168C"/>
    <w:rsid w:val="00251749"/>
    <w:rsid w:val="00251F1A"/>
    <w:rsid w:val="00252080"/>
    <w:rsid w:val="002522C2"/>
    <w:rsid w:val="00255598"/>
    <w:rsid w:val="00256319"/>
    <w:rsid w:val="00256D56"/>
    <w:rsid w:val="00257286"/>
    <w:rsid w:val="002572ED"/>
    <w:rsid w:val="002577CD"/>
    <w:rsid w:val="002606C4"/>
    <w:rsid w:val="002609D4"/>
    <w:rsid w:val="002622F4"/>
    <w:rsid w:val="002628F2"/>
    <w:rsid w:val="00262AA6"/>
    <w:rsid w:val="00262E43"/>
    <w:rsid w:val="0026318B"/>
    <w:rsid w:val="0026346C"/>
    <w:rsid w:val="00263A8A"/>
    <w:rsid w:val="002645DB"/>
    <w:rsid w:val="002654AC"/>
    <w:rsid w:val="00266238"/>
    <w:rsid w:val="002677BF"/>
    <w:rsid w:val="00270299"/>
    <w:rsid w:val="00270390"/>
    <w:rsid w:val="002707B8"/>
    <w:rsid w:val="002715E9"/>
    <w:rsid w:val="0027270E"/>
    <w:rsid w:val="00272C25"/>
    <w:rsid w:val="002730CC"/>
    <w:rsid w:val="00274201"/>
    <w:rsid w:val="00274A49"/>
    <w:rsid w:val="002753F5"/>
    <w:rsid w:val="002760F5"/>
    <w:rsid w:val="00276797"/>
    <w:rsid w:val="00276D5A"/>
    <w:rsid w:val="00277097"/>
    <w:rsid w:val="0027726B"/>
    <w:rsid w:val="00277293"/>
    <w:rsid w:val="002776C8"/>
    <w:rsid w:val="0028092B"/>
    <w:rsid w:val="00280AAE"/>
    <w:rsid w:val="002810E4"/>
    <w:rsid w:val="00281DA7"/>
    <w:rsid w:val="002822A5"/>
    <w:rsid w:val="00282C2D"/>
    <w:rsid w:val="0028345A"/>
    <w:rsid w:val="00283D6D"/>
    <w:rsid w:val="0028414D"/>
    <w:rsid w:val="00284776"/>
    <w:rsid w:val="00284BF3"/>
    <w:rsid w:val="00287EE0"/>
    <w:rsid w:val="002905EC"/>
    <w:rsid w:val="00290B25"/>
    <w:rsid w:val="00291E3C"/>
    <w:rsid w:val="00291E88"/>
    <w:rsid w:val="002925C9"/>
    <w:rsid w:val="002925CE"/>
    <w:rsid w:val="002935E4"/>
    <w:rsid w:val="00293F3E"/>
    <w:rsid w:val="00294236"/>
    <w:rsid w:val="0029426E"/>
    <w:rsid w:val="00294B27"/>
    <w:rsid w:val="00294FBD"/>
    <w:rsid w:val="00294FD0"/>
    <w:rsid w:val="00296041"/>
    <w:rsid w:val="00296C74"/>
    <w:rsid w:val="00296E63"/>
    <w:rsid w:val="002973D4"/>
    <w:rsid w:val="00297F06"/>
    <w:rsid w:val="002A0760"/>
    <w:rsid w:val="002A07FB"/>
    <w:rsid w:val="002A096C"/>
    <w:rsid w:val="002A09A1"/>
    <w:rsid w:val="002A1179"/>
    <w:rsid w:val="002A155A"/>
    <w:rsid w:val="002A1734"/>
    <w:rsid w:val="002A1B21"/>
    <w:rsid w:val="002A25D8"/>
    <w:rsid w:val="002A36B4"/>
    <w:rsid w:val="002A3B8F"/>
    <w:rsid w:val="002A3D60"/>
    <w:rsid w:val="002A442B"/>
    <w:rsid w:val="002A45E1"/>
    <w:rsid w:val="002A470C"/>
    <w:rsid w:val="002A4FBE"/>
    <w:rsid w:val="002A5E98"/>
    <w:rsid w:val="002A6A7F"/>
    <w:rsid w:val="002A7520"/>
    <w:rsid w:val="002B056E"/>
    <w:rsid w:val="002B0593"/>
    <w:rsid w:val="002B07C5"/>
    <w:rsid w:val="002B106E"/>
    <w:rsid w:val="002B24B7"/>
    <w:rsid w:val="002B3384"/>
    <w:rsid w:val="002B3A0A"/>
    <w:rsid w:val="002B3AB7"/>
    <w:rsid w:val="002B4517"/>
    <w:rsid w:val="002B46F7"/>
    <w:rsid w:val="002B511B"/>
    <w:rsid w:val="002B760A"/>
    <w:rsid w:val="002C0C75"/>
    <w:rsid w:val="002C3153"/>
    <w:rsid w:val="002C3A2E"/>
    <w:rsid w:val="002C3BA5"/>
    <w:rsid w:val="002C46EF"/>
    <w:rsid w:val="002C491D"/>
    <w:rsid w:val="002C4FE0"/>
    <w:rsid w:val="002C59E5"/>
    <w:rsid w:val="002C692A"/>
    <w:rsid w:val="002C6BD2"/>
    <w:rsid w:val="002D14C9"/>
    <w:rsid w:val="002D2334"/>
    <w:rsid w:val="002D41ED"/>
    <w:rsid w:val="002D48F1"/>
    <w:rsid w:val="002D5349"/>
    <w:rsid w:val="002D564D"/>
    <w:rsid w:val="002D62F4"/>
    <w:rsid w:val="002D7314"/>
    <w:rsid w:val="002D7E7C"/>
    <w:rsid w:val="002E10FE"/>
    <w:rsid w:val="002E12CB"/>
    <w:rsid w:val="002E14BC"/>
    <w:rsid w:val="002E1DE4"/>
    <w:rsid w:val="002E2188"/>
    <w:rsid w:val="002E22EC"/>
    <w:rsid w:val="002E24EE"/>
    <w:rsid w:val="002E663F"/>
    <w:rsid w:val="002F0800"/>
    <w:rsid w:val="002F13B2"/>
    <w:rsid w:val="002F1A3C"/>
    <w:rsid w:val="002F21E0"/>
    <w:rsid w:val="002F32BD"/>
    <w:rsid w:val="002F40B0"/>
    <w:rsid w:val="002F412A"/>
    <w:rsid w:val="002F4C84"/>
    <w:rsid w:val="002F5127"/>
    <w:rsid w:val="002F62EC"/>
    <w:rsid w:val="002F6CDC"/>
    <w:rsid w:val="002F6F4D"/>
    <w:rsid w:val="002F78B9"/>
    <w:rsid w:val="002F7DD6"/>
    <w:rsid w:val="002F7FA5"/>
    <w:rsid w:val="00300B8C"/>
    <w:rsid w:val="0030130D"/>
    <w:rsid w:val="003014E1"/>
    <w:rsid w:val="00301F1B"/>
    <w:rsid w:val="00301FE3"/>
    <w:rsid w:val="0030258C"/>
    <w:rsid w:val="00302B2D"/>
    <w:rsid w:val="00303E53"/>
    <w:rsid w:val="003048A1"/>
    <w:rsid w:val="0030491F"/>
    <w:rsid w:val="00305049"/>
    <w:rsid w:val="00305951"/>
    <w:rsid w:val="00306085"/>
    <w:rsid w:val="0030655C"/>
    <w:rsid w:val="003065CE"/>
    <w:rsid w:val="003068ED"/>
    <w:rsid w:val="003070A1"/>
    <w:rsid w:val="00307C08"/>
    <w:rsid w:val="0031168F"/>
    <w:rsid w:val="003119B6"/>
    <w:rsid w:val="0031426E"/>
    <w:rsid w:val="00314722"/>
    <w:rsid w:val="00314AF7"/>
    <w:rsid w:val="00314AFC"/>
    <w:rsid w:val="00314E4F"/>
    <w:rsid w:val="00315315"/>
    <w:rsid w:val="00316C0D"/>
    <w:rsid w:val="00316D68"/>
    <w:rsid w:val="0031799E"/>
    <w:rsid w:val="00317FFC"/>
    <w:rsid w:val="00320D30"/>
    <w:rsid w:val="00320EF4"/>
    <w:rsid w:val="00322FC6"/>
    <w:rsid w:val="003238E6"/>
    <w:rsid w:val="00324641"/>
    <w:rsid w:val="00325D4E"/>
    <w:rsid w:val="00327137"/>
    <w:rsid w:val="0032740C"/>
    <w:rsid w:val="003279F2"/>
    <w:rsid w:val="003324C2"/>
    <w:rsid w:val="00332D48"/>
    <w:rsid w:val="00333351"/>
    <w:rsid w:val="003339CF"/>
    <w:rsid w:val="00333BE0"/>
    <w:rsid w:val="00333FAC"/>
    <w:rsid w:val="00334768"/>
    <w:rsid w:val="0033504B"/>
    <w:rsid w:val="003372E5"/>
    <w:rsid w:val="00340C98"/>
    <w:rsid w:val="00341900"/>
    <w:rsid w:val="003427B1"/>
    <w:rsid w:val="00342DFF"/>
    <w:rsid w:val="00343420"/>
    <w:rsid w:val="00343680"/>
    <w:rsid w:val="003437AA"/>
    <w:rsid w:val="00343AB3"/>
    <w:rsid w:val="00344384"/>
    <w:rsid w:val="00344C8D"/>
    <w:rsid w:val="003453B6"/>
    <w:rsid w:val="00346807"/>
    <w:rsid w:val="00346C71"/>
    <w:rsid w:val="00347E1A"/>
    <w:rsid w:val="00350B23"/>
    <w:rsid w:val="00350E01"/>
    <w:rsid w:val="00350F44"/>
    <w:rsid w:val="00352611"/>
    <w:rsid w:val="00356856"/>
    <w:rsid w:val="00356F9F"/>
    <w:rsid w:val="00357975"/>
    <w:rsid w:val="0036060A"/>
    <w:rsid w:val="00360B97"/>
    <w:rsid w:val="00360F3B"/>
    <w:rsid w:val="003617A0"/>
    <w:rsid w:val="00362BB7"/>
    <w:rsid w:val="00366A48"/>
    <w:rsid w:val="00367597"/>
    <w:rsid w:val="00367C0A"/>
    <w:rsid w:val="00367ED0"/>
    <w:rsid w:val="003710B1"/>
    <w:rsid w:val="0037150D"/>
    <w:rsid w:val="0037243A"/>
    <w:rsid w:val="0037366C"/>
    <w:rsid w:val="00373A02"/>
    <w:rsid w:val="00373BFA"/>
    <w:rsid w:val="00373DC0"/>
    <w:rsid w:val="00373E0D"/>
    <w:rsid w:val="003755B8"/>
    <w:rsid w:val="00376B1A"/>
    <w:rsid w:val="00376D64"/>
    <w:rsid w:val="00376D96"/>
    <w:rsid w:val="00376EDC"/>
    <w:rsid w:val="003771BF"/>
    <w:rsid w:val="00380787"/>
    <w:rsid w:val="0038316B"/>
    <w:rsid w:val="00383D3C"/>
    <w:rsid w:val="00383DE5"/>
    <w:rsid w:val="00383E22"/>
    <w:rsid w:val="0038505A"/>
    <w:rsid w:val="0038572A"/>
    <w:rsid w:val="00385BAA"/>
    <w:rsid w:val="003860C6"/>
    <w:rsid w:val="00386C05"/>
    <w:rsid w:val="00387EED"/>
    <w:rsid w:val="00390A3F"/>
    <w:rsid w:val="0039152A"/>
    <w:rsid w:val="00391D43"/>
    <w:rsid w:val="00394260"/>
    <w:rsid w:val="00394518"/>
    <w:rsid w:val="00394DE4"/>
    <w:rsid w:val="0039529A"/>
    <w:rsid w:val="00395B8E"/>
    <w:rsid w:val="00397054"/>
    <w:rsid w:val="003A01C2"/>
    <w:rsid w:val="003A1F39"/>
    <w:rsid w:val="003A3E72"/>
    <w:rsid w:val="003A40DE"/>
    <w:rsid w:val="003A4F30"/>
    <w:rsid w:val="003A517A"/>
    <w:rsid w:val="003A5267"/>
    <w:rsid w:val="003A5D8E"/>
    <w:rsid w:val="003B15A0"/>
    <w:rsid w:val="003B3CF6"/>
    <w:rsid w:val="003B3EB7"/>
    <w:rsid w:val="003B4872"/>
    <w:rsid w:val="003B5532"/>
    <w:rsid w:val="003B5CF5"/>
    <w:rsid w:val="003B5D43"/>
    <w:rsid w:val="003B63E7"/>
    <w:rsid w:val="003B7726"/>
    <w:rsid w:val="003C088E"/>
    <w:rsid w:val="003C15E1"/>
    <w:rsid w:val="003C27AD"/>
    <w:rsid w:val="003C3664"/>
    <w:rsid w:val="003C43E0"/>
    <w:rsid w:val="003C5E90"/>
    <w:rsid w:val="003C61B5"/>
    <w:rsid w:val="003C6CCD"/>
    <w:rsid w:val="003C6E26"/>
    <w:rsid w:val="003C6F5C"/>
    <w:rsid w:val="003D05F8"/>
    <w:rsid w:val="003D0690"/>
    <w:rsid w:val="003D11A2"/>
    <w:rsid w:val="003D1373"/>
    <w:rsid w:val="003D15AB"/>
    <w:rsid w:val="003D1736"/>
    <w:rsid w:val="003D23D5"/>
    <w:rsid w:val="003D2E65"/>
    <w:rsid w:val="003D34BD"/>
    <w:rsid w:val="003D35D0"/>
    <w:rsid w:val="003D3D6E"/>
    <w:rsid w:val="003D5396"/>
    <w:rsid w:val="003D6EDB"/>
    <w:rsid w:val="003D7ADC"/>
    <w:rsid w:val="003E0502"/>
    <w:rsid w:val="003E1A05"/>
    <w:rsid w:val="003E1E57"/>
    <w:rsid w:val="003E2AB0"/>
    <w:rsid w:val="003E5348"/>
    <w:rsid w:val="003E5AA4"/>
    <w:rsid w:val="003E7A8C"/>
    <w:rsid w:val="003F01A7"/>
    <w:rsid w:val="003F1CF6"/>
    <w:rsid w:val="003F21C1"/>
    <w:rsid w:val="003F2C19"/>
    <w:rsid w:val="003F32FC"/>
    <w:rsid w:val="003F333C"/>
    <w:rsid w:val="003F3EEE"/>
    <w:rsid w:val="003F40B1"/>
    <w:rsid w:val="003F5AEA"/>
    <w:rsid w:val="003F693E"/>
    <w:rsid w:val="003F7281"/>
    <w:rsid w:val="004000F9"/>
    <w:rsid w:val="00400B36"/>
    <w:rsid w:val="00400F80"/>
    <w:rsid w:val="004017EA"/>
    <w:rsid w:val="004018EE"/>
    <w:rsid w:val="0040277A"/>
    <w:rsid w:val="0040355F"/>
    <w:rsid w:val="00403743"/>
    <w:rsid w:val="0040504F"/>
    <w:rsid w:val="00406B4C"/>
    <w:rsid w:val="004074C9"/>
    <w:rsid w:val="00407CDB"/>
    <w:rsid w:val="004105B9"/>
    <w:rsid w:val="00410699"/>
    <w:rsid w:val="004107A7"/>
    <w:rsid w:val="004113E3"/>
    <w:rsid w:val="0041222B"/>
    <w:rsid w:val="00412392"/>
    <w:rsid w:val="00413A1B"/>
    <w:rsid w:val="00414223"/>
    <w:rsid w:val="00414972"/>
    <w:rsid w:val="00415980"/>
    <w:rsid w:val="00415A83"/>
    <w:rsid w:val="00415C06"/>
    <w:rsid w:val="00415D90"/>
    <w:rsid w:val="004160C7"/>
    <w:rsid w:val="00416F4C"/>
    <w:rsid w:val="00417607"/>
    <w:rsid w:val="0042150E"/>
    <w:rsid w:val="00421A17"/>
    <w:rsid w:val="0042216F"/>
    <w:rsid w:val="004227F5"/>
    <w:rsid w:val="0042366F"/>
    <w:rsid w:val="00423905"/>
    <w:rsid w:val="0042482C"/>
    <w:rsid w:val="004269EC"/>
    <w:rsid w:val="00427320"/>
    <w:rsid w:val="004276CC"/>
    <w:rsid w:val="004276D7"/>
    <w:rsid w:val="0042786B"/>
    <w:rsid w:val="004307CC"/>
    <w:rsid w:val="004309E4"/>
    <w:rsid w:val="00430E44"/>
    <w:rsid w:val="00431895"/>
    <w:rsid w:val="00431B16"/>
    <w:rsid w:val="0043222E"/>
    <w:rsid w:val="0043246C"/>
    <w:rsid w:val="00432AA7"/>
    <w:rsid w:val="004331B6"/>
    <w:rsid w:val="004333A3"/>
    <w:rsid w:val="004337C0"/>
    <w:rsid w:val="00433AEE"/>
    <w:rsid w:val="00434241"/>
    <w:rsid w:val="0043528A"/>
    <w:rsid w:val="0043558F"/>
    <w:rsid w:val="004420D1"/>
    <w:rsid w:val="0044313B"/>
    <w:rsid w:val="004435E0"/>
    <w:rsid w:val="00444349"/>
    <w:rsid w:val="00445FFA"/>
    <w:rsid w:val="0044614A"/>
    <w:rsid w:val="00446DF7"/>
    <w:rsid w:val="00447F91"/>
    <w:rsid w:val="00450513"/>
    <w:rsid w:val="00450CD0"/>
    <w:rsid w:val="00450D8A"/>
    <w:rsid w:val="00452507"/>
    <w:rsid w:val="00452C27"/>
    <w:rsid w:val="00452D74"/>
    <w:rsid w:val="00454048"/>
    <w:rsid w:val="00455CF6"/>
    <w:rsid w:val="00456CB1"/>
    <w:rsid w:val="00456FA9"/>
    <w:rsid w:val="00457D9F"/>
    <w:rsid w:val="00461903"/>
    <w:rsid w:val="00461A26"/>
    <w:rsid w:val="0046203A"/>
    <w:rsid w:val="0046268C"/>
    <w:rsid w:val="00462DD1"/>
    <w:rsid w:val="00463651"/>
    <w:rsid w:val="00463F07"/>
    <w:rsid w:val="00466ABB"/>
    <w:rsid w:val="00467216"/>
    <w:rsid w:val="00467516"/>
    <w:rsid w:val="00467E4D"/>
    <w:rsid w:val="00470348"/>
    <w:rsid w:val="004703EE"/>
    <w:rsid w:val="004715F7"/>
    <w:rsid w:val="004724AB"/>
    <w:rsid w:val="00473958"/>
    <w:rsid w:val="00474928"/>
    <w:rsid w:val="00475184"/>
    <w:rsid w:val="00475511"/>
    <w:rsid w:val="0047661B"/>
    <w:rsid w:val="0047695F"/>
    <w:rsid w:val="0047697E"/>
    <w:rsid w:val="00476EDA"/>
    <w:rsid w:val="00476F89"/>
    <w:rsid w:val="00476FD9"/>
    <w:rsid w:val="004779EF"/>
    <w:rsid w:val="00477B41"/>
    <w:rsid w:val="00480583"/>
    <w:rsid w:val="004815AD"/>
    <w:rsid w:val="0048216E"/>
    <w:rsid w:val="004828D7"/>
    <w:rsid w:val="00483A47"/>
    <w:rsid w:val="00484367"/>
    <w:rsid w:val="00484909"/>
    <w:rsid w:val="00485507"/>
    <w:rsid w:val="0048619B"/>
    <w:rsid w:val="0048690E"/>
    <w:rsid w:val="0048758C"/>
    <w:rsid w:val="004875F9"/>
    <w:rsid w:val="0048778A"/>
    <w:rsid w:val="00490802"/>
    <w:rsid w:val="00491299"/>
    <w:rsid w:val="004912BD"/>
    <w:rsid w:val="004915A9"/>
    <w:rsid w:val="004915D5"/>
    <w:rsid w:val="00491F4E"/>
    <w:rsid w:val="00494E80"/>
    <w:rsid w:val="00495B62"/>
    <w:rsid w:val="004973CB"/>
    <w:rsid w:val="004977FE"/>
    <w:rsid w:val="004A0A32"/>
    <w:rsid w:val="004A2D75"/>
    <w:rsid w:val="004A3E28"/>
    <w:rsid w:val="004A41C9"/>
    <w:rsid w:val="004A429B"/>
    <w:rsid w:val="004A570C"/>
    <w:rsid w:val="004A5C70"/>
    <w:rsid w:val="004A64E4"/>
    <w:rsid w:val="004A7594"/>
    <w:rsid w:val="004B00C2"/>
    <w:rsid w:val="004B2B5C"/>
    <w:rsid w:val="004B4F33"/>
    <w:rsid w:val="004B6688"/>
    <w:rsid w:val="004B67D1"/>
    <w:rsid w:val="004B6E0C"/>
    <w:rsid w:val="004B6EB4"/>
    <w:rsid w:val="004B7C26"/>
    <w:rsid w:val="004C01FB"/>
    <w:rsid w:val="004C0297"/>
    <w:rsid w:val="004C14E0"/>
    <w:rsid w:val="004C2960"/>
    <w:rsid w:val="004C32B3"/>
    <w:rsid w:val="004C4306"/>
    <w:rsid w:val="004C493D"/>
    <w:rsid w:val="004C6CF7"/>
    <w:rsid w:val="004C7201"/>
    <w:rsid w:val="004D199A"/>
    <w:rsid w:val="004D2962"/>
    <w:rsid w:val="004D3010"/>
    <w:rsid w:val="004D3303"/>
    <w:rsid w:val="004D3A62"/>
    <w:rsid w:val="004D4300"/>
    <w:rsid w:val="004D5B2D"/>
    <w:rsid w:val="004D6119"/>
    <w:rsid w:val="004D6437"/>
    <w:rsid w:val="004D669F"/>
    <w:rsid w:val="004D79D1"/>
    <w:rsid w:val="004E0104"/>
    <w:rsid w:val="004E2195"/>
    <w:rsid w:val="004E2BB1"/>
    <w:rsid w:val="004E2E85"/>
    <w:rsid w:val="004E2EA5"/>
    <w:rsid w:val="004E36A3"/>
    <w:rsid w:val="004E3C61"/>
    <w:rsid w:val="004E4B9B"/>
    <w:rsid w:val="004E6670"/>
    <w:rsid w:val="004E6ECA"/>
    <w:rsid w:val="004F12D2"/>
    <w:rsid w:val="004F1F27"/>
    <w:rsid w:val="004F33E7"/>
    <w:rsid w:val="004F57D1"/>
    <w:rsid w:val="004F6BB2"/>
    <w:rsid w:val="004F6CA7"/>
    <w:rsid w:val="004F7AD8"/>
    <w:rsid w:val="00500AE1"/>
    <w:rsid w:val="00500B31"/>
    <w:rsid w:val="00501889"/>
    <w:rsid w:val="00501DDA"/>
    <w:rsid w:val="00502BD7"/>
    <w:rsid w:val="0050365F"/>
    <w:rsid w:val="005039B3"/>
    <w:rsid w:val="00503ABF"/>
    <w:rsid w:val="00505252"/>
    <w:rsid w:val="00506269"/>
    <w:rsid w:val="005068AB"/>
    <w:rsid w:val="00507C2A"/>
    <w:rsid w:val="00510710"/>
    <w:rsid w:val="005109A6"/>
    <w:rsid w:val="00510DE5"/>
    <w:rsid w:val="005111CF"/>
    <w:rsid w:val="0051192B"/>
    <w:rsid w:val="005119A7"/>
    <w:rsid w:val="0051286C"/>
    <w:rsid w:val="00513BCE"/>
    <w:rsid w:val="005142D2"/>
    <w:rsid w:val="00515CC8"/>
    <w:rsid w:val="00516A66"/>
    <w:rsid w:val="00520D97"/>
    <w:rsid w:val="00521E84"/>
    <w:rsid w:val="00522361"/>
    <w:rsid w:val="00523D36"/>
    <w:rsid w:val="005242C4"/>
    <w:rsid w:val="00524CD7"/>
    <w:rsid w:val="00527BC4"/>
    <w:rsid w:val="00530029"/>
    <w:rsid w:val="00530D58"/>
    <w:rsid w:val="005322F4"/>
    <w:rsid w:val="00532997"/>
    <w:rsid w:val="00533704"/>
    <w:rsid w:val="00534321"/>
    <w:rsid w:val="005362D3"/>
    <w:rsid w:val="005365B1"/>
    <w:rsid w:val="0053670A"/>
    <w:rsid w:val="0053693B"/>
    <w:rsid w:val="00536F57"/>
    <w:rsid w:val="0053721A"/>
    <w:rsid w:val="00537687"/>
    <w:rsid w:val="00537D1D"/>
    <w:rsid w:val="0054154A"/>
    <w:rsid w:val="005423BD"/>
    <w:rsid w:val="00542F13"/>
    <w:rsid w:val="00543BEA"/>
    <w:rsid w:val="00543E20"/>
    <w:rsid w:val="00544A5D"/>
    <w:rsid w:val="00546CBD"/>
    <w:rsid w:val="00546D15"/>
    <w:rsid w:val="00547505"/>
    <w:rsid w:val="00547766"/>
    <w:rsid w:val="005513EA"/>
    <w:rsid w:val="005521B1"/>
    <w:rsid w:val="00552D5A"/>
    <w:rsid w:val="00553126"/>
    <w:rsid w:val="00553B70"/>
    <w:rsid w:val="00553FF7"/>
    <w:rsid w:val="0055413C"/>
    <w:rsid w:val="00554868"/>
    <w:rsid w:val="005548C1"/>
    <w:rsid w:val="00554F58"/>
    <w:rsid w:val="005560C6"/>
    <w:rsid w:val="0055621B"/>
    <w:rsid w:val="005579E9"/>
    <w:rsid w:val="00560A3E"/>
    <w:rsid w:val="00562ECD"/>
    <w:rsid w:val="00563538"/>
    <w:rsid w:val="00564B0C"/>
    <w:rsid w:val="00566F14"/>
    <w:rsid w:val="005712B2"/>
    <w:rsid w:val="00571BC2"/>
    <w:rsid w:val="00572269"/>
    <w:rsid w:val="005732B6"/>
    <w:rsid w:val="00573D97"/>
    <w:rsid w:val="00574085"/>
    <w:rsid w:val="0057517B"/>
    <w:rsid w:val="0057522D"/>
    <w:rsid w:val="00575D86"/>
    <w:rsid w:val="0057631D"/>
    <w:rsid w:val="0057633E"/>
    <w:rsid w:val="00576758"/>
    <w:rsid w:val="00576CE5"/>
    <w:rsid w:val="0057782C"/>
    <w:rsid w:val="005802D2"/>
    <w:rsid w:val="00582A15"/>
    <w:rsid w:val="00582D30"/>
    <w:rsid w:val="00582FA0"/>
    <w:rsid w:val="005840EB"/>
    <w:rsid w:val="005848F1"/>
    <w:rsid w:val="00584EA8"/>
    <w:rsid w:val="00585DB3"/>
    <w:rsid w:val="00586A93"/>
    <w:rsid w:val="00586D54"/>
    <w:rsid w:val="00587CBB"/>
    <w:rsid w:val="005901EC"/>
    <w:rsid w:val="00591CBF"/>
    <w:rsid w:val="00591CE0"/>
    <w:rsid w:val="00591EEE"/>
    <w:rsid w:val="00592129"/>
    <w:rsid w:val="00592A78"/>
    <w:rsid w:val="00592D5B"/>
    <w:rsid w:val="00593429"/>
    <w:rsid w:val="00594786"/>
    <w:rsid w:val="00595898"/>
    <w:rsid w:val="00596722"/>
    <w:rsid w:val="00596A97"/>
    <w:rsid w:val="00596DBD"/>
    <w:rsid w:val="005973E8"/>
    <w:rsid w:val="005A3398"/>
    <w:rsid w:val="005A3AC0"/>
    <w:rsid w:val="005A417F"/>
    <w:rsid w:val="005A4375"/>
    <w:rsid w:val="005A4E4D"/>
    <w:rsid w:val="005A6ECB"/>
    <w:rsid w:val="005A702F"/>
    <w:rsid w:val="005A7568"/>
    <w:rsid w:val="005B17E4"/>
    <w:rsid w:val="005B30E8"/>
    <w:rsid w:val="005B34B2"/>
    <w:rsid w:val="005B3615"/>
    <w:rsid w:val="005B3618"/>
    <w:rsid w:val="005B3E7C"/>
    <w:rsid w:val="005B426B"/>
    <w:rsid w:val="005B4FF5"/>
    <w:rsid w:val="005B73B7"/>
    <w:rsid w:val="005C0609"/>
    <w:rsid w:val="005C06B0"/>
    <w:rsid w:val="005C1B93"/>
    <w:rsid w:val="005C34C9"/>
    <w:rsid w:val="005C4ABA"/>
    <w:rsid w:val="005C564D"/>
    <w:rsid w:val="005C619F"/>
    <w:rsid w:val="005C6227"/>
    <w:rsid w:val="005C6827"/>
    <w:rsid w:val="005C6E0D"/>
    <w:rsid w:val="005C7054"/>
    <w:rsid w:val="005C970B"/>
    <w:rsid w:val="005D01DA"/>
    <w:rsid w:val="005D09E5"/>
    <w:rsid w:val="005D1179"/>
    <w:rsid w:val="005D2570"/>
    <w:rsid w:val="005D2A11"/>
    <w:rsid w:val="005D2EBD"/>
    <w:rsid w:val="005D2FE0"/>
    <w:rsid w:val="005D37FC"/>
    <w:rsid w:val="005D3D3C"/>
    <w:rsid w:val="005D50ED"/>
    <w:rsid w:val="005D6DC3"/>
    <w:rsid w:val="005D6E1F"/>
    <w:rsid w:val="005D7A60"/>
    <w:rsid w:val="005E02CA"/>
    <w:rsid w:val="005E2FAA"/>
    <w:rsid w:val="005E3115"/>
    <w:rsid w:val="005E3450"/>
    <w:rsid w:val="005E3544"/>
    <w:rsid w:val="005E4016"/>
    <w:rsid w:val="005E4679"/>
    <w:rsid w:val="005E4A09"/>
    <w:rsid w:val="005E7851"/>
    <w:rsid w:val="005F04E8"/>
    <w:rsid w:val="005F0A5F"/>
    <w:rsid w:val="005F0F5A"/>
    <w:rsid w:val="005F25AF"/>
    <w:rsid w:val="005F2D17"/>
    <w:rsid w:val="005F30FB"/>
    <w:rsid w:val="005F44E4"/>
    <w:rsid w:val="005F598F"/>
    <w:rsid w:val="005F6353"/>
    <w:rsid w:val="005F737F"/>
    <w:rsid w:val="005F7678"/>
    <w:rsid w:val="005F7875"/>
    <w:rsid w:val="005F7E45"/>
    <w:rsid w:val="0060115B"/>
    <w:rsid w:val="00601B68"/>
    <w:rsid w:val="00605CC5"/>
    <w:rsid w:val="006064C7"/>
    <w:rsid w:val="006065C8"/>
    <w:rsid w:val="00606B1B"/>
    <w:rsid w:val="00606DDA"/>
    <w:rsid w:val="00607B81"/>
    <w:rsid w:val="006108C8"/>
    <w:rsid w:val="006108FE"/>
    <w:rsid w:val="00611801"/>
    <w:rsid w:val="00611ECB"/>
    <w:rsid w:val="006128AD"/>
    <w:rsid w:val="00615664"/>
    <w:rsid w:val="006158EA"/>
    <w:rsid w:val="00615FE2"/>
    <w:rsid w:val="00616C09"/>
    <w:rsid w:val="006175D2"/>
    <w:rsid w:val="00622693"/>
    <w:rsid w:val="006232CD"/>
    <w:rsid w:val="00624AA1"/>
    <w:rsid w:val="00625782"/>
    <w:rsid w:val="00625F0D"/>
    <w:rsid w:val="00625FFB"/>
    <w:rsid w:val="00626006"/>
    <w:rsid w:val="00626DDB"/>
    <w:rsid w:val="00631865"/>
    <w:rsid w:val="00631F6A"/>
    <w:rsid w:val="006347E4"/>
    <w:rsid w:val="00634A83"/>
    <w:rsid w:val="00634EC2"/>
    <w:rsid w:val="00634ECF"/>
    <w:rsid w:val="0063509A"/>
    <w:rsid w:val="006351B1"/>
    <w:rsid w:val="0063632F"/>
    <w:rsid w:val="006366E0"/>
    <w:rsid w:val="00640008"/>
    <w:rsid w:val="006404CD"/>
    <w:rsid w:val="006408FE"/>
    <w:rsid w:val="00642504"/>
    <w:rsid w:val="00642D9F"/>
    <w:rsid w:val="00643D2C"/>
    <w:rsid w:val="00644B12"/>
    <w:rsid w:val="00645266"/>
    <w:rsid w:val="00646011"/>
    <w:rsid w:val="00646197"/>
    <w:rsid w:val="0064730A"/>
    <w:rsid w:val="0064761F"/>
    <w:rsid w:val="006478D2"/>
    <w:rsid w:val="00647F3E"/>
    <w:rsid w:val="00650AC4"/>
    <w:rsid w:val="00651AE6"/>
    <w:rsid w:val="00652477"/>
    <w:rsid w:val="0065262B"/>
    <w:rsid w:val="00652F9F"/>
    <w:rsid w:val="0065309B"/>
    <w:rsid w:val="006534BE"/>
    <w:rsid w:val="006544FC"/>
    <w:rsid w:val="006547E1"/>
    <w:rsid w:val="006548C8"/>
    <w:rsid w:val="00654A4B"/>
    <w:rsid w:val="00654CFD"/>
    <w:rsid w:val="006565B4"/>
    <w:rsid w:val="0065674D"/>
    <w:rsid w:val="006601C0"/>
    <w:rsid w:val="006622C9"/>
    <w:rsid w:val="00663745"/>
    <w:rsid w:val="00665A3C"/>
    <w:rsid w:val="00666618"/>
    <w:rsid w:val="00667099"/>
    <w:rsid w:val="006673F3"/>
    <w:rsid w:val="00667424"/>
    <w:rsid w:val="00670CF7"/>
    <w:rsid w:val="00670D2D"/>
    <w:rsid w:val="006719AC"/>
    <w:rsid w:val="00671C74"/>
    <w:rsid w:val="00672AAD"/>
    <w:rsid w:val="006731B4"/>
    <w:rsid w:val="00676ADF"/>
    <w:rsid w:val="00676DB3"/>
    <w:rsid w:val="0068076F"/>
    <w:rsid w:val="00681575"/>
    <w:rsid w:val="006815F0"/>
    <w:rsid w:val="00681E19"/>
    <w:rsid w:val="00682173"/>
    <w:rsid w:val="00682EA0"/>
    <w:rsid w:val="00683744"/>
    <w:rsid w:val="00684024"/>
    <w:rsid w:val="0068438D"/>
    <w:rsid w:val="00684757"/>
    <w:rsid w:val="00684843"/>
    <w:rsid w:val="00684A11"/>
    <w:rsid w:val="00684F31"/>
    <w:rsid w:val="0068689B"/>
    <w:rsid w:val="00686C52"/>
    <w:rsid w:val="00687CB4"/>
    <w:rsid w:val="00690E02"/>
    <w:rsid w:val="00691A12"/>
    <w:rsid w:val="00691D3B"/>
    <w:rsid w:val="00692BDC"/>
    <w:rsid w:val="00692CA0"/>
    <w:rsid w:val="00693A27"/>
    <w:rsid w:val="006950F1"/>
    <w:rsid w:val="0069540F"/>
    <w:rsid w:val="0069575A"/>
    <w:rsid w:val="0069691F"/>
    <w:rsid w:val="00696D0A"/>
    <w:rsid w:val="006971FE"/>
    <w:rsid w:val="00697830"/>
    <w:rsid w:val="00697A01"/>
    <w:rsid w:val="00697AE0"/>
    <w:rsid w:val="006A0125"/>
    <w:rsid w:val="006A2326"/>
    <w:rsid w:val="006A2A2C"/>
    <w:rsid w:val="006A494A"/>
    <w:rsid w:val="006A5E53"/>
    <w:rsid w:val="006A610A"/>
    <w:rsid w:val="006A7267"/>
    <w:rsid w:val="006A7B1F"/>
    <w:rsid w:val="006B1863"/>
    <w:rsid w:val="006B1DB4"/>
    <w:rsid w:val="006B34D1"/>
    <w:rsid w:val="006B55FB"/>
    <w:rsid w:val="006B5805"/>
    <w:rsid w:val="006B6718"/>
    <w:rsid w:val="006B69E9"/>
    <w:rsid w:val="006B75C6"/>
    <w:rsid w:val="006C2E91"/>
    <w:rsid w:val="006C3371"/>
    <w:rsid w:val="006C34FB"/>
    <w:rsid w:val="006C4AD6"/>
    <w:rsid w:val="006C5626"/>
    <w:rsid w:val="006C58AD"/>
    <w:rsid w:val="006C7055"/>
    <w:rsid w:val="006C762A"/>
    <w:rsid w:val="006C78AE"/>
    <w:rsid w:val="006D0459"/>
    <w:rsid w:val="006D1049"/>
    <w:rsid w:val="006D242E"/>
    <w:rsid w:val="006D2B14"/>
    <w:rsid w:val="006D37E8"/>
    <w:rsid w:val="006D5836"/>
    <w:rsid w:val="006E138C"/>
    <w:rsid w:val="006E2430"/>
    <w:rsid w:val="006E2E2E"/>
    <w:rsid w:val="006E306B"/>
    <w:rsid w:val="006E3077"/>
    <w:rsid w:val="006E36B0"/>
    <w:rsid w:val="006E39DC"/>
    <w:rsid w:val="006E400A"/>
    <w:rsid w:val="006E4294"/>
    <w:rsid w:val="006E5A9D"/>
    <w:rsid w:val="006E6A01"/>
    <w:rsid w:val="006E6F0A"/>
    <w:rsid w:val="006E7D59"/>
    <w:rsid w:val="006F0660"/>
    <w:rsid w:val="006F105E"/>
    <w:rsid w:val="006F32E5"/>
    <w:rsid w:val="006F6041"/>
    <w:rsid w:val="006F60D2"/>
    <w:rsid w:val="006F664D"/>
    <w:rsid w:val="006F6B2B"/>
    <w:rsid w:val="006F7988"/>
    <w:rsid w:val="00700626"/>
    <w:rsid w:val="0070106C"/>
    <w:rsid w:val="00702587"/>
    <w:rsid w:val="00703AEB"/>
    <w:rsid w:val="00704691"/>
    <w:rsid w:val="00705778"/>
    <w:rsid w:val="007058AE"/>
    <w:rsid w:val="00705DC1"/>
    <w:rsid w:val="007078AD"/>
    <w:rsid w:val="00707C68"/>
    <w:rsid w:val="00711890"/>
    <w:rsid w:val="00711F20"/>
    <w:rsid w:val="00714B4C"/>
    <w:rsid w:val="007152CC"/>
    <w:rsid w:val="00715BB5"/>
    <w:rsid w:val="007169B7"/>
    <w:rsid w:val="00717030"/>
    <w:rsid w:val="00717128"/>
    <w:rsid w:val="00717B88"/>
    <w:rsid w:val="007200A0"/>
    <w:rsid w:val="00720B52"/>
    <w:rsid w:val="00721968"/>
    <w:rsid w:val="00721B1A"/>
    <w:rsid w:val="00723A58"/>
    <w:rsid w:val="00724B1A"/>
    <w:rsid w:val="00724DF2"/>
    <w:rsid w:val="007260DD"/>
    <w:rsid w:val="0072643E"/>
    <w:rsid w:val="0072674D"/>
    <w:rsid w:val="00730699"/>
    <w:rsid w:val="00730818"/>
    <w:rsid w:val="007318DC"/>
    <w:rsid w:val="007325DC"/>
    <w:rsid w:val="007346DE"/>
    <w:rsid w:val="00734D58"/>
    <w:rsid w:val="00736407"/>
    <w:rsid w:val="0073647F"/>
    <w:rsid w:val="00737130"/>
    <w:rsid w:val="0074121C"/>
    <w:rsid w:val="007414B7"/>
    <w:rsid w:val="00743640"/>
    <w:rsid w:val="00745C87"/>
    <w:rsid w:val="007515DD"/>
    <w:rsid w:val="007527EE"/>
    <w:rsid w:val="007543D1"/>
    <w:rsid w:val="00755924"/>
    <w:rsid w:val="00755B22"/>
    <w:rsid w:val="00756338"/>
    <w:rsid w:val="00756523"/>
    <w:rsid w:val="0075736E"/>
    <w:rsid w:val="00757AE3"/>
    <w:rsid w:val="00757E2C"/>
    <w:rsid w:val="00760B9D"/>
    <w:rsid w:val="00761992"/>
    <w:rsid w:val="00761C46"/>
    <w:rsid w:val="00762EEC"/>
    <w:rsid w:val="0076310B"/>
    <w:rsid w:val="00763C2B"/>
    <w:rsid w:val="00764309"/>
    <w:rsid w:val="007649DD"/>
    <w:rsid w:val="0076581A"/>
    <w:rsid w:val="00765BEC"/>
    <w:rsid w:val="00766936"/>
    <w:rsid w:val="00766D56"/>
    <w:rsid w:val="0076793F"/>
    <w:rsid w:val="00770809"/>
    <w:rsid w:val="0077082D"/>
    <w:rsid w:val="00770C22"/>
    <w:rsid w:val="00771ED4"/>
    <w:rsid w:val="0077267E"/>
    <w:rsid w:val="00773639"/>
    <w:rsid w:val="007743D9"/>
    <w:rsid w:val="00775112"/>
    <w:rsid w:val="00775E8E"/>
    <w:rsid w:val="0077661A"/>
    <w:rsid w:val="00776CFF"/>
    <w:rsid w:val="00777464"/>
    <w:rsid w:val="00777E4F"/>
    <w:rsid w:val="007818BB"/>
    <w:rsid w:val="00781DFD"/>
    <w:rsid w:val="00782376"/>
    <w:rsid w:val="00782E38"/>
    <w:rsid w:val="00783471"/>
    <w:rsid w:val="00784796"/>
    <w:rsid w:val="007849BA"/>
    <w:rsid w:val="00785CDE"/>
    <w:rsid w:val="007862FE"/>
    <w:rsid w:val="0078660A"/>
    <w:rsid w:val="00790BB2"/>
    <w:rsid w:val="00791AB9"/>
    <w:rsid w:val="00791B23"/>
    <w:rsid w:val="00793189"/>
    <w:rsid w:val="00793206"/>
    <w:rsid w:val="00793CC3"/>
    <w:rsid w:val="0079408A"/>
    <w:rsid w:val="007952F2"/>
    <w:rsid w:val="0079591E"/>
    <w:rsid w:val="00796303"/>
    <w:rsid w:val="0079639F"/>
    <w:rsid w:val="00796AFD"/>
    <w:rsid w:val="00796BBF"/>
    <w:rsid w:val="00797E4B"/>
    <w:rsid w:val="00797FA8"/>
    <w:rsid w:val="007A11D8"/>
    <w:rsid w:val="007A1519"/>
    <w:rsid w:val="007A1CED"/>
    <w:rsid w:val="007A4C7C"/>
    <w:rsid w:val="007A75CB"/>
    <w:rsid w:val="007A76BA"/>
    <w:rsid w:val="007A76E1"/>
    <w:rsid w:val="007B00AF"/>
    <w:rsid w:val="007B03F4"/>
    <w:rsid w:val="007B0400"/>
    <w:rsid w:val="007B051C"/>
    <w:rsid w:val="007B30DD"/>
    <w:rsid w:val="007B50DB"/>
    <w:rsid w:val="007B5FFE"/>
    <w:rsid w:val="007B6D8A"/>
    <w:rsid w:val="007B7FFA"/>
    <w:rsid w:val="007C0910"/>
    <w:rsid w:val="007C1215"/>
    <w:rsid w:val="007C32A2"/>
    <w:rsid w:val="007C399E"/>
    <w:rsid w:val="007C3BF7"/>
    <w:rsid w:val="007C615B"/>
    <w:rsid w:val="007C68AA"/>
    <w:rsid w:val="007C7B25"/>
    <w:rsid w:val="007D018E"/>
    <w:rsid w:val="007D03B3"/>
    <w:rsid w:val="007D0EC4"/>
    <w:rsid w:val="007D14ED"/>
    <w:rsid w:val="007D251F"/>
    <w:rsid w:val="007D32F6"/>
    <w:rsid w:val="007D45D7"/>
    <w:rsid w:val="007D47DE"/>
    <w:rsid w:val="007D51CC"/>
    <w:rsid w:val="007D68A1"/>
    <w:rsid w:val="007D6AFB"/>
    <w:rsid w:val="007D72AE"/>
    <w:rsid w:val="007D7365"/>
    <w:rsid w:val="007D78F6"/>
    <w:rsid w:val="007E0AFA"/>
    <w:rsid w:val="007E1244"/>
    <w:rsid w:val="007E2ED0"/>
    <w:rsid w:val="007E403D"/>
    <w:rsid w:val="007E4391"/>
    <w:rsid w:val="007E5618"/>
    <w:rsid w:val="007E5894"/>
    <w:rsid w:val="007E5DB8"/>
    <w:rsid w:val="007E634A"/>
    <w:rsid w:val="007E7AC0"/>
    <w:rsid w:val="007E7CE8"/>
    <w:rsid w:val="007E7FA3"/>
    <w:rsid w:val="007F299F"/>
    <w:rsid w:val="007F43B2"/>
    <w:rsid w:val="007F5D26"/>
    <w:rsid w:val="007F6C99"/>
    <w:rsid w:val="007F7102"/>
    <w:rsid w:val="007F7218"/>
    <w:rsid w:val="007F75B9"/>
    <w:rsid w:val="007F793C"/>
    <w:rsid w:val="007F7D07"/>
    <w:rsid w:val="00802258"/>
    <w:rsid w:val="00803132"/>
    <w:rsid w:val="00803FEC"/>
    <w:rsid w:val="008047D0"/>
    <w:rsid w:val="00804C39"/>
    <w:rsid w:val="00805BF5"/>
    <w:rsid w:val="00806168"/>
    <w:rsid w:val="008067AD"/>
    <w:rsid w:val="00806EDF"/>
    <w:rsid w:val="00806FEE"/>
    <w:rsid w:val="0080726E"/>
    <w:rsid w:val="00807906"/>
    <w:rsid w:val="00807B29"/>
    <w:rsid w:val="00807C38"/>
    <w:rsid w:val="00807D83"/>
    <w:rsid w:val="00810EF2"/>
    <w:rsid w:val="008111C1"/>
    <w:rsid w:val="00811577"/>
    <w:rsid w:val="00811800"/>
    <w:rsid w:val="008121EF"/>
    <w:rsid w:val="008129DD"/>
    <w:rsid w:val="00812BF8"/>
    <w:rsid w:val="00813A48"/>
    <w:rsid w:val="00814AE6"/>
    <w:rsid w:val="00815070"/>
    <w:rsid w:val="008164E9"/>
    <w:rsid w:val="00820270"/>
    <w:rsid w:val="00820358"/>
    <w:rsid w:val="008214A4"/>
    <w:rsid w:val="008215E1"/>
    <w:rsid w:val="008215F2"/>
    <w:rsid w:val="008240DB"/>
    <w:rsid w:val="0082416C"/>
    <w:rsid w:val="0082430A"/>
    <w:rsid w:val="008243C8"/>
    <w:rsid w:val="008268A1"/>
    <w:rsid w:val="008270D2"/>
    <w:rsid w:val="008270D4"/>
    <w:rsid w:val="00827897"/>
    <w:rsid w:val="008324A6"/>
    <w:rsid w:val="00832F1A"/>
    <w:rsid w:val="0083351E"/>
    <w:rsid w:val="0083373E"/>
    <w:rsid w:val="00833790"/>
    <w:rsid w:val="00833ACC"/>
    <w:rsid w:val="008343CF"/>
    <w:rsid w:val="00835F24"/>
    <w:rsid w:val="008361B5"/>
    <w:rsid w:val="0083702D"/>
    <w:rsid w:val="0084073B"/>
    <w:rsid w:val="008407C6"/>
    <w:rsid w:val="00840A34"/>
    <w:rsid w:val="0084105A"/>
    <w:rsid w:val="0084167A"/>
    <w:rsid w:val="00843D0F"/>
    <w:rsid w:val="00843E89"/>
    <w:rsid w:val="00844D76"/>
    <w:rsid w:val="00845950"/>
    <w:rsid w:val="008474E8"/>
    <w:rsid w:val="00847B5E"/>
    <w:rsid w:val="0085012B"/>
    <w:rsid w:val="00850ED3"/>
    <w:rsid w:val="00850F65"/>
    <w:rsid w:val="0085103F"/>
    <w:rsid w:val="00851E49"/>
    <w:rsid w:val="0085344C"/>
    <w:rsid w:val="0085371F"/>
    <w:rsid w:val="00853E57"/>
    <w:rsid w:val="00855141"/>
    <w:rsid w:val="0085560E"/>
    <w:rsid w:val="008571B1"/>
    <w:rsid w:val="008571BB"/>
    <w:rsid w:val="008577E6"/>
    <w:rsid w:val="0086080A"/>
    <w:rsid w:val="0086148A"/>
    <w:rsid w:val="00861616"/>
    <w:rsid w:val="008616B8"/>
    <w:rsid w:val="0086177C"/>
    <w:rsid w:val="00861A90"/>
    <w:rsid w:val="0086261A"/>
    <w:rsid w:val="00863D00"/>
    <w:rsid w:val="0086488C"/>
    <w:rsid w:val="00865775"/>
    <w:rsid w:val="00865CDB"/>
    <w:rsid w:val="00865EA9"/>
    <w:rsid w:val="0086756D"/>
    <w:rsid w:val="00867CFD"/>
    <w:rsid w:val="00867F5F"/>
    <w:rsid w:val="00870935"/>
    <w:rsid w:val="00871114"/>
    <w:rsid w:val="00871535"/>
    <w:rsid w:val="008725BC"/>
    <w:rsid w:val="00874ED0"/>
    <w:rsid w:val="00875C30"/>
    <w:rsid w:val="00875EA2"/>
    <w:rsid w:val="00881886"/>
    <w:rsid w:val="00881ED2"/>
    <w:rsid w:val="00882A9D"/>
    <w:rsid w:val="00882F84"/>
    <w:rsid w:val="0088311A"/>
    <w:rsid w:val="00883BD8"/>
    <w:rsid w:val="0088436C"/>
    <w:rsid w:val="00884418"/>
    <w:rsid w:val="00885C22"/>
    <w:rsid w:val="00886D52"/>
    <w:rsid w:val="00887111"/>
    <w:rsid w:val="00887755"/>
    <w:rsid w:val="0089008F"/>
    <w:rsid w:val="00891042"/>
    <w:rsid w:val="008911F9"/>
    <w:rsid w:val="00892F96"/>
    <w:rsid w:val="00892FAE"/>
    <w:rsid w:val="008931C2"/>
    <w:rsid w:val="0089430B"/>
    <w:rsid w:val="008945A8"/>
    <w:rsid w:val="00894C8F"/>
    <w:rsid w:val="00895519"/>
    <w:rsid w:val="008976B4"/>
    <w:rsid w:val="008976B8"/>
    <w:rsid w:val="008A16F5"/>
    <w:rsid w:val="008A4012"/>
    <w:rsid w:val="008A41BA"/>
    <w:rsid w:val="008A45AC"/>
    <w:rsid w:val="008A5EB6"/>
    <w:rsid w:val="008A71A6"/>
    <w:rsid w:val="008B05A6"/>
    <w:rsid w:val="008B1BA7"/>
    <w:rsid w:val="008B2C68"/>
    <w:rsid w:val="008B2D74"/>
    <w:rsid w:val="008B36A7"/>
    <w:rsid w:val="008B3C98"/>
    <w:rsid w:val="008B3DED"/>
    <w:rsid w:val="008B3E60"/>
    <w:rsid w:val="008B5035"/>
    <w:rsid w:val="008B5A1E"/>
    <w:rsid w:val="008B679A"/>
    <w:rsid w:val="008B690F"/>
    <w:rsid w:val="008C020A"/>
    <w:rsid w:val="008C0283"/>
    <w:rsid w:val="008C0627"/>
    <w:rsid w:val="008C1F01"/>
    <w:rsid w:val="008C2733"/>
    <w:rsid w:val="008C317F"/>
    <w:rsid w:val="008C382F"/>
    <w:rsid w:val="008C389F"/>
    <w:rsid w:val="008C3B92"/>
    <w:rsid w:val="008C3DD7"/>
    <w:rsid w:val="008C43D9"/>
    <w:rsid w:val="008C46D8"/>
    <w:rsid w:val="008C478D"/>
    <w:rsid w:val="008C5B63"/>
    <w:rsid w:val="008C70B0"/>
    <w:rsid w:val="008C7613"/>
    <w:rsid w:val="008C7A9B"/>
    <w:rsid w:val="008D2551"/>
    <w:rsid w:val="008D2751"/>
    <w:rsid w:val="008D4414"/>
    <w:rsid w:val="008D5E00"/>
    <w:rsid w:val="008D6798"/>
    <w:rsid w:val="008D7042"/>
    <w:rsid w:val="008D7CC9"/>
    <w:rsid w:val="008D7DFE"/>
    <w:rsid w:val="008E032E"/>
    <w:rsid w:val="008E1104"/>
    <w:rsid w:val="008E30EC"/>
    <w:rsid w:val="008E3367"/>
    <w:rsid w:val="008E3A13"/>
    <w:rsid w:val="008E40E2"/>
    <w:rsid w:val="008E4B6B"/>
    <w:rsid w:val="008E4C30"/>
    <w:rsid w:val="008E5E43"/>
    <w:rsid w:val="008E68D5"/>
    <w:rsid w:val="008E7638"/>
    <w:rsid w:val="008F00C0"/>
    <w:rsid w:val="008F05AC"/>
    <w:rsid w:val="008F2D5A"/>
    <w:rsid w:val="008F3529"/>
    <w:rsid w:val="008F400A"/>
    <w:rsid w:val="008F436B"/>
    <w:rsid w:val="008F5432"/>
    <w:rsid w:val="008F5D4C"/>
    <w:rsid w:val="008F6E00"/>
    <w:rsid w:val="008F7034"/>
    <w:rsid w:val="008F7DD8"/>
    <w:rsid w:val="0090133B"/>
    <w:rsid w:val="00901562"/>
    <w:rsid w:val="00901DF8"/>
    <w:rsid w:val="00902125"/>
    <w:rsid w:val="00902650"/>
    <w:rsid w:val="009029E2"/>
    <w:rsid w:val="00903A94"/>
    <w:rsid w:val="00905605"/>
    <w:rsid w:val="009072E7"/>
    <w:rsid w:val="00907EEE"/>
    <w:rsid w:val="00907FF6"/>
    <w:rsid w:val="00910006"/>
    <w:rsid w:val="00912417"/>
    <w:rsid w:val="00913517"/>
    <w:rsid w:val="009139C3"/>
    <w:rsid w:val="00914667"/>
    <w:rsid w:val="00914D95"/>
    <w:rsid w:val="009154D9"/>
    <w:rsid w:val="00915A00"/>
    <w:rsid w:val="00915B5F"/>
    <w:rsid w:val="00915D08"/>
    <w:rsid w:val="00916600"/>
    <w:rsid w:val="00917D91"/>
    <w:rsid w:val="00920AD6"/>
    <w:rsid w:val="00920B5A"/>
    <w:rsid w:val="00921BF9"/>
    <w:rsid w:val="009227E9"/>
    <w:rsid w:val="00922E81"/>
    <w:rsid w:val="00923118"/>
    <w:rsid w:val="0092623D"/>
    <w:rsid w:val="00926327"/>
    <w:rsid w:val="00926C5D"/>
    <w:rsid w:val="00927E37"/>
    <w:rsid w:val="00927E48"/>
    <w:rsid w:val="0093101B"/>
    <w:rsid w:val="009310EC"/>
    <w:rsid w:val="00931DD5"/>
    <w:rsid w:val="0093228E"/>
    <w:rsid w:val="00932352"/>
    <w:rsid w:val="009335C9"/>
    <w:rsid w:val="0093369B"/>
    <w:rsid w:val="0093370F"/>
    <w:rsid w:val="00934061"/>
    <w:rsid w:val="0093425F"/>
    <w:rsid w:val="0093472E"/>
    <w:rsid w:val="00934A12"/>
    <w:rsid w:val="00935560"/>
    <w:rsid w:val="00935E49"/>
    <w:rsid w:val="0093612C"/>
    <w:rsid w:val="00936841"/>
    <w:rsid w:val="009372A7"/>
    <w:rsid w:val="009375CC"/>
    <w:rsid w:val="00937881"/>
    <w:rsid w:val="009401BD"/>
    <w:rsid w:val="009433BF"/>
    <w:rsid w:val="00944169"/>
    <w:rsid w:val="009444C2"/>
    <w:rsid w:val="009449E8"/>
    <w:rsid w:val="00944A3B"/>
    <w:rsid w:val="0094574A"/>
    <w:rsid w:val="00945908"/>
    <w:rsid w:val="009463F2"/>
    <w:rsid w:val="00946A3E"/>
    <w:rsid w:val="00946CDA"/>
    <w:rsid w:val="00950D9B"/>
    <w:rsid w:val="00951C0F"/>
    <w:rsid w:val="009535ED"/>
    <w:rsid w:val="00953772"/>
    <w:rsid w:val="00953993"/>
    <w:rsid w:val="00953BE8"/>
    <w:rsid w:val="009546C5"/>
    <w:rsid w:val="00957547"/>
    <w:rsid w:val="00960175"/>
    <w:rsid w:val="0096029C"/>
    <w:rsid w:val="00960DE3"/>
    <w:rsid w:val="009610D6"/>
    <w:rsid w:val="00961AEC"/>
    <w:rsid w:val="00962069"/>
    <w:rsid w:val="0096310E"/>
    <w:rsid w:val="00963DD0"/>
    <w:rsid w:val="00967A68"/>
    <w:rsid w:val="00967CEC"/>
    <w:rsid w:val="00970511"/>
    <w:rsid w:val="00970F9B"/>
    <w:rsid w:val="00971C51"/>
    <w:rsid w:val="00971D73"/>
    <w:rsid w:val="0097349F"/>
    <w:rsid w:val="00973C8B"/>
    <w:rsid w:val="00974048"/>
    <w:rsid w:val="00974BA5"/>
    <w:rsid w:val="0097533E"/>
    <w:rsid w:val="00975C8F"/>
    <w:rsid w:val="00975E42"/>
    <w:rsid w:val="00976173"/>
    <w:rsid w:val="00976512"/>
    <w:rsid w:val="009807A0"/>
    <w:rsid w:val="009807F7"/>
    <w:rsid w:val="0098132C"/>
    <w:rsid w:val="0098285B"/>
    <w:rsid w:val="00983129"/>
    <w:rsid w:val="009833A2"/>
    <w:rsid w:val="00984678"/>
    <w:rsid w:val="009849E4"/>
    <w:rsid w:val="00984CE9"/>
    <w:rsid w:val="00986435"/>
    <w:rsid w:val="009874CC"/>
    <w:rsid w:val="00987B92"/>
    <w:rsid w:val="00990007"/>
    <w:rsid w:val="00990918"/>
    <w:rsid w:val="00992DE0"/>
    <w:rsid w:val="0099319B"/>
    <w:rsid w:val="00993941"/>
    <w:rsid w:val="009940BE"/>
    <w:rsid w:val="009944B2"/>
    <w:rsid w:val="00995A2F"/>
    <w:rsid w:val="00995DD8"/>
    <w:rsid w:val="00995EEB"/>
    <w:rsid w:val="00995F41"/>
    <w:rsid w:val="00997161"/>
    <w:rsid w:val="009A2235"/>
    <w:rsid w:val="009A2319"/>
    <w:rsid w:val="009A231A"/>
    <w:rsid w:val="009A2828"/>
    <w:rsid w:val="009A2F44"/>
    <w:rsid w:val="009A4222"/>
    <w:rsid w:val="009A4A11"/>
    <w:rsid w:val="009A56A7"/>
    <w:rsid w:val="009A6051"/>
    <w:rsid w:val="009A65D6"/>
    <w:rsid w:val="009A6B58"/>
    <w:rsid w:val="009A6F68"/>
    <w:rsid w:val="009A761E"/>
    <w:rsid w:val="009B0B2E"/>
    <w:rsid w:val="009B19EE"/>
    <w:rsid w:val="009B272E"/>
    <w:rsid w:val="009B3EEE"/>
    <w:rsid w:val="009B50D6"/>
    <w:rsid w:val="009B5FE0"/>
    <w:rsid w:val="009C0421"/>
    <w:rsid w:val="009C0690"/>
    <w:rsid w:val="009C1248"/>
    <w:rsid w:val="009C1F92"/>
    <w:rsid w:val="009C39C4"/>
    <w:rsid w:val="009C3F4D"/>
    <w:rsid w:val="009C4C9D"/>
    <w:rsid w:val="009C5AC1"/>
    <w:rsid w:val="009C66B0"/>
    <w:rsid w:val="009C6805"/>
    <w:rsid w:val="009C6B48"/>
    <w:rsid w:val="009D10D1"/>
    <w:rsid w:val="009D18D3"/>
    <w:rsid w:val="009D2542"/>
    <w:rsid w:val="009D67F6"/>
    <w:rsid w:val="009E12C7"/>
    <w:rsid w:val="009E1A70"/>
    <w:rsid w:val="009E2B26"/>
    <w:rsid w:val="009E4496"/>
    <w:rsid w:val="009E4E36"/>
    <w:rsid w:val="009E5AC8"/>
    <w:rsid w:val="009E5E7C"/>
    <w:rsid w:val="009E5FF5"/>
    <w:rsid w:val="009E612E"/>
    <w:rsid w:val="009E7B8A"/>
    <w:rsid w:val="009F1FE3"/>
    <w:rsid w:val="009F317D"/>
    <w:rsid w:val="009F4884"/>
    <w:rsid w:val="009F55ED"/>
    <w:rsid w:val="009F5A20"/>
    <w:rsid w:val="009F5A23"/>
    <w:rsid w:val="009F6AFB"/>
    <w:rsid w:val="00A00035"/>
    <w:rsid w:val="00A00A5C"/>
    <w:rsid w:val="00A01B3C"/>
    <w:rsid w:val="00A02A65"/>
    <w:rsid w:val="00A036E5"/>
    <w:rsid w:val="00A04A6C"/>
    <w:rsid w:val="00A0516B"/>
    <w:rsid w:val="00A061D3"/>
    <w:rsid w:val="00A06C01"/>
    <w:rsid w:val="00A06C9D"/>
    <w:rsid w:val="00A06CFA"/>
    <w:rsid w:val="00A06DC8"/>
    <w:rsid w:val="00A071EF"/>
    <w:rsid w:val="00A0750E"/>
    <w:rsid w:val="00A10AB9"/>
    <w:rsid w:val="00A120E1"/>
    <w:rsid w:val="00A126C0"/>
    <w:rsid w:val="00A1282A"/>
    <w:rsid w:val="00A13328"/>
    <w:rsid w:val="00A1346C"/>
    <w:rsid w:val="00A14499"/>
    <w:rsid w:val="00A146CA"/>
    <w:rsid w:val="00A15CD6"/>
    <w:rsid w:val="00A164D1"/>
    <w:rsid w:val="00A1664A"/>
    <w:rsid w:val="00A1668C"/>
    <w:rsid w:val="00A2031E"/>
    <w:rsid w:val="00A210BB"/>
    <w:rsid w:val="00A21846"/>
    <w:rsid w:val="00A2222F"/>
    <w:rsid w:val="00A2274D"/>
    <w:rsid w:val="00A24DC8"/>
    <w:rsid w:val="00A25CD9"/>
    <w:rsid w:val="00A2612E"/>
    <w:rsid w:val="00A26E0A"/>
    <w:rsid w:val="00A2781C"/>
    <w:rsid w:val="00A3053D"/>
    <w:rsid w:val="00A30EBA"/>
    <w:rsid w:val="00A313B9"/>
    <w:rsid w:val="00A325BF"/>
    <w:rsid w:val="00A336AC"/>
    <w:rsid w:val="00A33C59"/>
    <w:rsid w:val="00A34904"/>
    <w:rsid w:val="00A3569C"/>
    <w:rsid w:val="00A35C09"/>
    <w:rsid w:val="00A3618E"/>
    <w:rsid w:val="00A36EA5"/>
    <w:rsid w:val="00A378BA"/>
    <w:rsid w:val="00A4058C"/>
    <w:rsid w:val="00A436A7"/>
    <w:rsid w:val="00A43B73"/>
    <w:rsid w:val="00A43C38"/>
    <w:rsid w:val="00A43CAF"/>
    <w:rsid w:val="00A4470F"/>
    <w:rsid w:val="00A458B5"/>
    <w:rsid w:val="00A46169"/>
    <w:rsid w:val="00A49FD7"/>
    <w:rsid w:val="00A50A87"/>
    <w:rsid w:val="00A50E66"/>
    <w:rsid w:val="00A513C5"/>
    <w:rsid w:val="00A517FC"/>
    <w:rsid w:val="00A524B4"/>
    <w:rsid w:val="00A52A06"/>
    <w:rsid w:val="00A52C46"/>
    <w:rsid w:val="00A53624"/>
    <w:rsid w:val="00A5402A"/>
    <w:rsid w:val="00A544AA"/>
    <w:rsid w:val="00A54862"/>
    <w:rsid w:val="00A575F0"/>
    <w:rsid w:val="00A57B4A"/>
    <w:rsid w:val="00A57DDC"/>
    <w:rsid w:val="00A619CF"/>
    <w:rsid w:val="00A63B68"/>
    <w:rsid w:val="00A650CF"/>
    <w:rsid w:val="00A654D6"/>
    <w:rsid w:val="00A65739"/>
    <w:rsid w:val="00A65752"/>
    <w:rsid w:val="00A66EEA"/>
    <w:rsid w:val="00A70604"/>
    <w:rsid w:val="00A70D4C"/>
    <w:rsid w:val="00A7132C"/>
    <w:rsid w:val="00A71E3D"/>
    <w:rsid w:val="00A71E77"/>
    <w:rsid w:val="00A72DA8"/>
    <w:rsid w:val="00A72E72"/>
    <w:rsid w:val="00A77419"/>
    <w:rsid w:val="00A77FC5"/>
    <w:rsid w:val="00A7BF73"/>
    <w:rsid w:val="00A80FF2"/>
    <w:rsid w:val="00A8256D"/>
    <w:rsid w:val="00A829A2"/>
    <w:rsid w:val="00A82B73"/>
    <w:rsid w:val="00A82EFF"/>
    <w:rsid w:val="00A8327B"/>
    <w:rsid w:val="00A84A01"/>
    <w:rsid w:val="00A86832"/>
    <w:rsid w:val="00A87D49"/>
    <w:rsid w:val="00A90619"/>
    <w:rsid w:val="00A91B36"/>
    <w:rsid w:val="00A93663"/>
    <w:rsid w:val="00A94DE6"/>
    <w:rsid w:val="00A94F68"/>
    <w:rsid w:val="00A958D1"/>
    <w:rsid w:val="00A97348"/>
    <w:rsid w:val="00AA0360"/>
    <w:rsid w:val="00AA1A3C"/>
    <w:rsid w:val="00AA25C2"/>
    <w:rsid w:val="00AA2ACF"/>
    <w:rsid w:val="00AA2E77"/>
    <w:rsid w:val="00AA3578"/>
    <w:rsid w:val="00AA38C6"/>
    <w:rsid w:val="00AA3A1F"/>
    <w:rsid w:val="00AA3BA4"/>
    <w:rsid w:val="00AA3F91"/>
    <w:rsid w:val="00AA3FAB"/>
    <w:rsid w:val="00AA7A73"/>
    <w:rsid w:val="00AB1418"/>
    <w:rsid w:val="00AB18D9"/>
    <w:rsid w:val="00AB2A77"/>
    <w:rsid w:val="00AB2BDA"/>
    <w:rsid w:val="00AB463F"/>
    <w:rsid w:val="00AB50C8"/>
    <w:rsid w:val="00AB6BE7"/>
    <w:rsid w:val="00AB72B6"/>
    <w:rsid w:val="00AB739B"/>
    <w:rsid w:val="00AB7F06"/>
    <w:rsid w:val="00AC03F9"/>
    <w:rsid w:val="00AC05B6"/>
    <w:rsid w:val="00AC36C7"/>
    <w:rsid w:val="00AC3849"/>
    <w:rsid w:val="00AC40FE"/>
    <w:rsid w:val="00AC5B16"/>
    <w:rsid w:val="00AC5C5A"/>
    <w:rsid w:val="00AC7951"/>
    <w:rsid w:val="00AC7CB6"/>
    <w:rsid w:val="00AD219F"/>
    <w:rsid w:val="00AD3A61"/>
    <w:rsid w:val="00AD46E5"/>
    <w:rsid w:val="00AD4AA0"/>
    <w:rsid w:val="00AD4CC4"/>
    <w:rsid w:val="00AD4D21"/>
    <w:rsid w:val="00AE17AC"/>
    <w:rsid w:val="00AE1B4D"/>
    <w:rsid w:val="00AE1DA3"/>
    <w:rsid w:val="00AE2755"/>
    <w:rsid w:val="00AE28A6"/>
    <w:rsid w:val="00AE4C43"/>
    <w:rsid w:val="00AE4DAA"/>
    <w:rsid w:val="00AE4EAF"/>
    <w:rsid w:val="00AE609E"/>
    <w:rsid w:val="00AF34B6"/>
    <w:rsid w:val="00AF377D"/>
    <w:rsid w:val="00AF3F30"/>
    <w:rsid w:val="00AF3F93"/>
    <w:rsid w:val="00AF426F"/>
    <w:rsid w:val="00AF4B28"/>
    <w:rsid w:val="00AF55BD"/>
    <w:rsid w:val="00AF5749"/>
    <w:rsid w:val="00AF57C3"/>
    <w:rsid w:val="00AF5B66"/>
    <w:rsid w:val="00AF760C"/>
    <w:rsid w:val="00B00188"/>
    <w:rsid w:val="00B010AB"/>
    <w:rsid w:val="00B01B79"/>
    <w:rsid w:val="00B020A6"/>
    <w:rsid w:val="00B03D83"/>
    <w:rsid w:val="00B03E88"/>
    <w:rsid w:val="00B04CA5"/>
    <w:rsid w:val="00B04DCD"/>
    <w:rsid w:val="00B0628C"/>
    <w:rsid w:val="00B06AA7"/>
    <w:rsid w:val="00B07ADF"/>
    <w:rsid w:val="00B1026B"/>
    <w:rsid w:val="00B10B4A"/>
    <w:rsid w:val="00B1151D"/>
    <w:rsid w:val="00B1237A"/>
    <w:rsid w:val="00B12CBE"/>
    <w:rsid w:val="00B13A91"/>
    <w:rsid w:val="00B13C25"/>
    <w:rsid w:val="00B1482B"/>
    <w:rsid w:val="00B15D23"/>
    <w:rsid w:val="00B15F24"/>
    <w:rsid w:val="00B15FD5"/>
    <w:rsid w:val="00B179C1"/>
    <w:rsid w:val="00B17A55"/>
    <w:rsid w:val="00B17C74"/>
    <w:rsid w:val="00B201D1"/>
    <w:rsid w:val="00B20DB4"/>
    <w:rsid w:val="00B216C6"/>
    <w:rsid w:val="00B22D62"/>
    <w:rsid w:val="00B2374C"/>
    <w:rsid w:val="00B23BC0"/>
    <w:rsid w:val="00B24741"/>
    <w:rsid w:val="00B25A48"/>
    <w:rsid w:val="00B26CE5"/>
    <w:rsid w:val="00B30114"/>
    <w:rsid w:val="00B30EEE"/>
    <w:rsid w:val="00B325B8"/>
    <w:rsid w:val="00B336F4"/>
    <w:rsid w:val="00B340AA"/>
    <w:rsid w:val="00B343AC"/>
    <w:rsid w:val="00B34DD2"/>
    <w:rsid w:val="00B34E40"/>
    <w:rsid w:val="00B354BD"/>
    <w:rsid w:val="00B37083"/>
    <w:rsid w:val="00B40DA8"/>
    <w:rsid w:val="00B40DDC"/>
    <w:rsid w:val="00B40EED"/>
    <w:rsid w:val="00B413CB"/>
    <w:rsid w:val="00B414E3"/>
    <w:rsid w:val="00B41BF8"/>
    <w:rsid w:val="00B4486E"/>
    <w:rsid w:val="00B4500C"/>
    <w:rsid w:val="00B45108"/>
    <w:rsid w:val="00B46B00"/>
    <w:rsid w:val="00B511DF"/>
    <w:rsid w:val="00B5155C"/>
    <w:rsid w:val="00B5276F"/>
    <w:rsid w:val="00B537E2"/>
    <w:rsid w:val="00B53DEB"/>
    <w:rsid w:val="00B5400E"/>
    <w:rsid w:val="00B543C4"/>
    <w:rsid w:val="00B55A60"/>
    <w:rsid w:val="00B57382"/>
    <w:rsid w:val="00B57939"/>
    <w:rsid w:val="00B57A0B"/>
    <w:rsid w:val="00B605BE"/>
    <w:rsid w:val="00B615DB"/>
    <w:rsid w:val="00B61714"/>
    <w:rsid w:val="00B61A07"/>
    <w:rsid w:val="00B62888"/>
    <w:rsid w:val="00B641B4"/>
    <w:rsid w:val="00B655FB"/>
    <w:rsid w:val="00B656AC"/>
    <w:rsid w:val="00B662F5"/>
    <w:rsid w:val="00B666BB"/>
    <w:rsid w:val="00B669E3"/>
    <w:rsid w:val="00B66D14"/>
    <w:rsid w:val="00B66FAE"/>
    <w:rsid w:val="00B67F67"/>
    <w:rsid w:val="00B707FE"/>
    <w:rsid w:val="00B73140"/>
    <w:rsid w:val="00B74CDA"/>
    <w:rsid w:val="00B75816"/>
    <w:rsid w:val="00B762A0"/>
    <w:rsid w:val="00B76F10"/>
    <w:rsid w:val="00B81061"/>
    <w:rsid w:val="00B81531"/>
    <w:rsid w:val="00B81F61"/>
    <w:rsid w:val="00B82163"/>
    <w:rsid w:val="00B8243D"/>
    <w:rsid w:val="00B845DE"/>
    <w:rsid w:val="00B851B5"/>
    <w:rsid w:val="00B875D9"/>
    <w:rsid w:val="00B87AD1"/>
    <w:rsid w:val="00B9054D"/>
    <w:rsid w:val="00B90FAC"/>
    <w:rsid w:val="00B9174C"/>
    <w:rsid w:val="00B93280"/>
    <w:rsid w:val="00B93FE2"/>
    <w:rsid w:val="00B95B21"/>
    <w:rsid w:val="00B963E3"/>
    <w:rsid w:val="00B9664E"/>
    <w:rsid w:val="00B96E8B"/>
    <w:rsid w:val="00BA0802"/>
    <w:rsid w:val="00BA172B"/>
    <w:rsid w:val="00BA3636"/>
    <w:rsid w:val="00BA3DF2"/>
    <w:rsid w:val="00BA45B9"/>
    <w:rsid w:val="00BA4847"/>
    <w:rsid w:val="00BA5D97"/>
    <w:rsid w:val="00BA7D0C"/>
    <w:rsid w:val="00BA7EAA"/>
    <w:rsid w:val="00BB01B9"/>
    <w:rsid w:val="00BB01F8"/>
    <w:rsid w:val="00BB03E7"/>
    <w:rsid w:val="00BB0A53"/>
    <w:rsid w:val="00BB0E13"/>
    <w:rsid w:val="00BB140A"/>
    <w:rsid w:val="00BB3409"/>
    <w:rsid w:val="00BB64B2"/>
    <w:rsid w:val="00BC026E"/>
    <w:rsid w:val="00BC047E"/>
    <w:rsid w:val="00BC14E2"/>
    <w:rsid w:val="00BC2018"/>
    <w:rsid w:val="00BC3515"/>
    <w:rsid w:val="00BC4550"/>
    <w:rsid w:val="00BC485F"/>
    <w:rsid w:val="00BD1C82"/>
    <w:rsid w:val="00BD3499"/>
    <w:rsid w:val="00BD35B6"/>
    <w:rsid w:val="00BD4FF2"/>
    <w:rsid w:val="00BD51CC"/>
    <w:rsid w:val="00BD54D1"/>
    <w:rsid w:val="00BD60E9"/>
    <w:rsid w:val="00BD6696"/>
    <w:rsid w:val="00BE06C8"/>
    <w:rsid w:val="00BE1083"/>
    <w:rsid w:val="00BE2E34"/>
    <w:rsid w:val="00BE2FA5"/>
    <w:rsid w:val="00BE30B5"/>
    <w:rsid w:val="00BE3402"/>
    <w:rsid w:val="00BE3BB8"/>
    <w:rsid w:val="00BE5099"/>
    <w:rsid w:val="00BE54A3"/>
    <w:rsid w:val="00BE5711"/>
    <w:rsid w:val="00BE5A16"/>
    <w:rsid w:val="00BE6D12"/>
    <w:rsid w:val="00BE7643"/>
    <w:rsid w:val="00BE7EEA"/>
    <w:rsid w:val="00BF0ACD"/>
    <w:rsid w:val="00BF0CA4"/>
    <w:rsid w:val="00BF15A4"/>
    <w:rsid w:val="00BF2ACE"/>
    <w:rsid w:val="00BF4DCE"/>
    <w:rsid w:val="00BF54B0"/>
    <w:rsid w:val="00BF58F8"/>
    <w:rsid w:val="00BF59F7"/>
    <w:rsid w:val="00C00B60"/>
    <w:rsid w:val="00C00E8E"/>
    <w:rsid w:val="00C01778"/>
    <w:rsid w:val="00C02173"/>
    <w:rsid w:val="00C02BE4"/>
    <w:rsid w:val="00C03765"/>
    <w:rsid w:val="00C03EB1"/>
    <w:rsid w:val="00C054D3"/>
    <w:rsid w:val="00C055B5"/>
    <w:rsid w:val="00C06572"/>
    <w:rsid w:val="00C06686"/>
    <w:rsid w:val="00C073F7"/>
    <w:rsid w:val="00C0752F"/>
    <w:rsid w:val="00C101F2"/>
    <w:rsid w:val="00C10321"/>
    <w:rsid w:val="00C10710"/>
    <w:rsid w:val="00C10FDA"/>
    <w:rsid w:val="00C1111C"/>
    <w:rsid w:val="00C11511"/>
    <w:rsid w:val="00C1156E"/>
    <w:rsid w:val="00C117BA"/>
    <w:rsid w:val="00C11FF1"/>
    <w:rsid w:val="00C1248F"/>
    <w:rsid w:val="00C13EEF"/>
    <w:rsid w:val="00C17BD6"/>
    <w:rsid w:val="00C17E66"/>
    <w:rsid w:val="00C17F42"/>
    <w:rsid w:val="00C215CC"/>
    <w:rsid w:val="00C21647"/>
    <w:rsid w:val="00C21BC0"/>
    <w:rsid w:val="00C22B43"/>
    <w:rsid w:val="00C23693"/>
    <w:rsid w:val="00C250C8"/>
    <w:rsid w:val="00C2511E"/>
    <w:rsid w:val="00C252B8"/>
    <w:rsid w:val="00C256B1"/>
    <w:rsid w:val="00C26950"/>
    <w:rsid w:val="00C26DEF"/>
    <w:rsid w:val="00C26E2B"/>
    <w:rsid w:val="00C27F69"/>
    <w:rsid w:val="00C30AC0"/>
    <w:rsid w:val="00C31CEE"/>
    <w:rsid w:val="00C32D9A"/>
    <w:rsid w:val="00C3340F"/>
    <w:rsid w:val="00C34653"/>
    <w:rsid w:val="00C3471E"/>
    <w:rsid w:val="00C35139"/>
    <w:rsid w:val="00C36097"/>
    <w:rsid w:val="00C3638B"/>
    <w:rsid w:val="00C36C85"/>
    <w:rsid w:val="00C400D3"/>
    <w:rsid w:val="00C42D80"/>
    <w:rsid w:val="00C43247"/>
    <w:rsid w:val="00C43D4D"/>
    <w:rsid w:val="00C44B31"/>
    <w:rsid w:val="00C45226"/>
    <w:rsid w:val="00C45E28"/>
    <w:rsid w:val="00C46AA2"/>
    <w:rsid w:val="00C47BF2"/>
    <w:rsid w:val="00C502A6"/>
    <w:rsid w:val="00C50B4B"/>
    <w:rsid w:val="00C51292"/>
    <w:rsid w:val="00C51B0F"/>
    <w:rsid w:val="00C53880"/>
    <w:rsid w:val="00C53A48"/>
    <w:rsid w:val="00C54E00"/>
    <w:rsid w:val="00C56E0A"/>
    <w:rsid w:val="00C576EA"/>
    <w:rsid w:val="00C605D4"/>
    <w:rsid w:val="00C605E3"/>
    <w:rsid w:val="00C6196A"/>
    <w:rsid w:val="00C6199A"/>
    <w:rsid w:val="00C61B24"/>
    <w:rsid w:val="00C61B93"/>
    <w:rsid w:val="00C6216E"/>
    <w:rsid w:val="00C627AE"/>
    <w:rsid w:val="00C62E27"/>
    <w:rsid w:val="00C6305C"/>
    <w:rsid w:val="00C63251"/>
    <w:rsid w:val="00C63FDF"/>
    <w:rsid w:val="00C653C4"/>
    <w:rsid w:val="00C663E1"/>
    <w:rsid w:val="00C673A6"/>
    <w:rsid w:val="00C6767E"/>
    <w:rsid w:val="00C71917"/>
    <w:rsid w:val="00C71EBF"/>
    <w:rsid w:val="00C7352F"/>
    <w:rsid w:val="00C7357D"/>
    <w:rsid w:val="00C75AB0"/>
    <w:rsid w:val="00C7688C"/>
    <w:rsid w:val="00C76A58"/>
    <w:rsid w:val="00C76E8F"/>
    <w:rsid w:val="00C77076"/>
    <w:rsid w:val="00C77CAD"/>
    <w:rsid w:val="00C8021E"/>
    <w:rsid w:val="00C80A68"/>
    <w:rsid w:val="00C80B93"/>
    <w:rsid w:val="00C8190C"/>
    <w:rsid w:val="00C82DD5"/>
    <w:rsid w:val="00C841FA"/>
    <w:rsid w:val="00C849CF"/>
    <w:rsid w:val="00C859B1"/>
    <w:rsid w:val="00C91C73"/>
    <w:rsid w:val="00C91F33"/>
    <w:rsid w:val="00C92019"/>
    <w:rsid w:val="00C92044"/>
    <w:rsid w:val="00C92431"/>
    <w:rsid w:val="00C93249"/>
    <w:rsid w:val="00C954C8"/>
    <w:rsid w:val="00C973A5"/>
    <w:rsid w:val="00C97E11"/>
    <w:rsid w:val="00CA1F73"/>
    <w:rsid w:val="00CA2821"/>
    <w:rsid w:val="00CA2873"/>
    <w:rsid w:val="00CA2C5D"/>
    <w:rsid w:val="00CA2E28"/>
    <w:rsid w:val="00CA3CCB"/>
    <w:rsid w:val="00CA4852"/>
    <w:rsid w:val="00CA5480"/>
    <w:rsid w:val="00CA60FB"/>
    <w:rsid w:val="00CA659F"/>
    <w:rsid w:val="00CA68D1"/>
    <w:rsid w:val="00CA6987"/>
    <w:rsid w:val="00CA7DB6"/>
    <w:rsid w:val="00CB006F"/>
    <w:rsid w:val="00CB01CC"/>
    <w:rsid w:val="00CB0A1F"/>
    <w:rsid w:val="00CB19C5"/>
    <w:rsid w:val="00CB1DE6"/>
    <w:rsid w:val="00CB35C8"/>
    <w:rsid w:val="00CB35FA"/>
    <w:rsid w:val="00CB6AE9"/>
    <w:rsid w:val="00CB6ED7"/>
    <w:rsid w:val="00CC023C"/>
    <w:rsid w:val="00CC0A4F"/>
    <w:rsid w:val="00CC4303"/>
    <w:rsid w:val="00CC4B26"/>
    <w:rsid w:val="00CC5914"/>
    <w:rsid w:val="00CC5DBA"/>
    <w:rsid w:val="00CC6D4F"/>
    <w:rsid w:val="00CD10C8"/>
    <w:rsid w:val="00CD1FF3"/>
    <w:rsid w:val="00CD44E1"/>
    <w:rsid w:val="00CD55FB"/>
    <w:rsid w:val="00CD5966"/>
    <w:rsid w:val="00CD7CD2"/>
    <w:rsid w:val="00CE07A0"/>
    <w:rsid w:val="00CE1184"/>
    <w:rsid w:val="00CE27E1"/>
    <w:rsid w:val="00CE2B66"/>
    <w:rsid w:val="00CE476C"/>
    <w:rsid w:val="00CE4C8C"/>
    <w:rsid w:val="00CE5117"/>
    <w:rsid w:val="00CE5881"/>
    <w:rsid w:val="00CE67C4"/>
    <w:rsid w:val="00CE68D6"/>
    <w:rsid w:val="00CE7DC3"/>
    <w:rsid w:val="00CF115A"/>
    <w:rsid w:val="00CF1610"/>
    <w:rsid w:val="00CF1E7D"/>
    <w:rsid w:val="00CF2A3A"/>
    <w:rsid w:val="00CF401D"/>
    <w:rsid w:val="00CF48C3"/>
    <w:rsid w:val="00CF7CF0"/>
    <w:rsid w:val="00D00837"/>
    <w:rsid w:val="00D00CD3"/>
    <w:rsid w:val="00D014DB"/>
    <w:rsid w:val="00D0197F"/>
    <w:rsid w:val="00D02A76"/>
    <w:rsid w:val="00D04DC7"/>
    <w:rsid w:val="00D04F7C"/>
    <w:rsid w:val="00D0536F"/>
    <w:rsid w:val="00D072B7"/>
    <w:rsid w:val="00D074D5"/>
    <w:rsid w:val="00D103A8"/>
    <w:rsid w:val="00D11313"/>
    <w:rsid w:val="00D11D8C"/>
    <w:rsid w:val="00D12237"/>
    <w:rsid w:val="00D123DD"/>
    <w:rsid w:val="00D1270B"/>
    <w:rsid w:val="00D1312C"/>
    <w:rsid w:val="00D15099"/>
    <w:rsid w:val="00D155D3"/>
    <w:rsid w:val="00D15863"/>
    <w:rsid w:val="00D15B87"/>
    <w:rsid w:val="00D15CF5"/>
    <w:rsid w:val="00D15DBF"/>
    <w:rsid w:val="00D15E62"/>
    <w:rsid w:val="00D15EF0"/>
    <w:rsid w:val="00D207D3"/>
    <w:rsid w:val="00D208F9"/>
    <w:rsid w:val="00D21927"/>
    <w:rsid w:val="00D23135"/>
    <w:rsid w:val="00D232BB"/>
    <w:rsid w:val="00D23547"/>
    <w:rsid w:val="00D26BD1"/>
    <w:rsid w:val="00D2701A"/>
    <w:rsid w:val="00D271AE"/>
    <w:rsid w:val="00D27D56"/>
    <w:rsid w:val="00D27F8F"/>
    <w:rsid w:val="00D304F6"/>
    <w:rsid w:val="00D307F9"/>
    <w:rsid w:val="00D31728"/>
    <w:rsid w:val="00D3172E"/>
    <w:rsid w:val="00D323BE"/>
    <w:rsid w:val="00D33E5B"/>
    <w:rsid w:val="00D3425E"/>
    <w:rsid w:val="00D34DFE"/>
    <w:rsid w:val="00D35203"/>
    <w:rsid w:val="00D35876"/>
    <w:rsid w:val="00D37D40"/>
    <w:rsid w:val="00D413B9"/>
    <w:rsid w:val="00D41638"/>
    <w:rsid w:val="00D43952"/>
    <w:rsid w:val="00D43D76"/>
    <w:rsid w:val="00D4413F"/>
    <w:rsid w:val="00D45230"/>
    <w:rsid w:val="00D45FEA"/>
    <w:rsid w:val="00D5161B"/>
    <w:rsid w:val="00D54063"/>
    <w:rsid w:val="00D5611A"/>
    <w:rsid w:val="00D5687A"/>
    <w:rsid w:val="00D56C7D"/>
    <w:rsid w:val="00D57206"/>
    <w:rsid w:val="00D57B5E"/>
    <w:rsid w:val="00D60A92"/>
    <w:rsid w:val="00D60C6B"/>
    <w:rsid w:val="00D611AF"/>
    <w:rsid w:val="00D61C7F"/>
    <w:rsid w:val="00D62311"/>
    <w:rsid w:val="00D62A48"/>
    <w:rsid w:val="00D64E8C"/>
    <w:rsid w:val="00D64FD8"/>
    <w:rsid w:val="00D6536D"/>
    <w:rsid w:val="00D65818"/>
    <w:rsid w:val="00D65CBE"/>
    <w:rsid w:val="00D665CC"/>
    <w:rsid w:val="00D67093"/>
    <w:rsid w:val="00D6723B"/>
    <w:rsid w:val="00D67AA5"/>
    <w:rsid w:val="00D67AF5"/>
    <w:rsid w:val="00D70872"/>
    <w:rsid w:val="00D70A0D"/>
    <w:rsid w:val="00D7256F"/>
    <w:rsid w:val="00D73394"/>
    <w:rsid w:val="00D73E5C"/>
    <w:rsid w:val="00D74631"/>
    <w:rsid w:val="00D75156"/>
    <w:rsid w:val="00D7583A"/>
    <w:rsid w:val="00D7597C"/>
    <w:rsid w:val="00D75FA5"/>
    <w:rsid w:val="00D76297"/>
    <w:rsid w:val="00D767FD"/>
    <w:rsid w:val="00D771EF"/>
    <w:rsid w:val="00D77D6C"/>
    <w:rsid w:val="00D810C7"/>
    <w:rsid w:val="00D8143C"/>
    <w:rsid w:val="00D818CE"/>
    <w:rsid w:val="00D8299A"/>
    <w:rsid w:val="00D82BFF"/>
    <w:rsid w:val="00D861E2"/>
    <w:rsid w:val="00D870B7"/>
    <w:rsid w:val="00D87E3C"/>
    <w:rsid w:val="00D90540"/>
    <w:rsid w:val="00D90A57"/>
    <w:rsid w:val="00D91000"/>
    <w:rsid w:val="00D9228E"/>
    <w:rsid w:val="00D944A7"/>
    <w:rsid w:val="00D94607"/>
    <w:rsid w:val="00D95035"/>
    <w:rsid w:val="00D954B5"/>
    <w:rsid w:val="00D95B80"/>
    <w:rsid w:val="00D95E85"/>
    <w:rsid w:val="00D96796"/>
    <w:rsid w:val="00D96917"/>
    <w:rsid w:val="00D975F7"/>
    <w:rsid w:val="00D97E36"/>
    <w:rsid w:val="00DA05D7"/>
    <w:rsid w:val="00DA1D96"/>
    <w:rsid w:val="00DA2904"/>
    <w:rsid w:val="00DA3560"/>
    <w:rsid w:val="00DA4BD6"/>
    <w:rsid w:val="00DA537B"/>
    <w:rsid w:val="00DA54DE"/>
    <w:rsid w:val="00DA5D63"/>
    <w:rsid w:val="00DA60A3"/>
    <w:rsid w:val="00DA72CD"/>
    <w:rsid w:val="00DB06CA"/>
    <w:rsid w:val="00DB076F"/>
    <w:rsid w:val="00DB1530"/>
    <w:rsid w:val="00DB466D"/>
    <w:rsid w:val="00DB5320"/>
    <w:rsid w:val="00DB6334"/>
    <w:rsid w:val="00DB722A"/>
    <w:rsid w:val="00DB7365"/>
    <w:rsid w:val="00DC0013"/>
    <w:rsid w:val="00DC087F"/>
    <w:rsid w:val="00DC2513"/>
    <w:rsid w:val="00DC4055"/>
    <w:rsid w:val="00DC40E7"/>
    <w:rsid w:val="00DC5BC1"/>
    <w:rsid w:val="00DC6FF6"/>
    <w:rsid w:val="00DD05F2"/>
    <w:rsid w:val="00DD0D7F"/>
    <w:rsid w:val="00DD184B"/>
    <w:rsid w:val="00DD1C97"/>
    <w:rsid w:val="00DD20F6"/>
    <w:rsid w:val="00DD21BB"/>
    <w:rsid w:val="00DD47C0"/>
    <w:rsid w:val="00DD578D"/>
    <w:rsid w:val="00DD6676"/>
    <w:rsid w:val="00DD707C"/>
    <w:rsid w:val="00DD7414"/>
    <w:rsid w:val="00DE08E3"/>
    <w:rsid w:val="00DE13BC"/>
    <w:rsid w:val="00DE2625"/>
    <w:rsid w:val="00DE2AAA"/>
    <w:rsid w:val="00DE328D"/>
    <w:rsid w:val="00DE3F1A"/>
    <w:rsid w:val="00DE5722"/>
    <w:rsid w:val="00DE5A6E"/>
    <w:rsid w:val="00DE6197"/>
    <w:rsid w:val="00DE668E"/>
    <w:rsid w:val="00DE6E04"/>
    <w:rsid w:val="00DE7134"/>
    <w:rsid w:val="00DE7967"/>
    <w:rsid w:val="00DF08E6"/>
    <w:rsid w:val="00DF0EA0"/>
    <w:rsid w:val="00DF40D4"/>
    <w:rsid w:val="00DF57EB"/>
    <w:rsid w:val="00DF70FE"/>
    <w:rsid w:val="00E003CF"/>
    <w:rsid w:val="00E0109E"/>
    <w:rsid w:val="00E01290"/>
    <w:rsid w:val="00E013E8"/>
    <w:rsid w:val="00E01476"/>
    <w:rsid w:val="00E0148D"/>
    <w:rsid w:val="00E01BA2"/>
    <w:rsid w:val="00E01C7C"/>
    <w:rsid w:val="00E03361"/>
    <w:rsid w:val="00E071E0"/>
    <w:rsid w:val="00E07C73"/>
    <w:rsid w:val="00E07E8D"/>
    <w:rsid w:val="00E10797"/>
    <w:rsid w:val="00E10C0E"/>
    <w:rsid w:val="00E1353F"/>
    <w:rsid w:val="00E13A9D"/>
    <w:rsid w:val="00E14FD1"/>
    <w:rsid w:val="00E17E12"/>
    <w:rsid w:val="00E2149D"/>
    <w:rsid w:val="00E2194F"/>
    <w:rsid w:val="00E21F78"/>
    <w:rsid w:val="00E21FE8"/>
    <w:rsid w:val="00E24DFF"/>
    <w:rsid w:val="00E267E5"/>
    <w:rsid w:val="00E26CDC"/>
    <w:rsid w:val="00E27409"/>
    <w:rsid w:val="00E323A2"/>
    <w:rsid w:val="00E32825"/>
    <w:rsid w:val="00E33326"/>
    <w:rsid w:val="00E333D5"/>
    <w:rsid w:val="00E33DE3"/>
    <w:rsid w:val="00E36907"/>
    <w:rsid w:val="00E36AE8"/>
    <w:rsid w:val="00E36E0A"/>
    <w:rsid w:val="00E36FA2"/>
    <w:rsid w:val="00E37313"/>
    <w:rsid w:val="00E37585"/>
    <w:rsid w:val="00E375E0"/>
    <w:rsid w:val="00E40920"/>
    <w:rsid w:val="00E41D9F"/>
    <w:rsid w:val="00E42064"/>
    <w:rsid w:val="00E42517"/>
    <w:rsid w:val="00E438E1"/>
    <w:rsid w:val="00E43905"/>
    <w:rsid w:val="00E43F20"/>
    <w:rsid w:val="00E441B0"/>
    <w:rsid w:val="00E466C9"/>
    <w:rsid w:val="00E46754"/>
    <w:rsid w:val="00E46B5F"/>
    <w:rsid w:val="00E46E34"/>
    <w:rsid w:val="00E475CC"/>
    <w:rsid w:val="00E507BD"/>
    <w:rsid w:val="00E50B47"/>
    <w:rsid w:val="00E50DD2"/>
    <w:rsid w:val="00E5202E"/>
    <w:rsid w:val="00E527BA"/>
    <w:rsid w:val="00E5384C"/>
    <w:rsid w:val="00E53D79"/>
    <w:rsid w:val="00E5417E"/>
    <w:rsid w:val="00E54451"/>
    <w:rsid w:val="00E549B4"/>
    <w:rsid w:val="00E55739"/>
    <w:rsid w:val="00E55BCC"/>
    <w:rsid w:val="00E560C5"/>
    <w:rsid w:val="00E56789"/>
    <w:rsid w:val="00E5728B"/>
    <w:rsid w:val="00E603FD"/>
    <w:rsid w:val="00E60972"/>
    <w:rsid w:val="00E619D8"/>
    <w:rsid w:val="00E639AB"/>
    <w:rsid w:val="00E63D45"/>
    <w:rsid w:val="00E63DC0"/>
    <w:rsid w:val="00E643D6"/>
    <w:rsid w:val="00E64BC2"/>
    <w:rsid w:val="00E64DAF"/>
    <w:rsid w:val="00E65237"/>
    <w:rsid w:val="00E65ED6"/>
    <w:rsid w:val="00E6749A"/>
    <w:rsid w:val="00E6772E"/>
    <w:rsid w:val="00E71326"/>
    <w:rsid w:val="00E726C5"/>
    <w:rsid w:val="00E7289F"/>
    <w:rsid w:val="00E72A50"/>
    <w:rsid w:val="00E738F7"/>
    <w:rsid w:val="00E74AA9"/>
    <w:rsid w:val="00E74D8E"/>
    <w:rsid w:val="00E76136"/>
    <w:rsid w:val="00E76999"/>
    <w:rsid w:val="00E7767C"/>
    <w:rsid w:val="00E8047E"/>
    <w:rsid w:val="00E80DD6"/>
    <w:rsid w:val="00E81360"/>
    <w:rsid w:val="00E8244C"/>
    <w:rsid w:val="00E83861"/>
    <w:rsid w:val="00E83AD2"/>
    <w:rsid w:val="00E83ECC"/>
    <w:rsid w:val="00E84C7D"/>
    <w:rsid w:val="00E86061"/>
    <w:rsid w:val="00E86B00"/>
    <w:rsid w:val="00E877E0"/>
    <w:rsid w:val="00E906D3"/>
    <w:rsid w:val="00E9134B"/>
    <w:rsid w:val="00E9198F"/>
    <w:rsid w:val="00E92706"/>
    <w:rsid w:val="00E93C50"/>
    <w:rsid w:val="00E93E24"/>
    <w:rsid w:val="00E960F6"/>
    <w:rsid w:val="00E962A5"/>
    <w:rsid w:val="00E96A22"/>
    <w:rsid w:val="00E97B72"/>
    <w:rsid w:val="00EA0826"/>
    <w:rsid w:val="00EA1075"/>
    <w:rsid w:val="00EA12D0"/>
    <w:rsid w:val="00EA1B9C"/>
    <w:rsid w:val="00EA40E2"/>
    <w:rsid w:val="00EA4818"/>
    <w:rsid w:val="00EA4FEB"/>
    <w:rsid w:val="00EA51D5"/>
    <w:rsid w:val="00EA5919"/>
    <w:rsid w:val="00EA5B36"/>
    <w:rsid w:val="00EA7D2D"/>
    <w:rsid w:val="00EA7DE9"/>
    <w:rsid w:val="00EB0A3D"/>
    <w:rsid w:val="00EB0EB2"/>
    <w:rsid w:val="00EB1772"/>
    <w:rsid w:val="00EB1EEB"/>
    <w:rsid w:val="00EB2709"/>
    <w:rsid w:val="00EB291B"/>
    <w:rsid w:val="00EB29FF"/>
    <w:rsid w:val="00EB2C96"/>
    <w:rsid w:val="00EB32C7"/>
    <w:rsid w:val="00EB32E4"/>
    <w:rsid w:val="00EB35EA"/>
    <w:rsid w:val="00EB3603"/>
    <w:rsid w:val="00EB37E6"/>
    <w:rsid w:val="00EB3AEA"/>
    <w:rsid w:val="00EB4D30"/>
    <w:rsid w:val="00EB6568"/>
    <w:rsid w:val="00EB72B5"/>
    <w:rsid w:val="00EB73F6"/>
    <w:rsid w:val="00EC05EC"/>
    <w:rsid w:val="00EC11F7"/>
    <w:rsid w:val="00EC1BAA"/>
    <w:rsid w:val="00EC1D5F"/>
    <w:rsid w:val="00EC1ED9"/>
    <w:rsid w:val="00EC2308"/>
    <w:rsid w:val="00EC2C50"/>
    <w:rsid w:val="00EC332A"/>
    <w:rsid w:val="00EC5FA0"/>
    <w:rsid w:val="00EC5FFC"/>
    <w:rsid w:val="00EC7B9C"/>
    <w:rsid w:val="00ED07B6"/>
    <w:rsid w:val="00ED19A3"/>
    <w:rsid w:val="00ED200A"/>
    <w:rsid w:val="00ED275C"/>
    <w:rsid w:val="00ED3F51"/>
    <w:rsid w:val="00ED6286"/>
    <w:rsid w:val="00ED7102"/>
    <w:rsid w:val="00ED7CC6"/>
    <w:rsid w:val="00EE0DFE"/>
    <w:rsid w:val="00EE3686"/>
    <w:rsid w:val="00EE3BE5"/>
    <w:rsid w:val="00EE4718"/>
    <w:rsid w:val="00EE5592"/>
    <w:rsid w:val="00EE64BD"/>
    <w:rsid w:val="00EE6815"/>
    <w:rsid w:val="00EE6FF7"/>
    <w:rsid w:val="00EF2FCA"/>
    <w:rsid w:val="00EF414E"/>
    <w:rsid w:val="00EF4150"/>
    <w:rsid w:val="00EF43D0"/>
    <w:rsid w:val="00EF55C5"/>
    <w:rsid w:val="00EF60B0"/>
    <w:rsid w:val="00EF63E4"/>
    <w:rsid w:val="00EF6697"/>
    <w:rsid w:val="00EF66DD"/>
    <w:rsid w:val="00EF6DC7"/>
    <w:rsid w:val="00EF7804"/>
    <w:rsid w:val="00EF7E2C"/>
    <w:rsid w:val="00F00031"/>
    <w:rsid w:val="00F003F7"/>
    <w:rsid w:val="00F0087E"/>
    <w:rsid w:val="00F01048"/>
    <w:rsid w:val="00F0365A"/>
    <w:rsid w:val="00F038A2"/>
    <w:rsid w:val="00F04C6B"/>
    <w:rsid w:val="00F04D01"/>
    <w:rsid w:val="00F0517A"/>
    <w:rsid w:val="00F05FE3"/>
    <w:rsid w:val="00F070A8"/>
    <w:rsid w:val="00F07231"/>
    <w:rsid w:val="00F07490"/>
    <w:rsid w:val="00F076F5"/>
    <w:rsid w:val="00F07D86"/>
    <w:rsid w:val="00F104CF"/>
    <w:rsid w:val="00F10AB1"/>
    <w:rsid w:val="00F10CBA"/>
    <w:rsid w:val="00F119CD"/>
    <w:rsid w:val="00F12274"/>
    <w:rsid w:val="00F12F19"/>
    <w:rsid w:val="00F135A0"/>
    <w:rsid w:val="00F13B4C"/>
    <w:rsid w:val="00F15131"/>
    <w:rsid w:val="00F154E3"/>
    <w:rsid w:val="00F1578F"/>
    <w:rsid w:val="00F17FFE"/>
    <w:rsid w:val="00F2136C"/>
    <w:rsid w:val="00F2212E"/>
    <w:rsid w:val="00F237DC"/>
    <w:rsid w:val="00F27E59"/>
    <w:rsid w:val="00F317C5"/>
    <w:rsid w:val="00F31801"/>
    <w:rsid w:val="00F319DB"/>
    <w:rsid w:val="00F32354"/>
    <w:rsid w:val="00F3351A"/>
    <w:rsid w:val="00F33978"/>
    <w:rsid w:val="00F33B3D"/>
    <w:rsid w:val="00F356D1"/>
    <w:rsid w:val="00F35A9C"/>
    <w:rsid w:val="00F3739C"/>
    <w:rsid w:val="00F41479"/>
    <w:rsid w:val="00F43140"/>
    <w:rsid w:val="00F43BAB"/>
    <w:rsid w:val="00F43E0B"/>
    <w:rsid w:val="00F43F4F"/>
    <w:rsid w:val="00F44F36"/>
    <w:rsid w:val="00F450FA"/>
    <w:rsid w:val="00F452F5"/>
    <w:rsid w:val="00F46ED4"/>
    <w:rsid w:val="00F47C94"/>
    <w:rsid w:val="00F50D80"/>
    <w:rsid w:val="00F511E3"/>
    <w:rsid w:val="00F518D5"/>
    <w:rsid w:val="00F518FB"/>
    <w:rsid w:val="00F51C5B"/>
    <w:rsid w:val="00F51EA3"/>
    <w:rsid w:val="00F52532"/>
    <w:rsid w:val="00F5271C"/>
    <w:rsid w:val="00F5339E"/>
    <w:rsid w:val="00F53BF1"/>
    <w:rsid w:val="00F53FEC"/>
    <w:rsid w:val="00F542B7"/>
    <w:rsid w:val="00F553C7"/>
    <w:rsid w:val="00F553ED"/>
    <w:rsid w:val="00F56E35"/>
    <w:rsid w:val="00F57365"/>
    <w:rsid w:val="00F57A84"/>
    <w:rsid w:val="00F57B93"/>
    <w:rsid w:val="00F60D2D"/>
    <w:rsid w:val="00F618C3"/>
    <w:rsid w:val="00F61A65"/>
    <w:rsid w:val="00F62790"/>
    <w:rsid w:val="00F64C6A"/>
    <w:rsid w:val="00F652EC"/>
    <w:rsid w:val="00F654E4"/>
    <w:rsid w:val="00F670EF"/>
    <w:rsid w:val="00F675D1"/>
    <w:rsid w:val="00F707FA"/>
    <w:rsid w:val="00F715D0"/>
    <w:rsid w:val="00F72334"/>
    <w:rsid w:val="00F72A40"/>
    <w:rsid w:val="00F74817"/>
    <w:rsid w:val="00F74A4F"/>
    <w:rsid w:val="00F74BC3"/>
    <w:rsid w:val="00F75DD1"/>
    <w:rsid w:val="00F805DE"/>
    <w:rsid w:val="00F816BD"/>
    <w:rsid w:val="00F81AB1"/>
    <w:rsid w:val="00F82816"/>
    <w:rsid w:val="00F831FA"/>
    <w:rsid w:val="00F83DA4"/>
    <w:rsid w:val="00F8500E"/>
    <w:rsid w:val="00F853A6"/>
    <w:rsid w:val="00F85BA2"/>
    <w:rsid w:val="00F85C71"/>
    <w:rsid w:val="00F8627A"/>
    <w:rsid w:val="00F8673F"/>
    <w:rsid w:val="00F879DF"/>
    <w:rsid w:val="00F900F9"/>
    <w:rsid w:val="00F9085B"/>
    <w:rsid w:val="00F910CB"/>
    <w:rsid w:val="00F93CF2"/>
    <w:rsid w:val="00F9401F"/>
    <w:rsid w:val="00F94B4C"/>
    <w:rsid w:val="00F94BDE"/>
    <w:rsid w:val="00F94D38"/>
    <w:rsid w:val="00F95AA2"/>
    <w:rsid w:val="00F9606F"/>
    <w:rsid w:val="00F96757"/>
    <w:rsid w:val="00F97037"/>
    <w:rsid w:val="00F97BC1"/>
    <w:rsid w:val="00F97CD3"/>
    <w:rsid w:val="00FA0339"/>
    <w:rsid w:val="00FA0551"/>
    <w:rsid w:val="00FA0688"/>
    <w:rsid w:val="00FA1B46"/>
    <w:rsid w:val="00FA1F27"/>
    <w:rsid w:val="00FA33CB"/>
    <w:rsid w:val="00FA4126"/>
    <w:rsid w:val="00FA4475"/>
    <w:rsid w:val="00FA49C9"/>
    <w:rsid w:val="00FA4BE1"/>
    <w:rsid w:val="00FA5512"/>
    <w:rsid w:val="00FA5A1B"/>
    <w:rsid w:val="00FA7FB4"/>
    <w:rsid w:val="00FA7FCF"/>
    <w:rsid w:val="00FB013A"/>
    <w:rsid w:val="00FB072C"/>
    <w:rsid w:val="00FB0861"/>
    <w:rsid w:val="00FB0B6B"/>
    <w:rsid w:val="00FB102C"/>
    <w:rsid w:val="00FB12D1"/>
    <w:rsid w:val="00FB14A4"/>
    <w:rsid w:val="00FB15FE"/>
    <w:rsid w:val="00FB275C"/>
    <w:rsid w:val="00FB2F8A"/>
    <w:rsid w:val="00FB30C1"/>
    <w:rsid w:val="00FB33FF"/>
    <w:rsid w:val="00FB4327"/>
    <w:rsid w:val="00FB45EF"/>
    <w:rsid w:val="00FB4AA0"/>
    <w:rsid w:val="00FB4F0E"/>
    <w:rsid w:val="00FB4F15"/>
    <w:rsid w:val="00FB73B1"/>
    <w:rsid w:val="00FC0F8F"/>
    <w:rsid w:val="00FC110B"/>
    <w:rsid w:val="00FC1296"/>
    <w:rsid w:val="00FC13A7"/>
    <w:rsid w:val="00FC1761"/>
    <w:rsid w:val="00FC28A2"/>
    <w:rsid w:val="00FC3541"/>
    <w:rsid w:val="00FC3927"/>
    <w:rsid w:val="00FC4A2B"/>
    <w:rsid w:val="00FC55CA"/>
    <w:rsid w:val="00FC5691"/>
    <w:rsid w:val="00FC5B7A"/>
    <w:rsid w:val="00FC5E7E"/>
    <w:rsid w:val="00FC6335"/>
    <w:rsid w:val="00FC71A5"/>
    <w:rsid w:val="00FC7507"/>
    <w:rsid w:val="00FD0206"/>
    <w:rsid w:val="00FD0732"/>
    <w:rsid w:val="00FD1FC1"/>
    <w:rsid w:val="00FD21B0"/>
    <w:rsid w:val="00FD2459"/>
    <w:rsid w:val="00FD2567"/>
    <w:rsid w:val="00FD3507"/>
    <w:rsid w:val="00FD3F9E"/>
    <w:rsid w:val="00FD43A3"/>
    <w:rsid w:val="00FD4E04"/>
    <w:rsid w:val="00FD4E2D"/>
    <w:rsid w:val="00FD4F2F"/>
    <w:rsid w:val="00FD5CC8"/>
    <w:rsid w:val="00FD6C4D"/>
    <w:rsid w:val="00FE0413"/>
    <w:rsid w:val="00FE079E"/>
    <w:rsid w:val="00FE0FD6"/>
    <w:rsid w:val="00FE1C6C"/>
    <w:rsid w:val="00FE21AA"/>
    <w:rsid w:val="00FE289A"/>
    <w:rsid w:val="00FE3192"/>
    <w:rsid w:val="00FE36D4"/>
    <w:rsid w:val="00FE49AC"/>
    <w:rsid w:val="00FE4AC0"/>
    <w:rsid w:val="00FE7089"/>
    <w:rsid w:val="00FE729A"/>
    <w:rsid w:val="00FF0953"/>
    <w:rsid w:val="00FF0D8A"/>
    <w:rsid w:val="00FF0E4A"/>
    <w:rsid w:val="00FF123D"/>
    <w:rsid w:val="00FF12A9"/>
    <w:rsid w:val="00FF1D83"/>
    <w:rsid w:val="00FF2128"/>
    <w:rsid w:val="00FF33A1"/>
    <w:rsid w:val="00FF33A3"/>
    <w:rsid w:val="00FF582F"/>
    <w:rsid w:val="00FF62DD"/>
    <w:rsid w:val="00FF643D"/>
    <w:rsid w:val="00FF7AC2"/>
    <w:rsid w:val="01D46C74"/>
    <w:rsid w:val="029860F6"/>
    <w:rsid w:val="030EA553"/>
    <w:rsid w:val="033675E5"/>
    <w:rsid w:val="0358F0F9"/>
    <w:rsid w:val="0461FDB0"/>
    <w:rsid w:val="047F8556"/>
    <w:rsid w:val="053D7340"/>
    <w:rsid w:val="06E1982A"/>
    <w:rsid w:val="0A1DE960"/>
    <w:rsid w:val="0B39527A"/>
    <w:rsid w:val="0B563DB8"/>
    <w:rsid w:val="0BDBC7EA"/>
    <w:rsid w:val="0C66B9B0"/>
    <w:rsid w:val="0CDFC0DD"/>
    <w:rsid w:val="0EFB823A"/>
    <w:rsid w:val="0F86EB6D"/>
    <w:rsid w:val="10D05522"/>
    <w:rsid w:val="112CDAD7"/>
    <w:rsid w:val="13510888"/>
    <w:rsid w:val="13BFAE56"/>
    <w:rsid w:val="14A35A47"/>
    <w:rsid w:val="151D5B9D"/>
    <w:rsid w:val="160FA6CE"/>
    <w:rsid w:val="167ED3D7"/>
    <w:rsid w:val="16A603BC"/>
    <w:rsid w:val="178545EB"/>
    <w:rsid w:val="17E02761"/>
    <w:rsid w:val="182F5BFE"/>
    <w:rsid w:val="183045C3"/>
    <w:rsid w:val="18998908"/>
    <w:rsid w:val="1930A2C2"/>
    <w:rsid w:val="19829BAF"/>
    <w:rsid w:val="1A73C3D0"/>
    <w:rsid w:val="1A9BDA0C"/>
    <w:rsid w:val="1B6DC103"/>
    <w:rsid w:val="1BBFE517"/>
    <w:rsid w:val="1C2949AA"/>
    <w:rsid w:val="1C7C03EE"/>
    <w:rsid w:val="1CAF8190"/>
    <w:rsid w:val="1D72063F"/>
    <w:rsid w:val="1DB71CEE"/>
    <w:rsid w:val="1DBD47F8"/>
    <w:rsid w:val="1E1ADC38"/>
    <w:rsid w:val="1E724AFF"/>
    <w:rsid w:val="1E8C5088"/>
    <w:rsid w:val="1EAB1E33"/>
    <w:rsid w:val="200BB4AA"/>
    <w:rsid w:val="20C81CF1"/>
    <w:rsid w:val="20D2ACA1"/>
    <w:rsid w:val="217D0C4B"/>
    <w:rsid w:val="21BD87EA"/>
    <w:rsid w:val="221D740C"/>
    <w:rsid w:val="22268A61"/>
    <w:rsid w:val="233B0F74"/>
    <w:rsid w:val="23A2BF1F"/>
    <w:rsid w:val="23BAEBA6"/>
    <w:rsid w:val="24DB3907"/>
    <w:rsid w:val="25097205"/>
    <w:rsid w:val="25381AA0"/>
    <w:rsid w:val="253BC0B5"/>
    <w:rsid w:val="2578250C"/>
    <w:rsid w:val="269A1FA2"/>
    <w:rsid w:val="269D9F33"/>
    <w:rsid w:val="26EC6DD5"/>
    <w:rsid w:val="27875A32"/>
    <w:rsid w:val="27897922"/>
    <w:rsid w:val="27F856B0"/>
    <w:rsid w:val="28C06590"/>
    <w:rsid w:val="28D3D1AD"/>
    <w:rsid w:val="2C722D8D"/>
    <w:rsid w:val="2DA8769A"/>
    <w:rsid w:val="2E41AE4D"/>
    <w:rsid w:val="2EA23443"/>
    <w:rsid w:val="2EE459F1"/>
    <w:rsid w:val="30502099"/>
    <w:rsid w:val="307B7719"/>
    <w:rsid w:val="309E72CB"/>
    <w:rsid w:val="31026B80"/>
    <w:rsid w:val="31B7B276"/>
    <w:rsid w:val="326F9E3C"/>
    <w:rsid w:val="33007AA4"/>
    <w:rsid w:val="3312BA80"/>
    <w:rsid w:val="3434355D"/>
    <w:rsid w:val="3469639D"/>
    <w:rsid w:val="35018170"/>
    <w:rsid w:val="3527223F"/>
    <w:rsid w:val="3538D73B"/>
    <w:rsid w:val="3602F88C"/>
    <w:rsid w:val="36772786"/>
    <w:rsid w:val="369EEB9E"/>
    <w:rsid w:val="388F6B14"/>
    <w:rsid w:val="38978C51"/>
    <w:rsid w:val="399A42CE"/>
    <w:rsid w:val="3A7CB28B"/>
    <w:rsid w:val="3ABC8AA2"/>
    <w:rsid w:val="3B343EA3"/>
    <w:rsid w:val="3BB4EFD7"/>
    <w:rsid w:val="3BC668F4"/>
    <w:rsid w:val="3BCEDD48"/>
    <w:rsid w:val="3C099879"/>
    <w:rsid w:val="3C5AB795"/>
    <w:rsid w:val="3E534524"/>
    <w:rsid w:val="3FD12BA0"/>
    <w:rsid w:val="40103549"/>
    <w:rsid w:val="4018A24C"/>
    <w:rsid w:val="406EA595"/>
    <w:rsid w:val="42D47815"/>
    <w:rsid w:val="433C30A3"/>
    <w:rsid w:val="438ADC07"/>
    <w:rsid w:val="443078F4"/>
    <w:rsid w:val="45184E8D"/>
    <w:rsid w:val="451D6184"/>
    <w:rsid w:val="459C18E0"/>
    <w:rsid w:val="4658ECFA"/>
    <w:rsid w:val="46899820"/>
    <w:rsid w:val="47026892"/>
    <w:rsid w:val="47C20C65"/>
    <w:rsid w:val="490E97C2"/>
    <w:rsid w:val="4AC49626"/>
    <w:rsid w:val="4B488493"/>
    <w:rsid w:val="4BE8106A"/>
    <w:rsid w:val="4BF2FEA7"/>
    <w:rsid w:val="4BFC9A50"/>
    <w:rsid w:val="4C5B9AFB"/>
    <w:rsid w:val="4C67B3C8"/>
    <w:rsid w:val="4CEAC46C"/>
    <w:rsid w:val="4DC46E8C"/>
    <w:rsid w:val="4DE7178F"/>
    <w:rsid w:val="50C7BE82"/>
    <w:rsid w:val="51413A1C"/>
    <w:rsid w:val="51FFF0A3"/>
    <w:rsid w:val="523D1F96"/>
    <w:rsid w:val="5399D49F"/>
    <w:rsid w:val="542E6B26"/>
    <w:rsid w:val="544CD43B"/>
    <w:rsid w:val="54CD01FA"/>
    <w:rsid w:val="55D6D930"/>
    <w:rsid w:val="5610A28E"/>
    <w:rsid w:val="56CA4186"/>
    <w:rsid w:val="5752621D"/>
    <w:rsid w:val="5756D2FC"/>
    <w:rsid w:val="5902144F"/>
    <w:rsid w:val="5921F0EE"/>
    <w:rsid w:val="5A5CB7BD"/>
    <w:rsid w:val="5B783DF0"/>
    <w:rsid w:val="5BBF8656"/>
    <w:rsid w:val="5BE5C4AD"/>
    <w:rsid w:val="5D1FAF9C"/>
    <w:rsid w:val="5DFAB446"/>
    <w:rsid w:val="5E876AD0"/>
    <w:rsid w:val="5EA5C4ED"/>
    <w:rsid w:val="5EC8C2AC"/>
    <w:rsid w:val="5EEDE96B"/>
    <w:rsid w:val="5F67AE15"/>
    <w:rsid w:val="609AC2F7"/>
    <w:rsid w:val="61FEE7A7"/>
    <w:rsid w:val="622E83FE"/>
    <w:rsid w:val="623CEC4C"/>
    <w:rsid w:val="62450EFD"/>
    <w:rsid w:val="625CB017"/>
    <w:rsid w:val="627D3AD7"/>
    <w:rsid w:val="6298ADB8"/>
    <w:rsid w:val="62CFC02E"/>
    <w:rsid w:val="64106770"/>
    <w:rsid w:val="64E6E891"/>
    <w:rsid w:val="650C0C50"/>
    <w:rsid w:val="65941EE7"/>
    <w:rsid w:val="66CA65D5"/>
    <w:rsid w:val="675D65AF"/>
    <w:rsid w:val="678269B4"/>
    <w:rsid w:val="6909AA32"/>
    <w:rsid w:val="697A3C44"/>
    <w:rsid w:val="6A13D234"/>
    <w:rsid w:val="6A1E761D"/>
    <w:rsid w:val="6ABC5C8C"/>
    <w:rsid w:val="6B02F9F2"/>
    <w:rsid w:val="6B4F36C0"/>
    <w:rsid w:val="6BB7B420"/>
    <w:rsid w:val="6C2150CE"/>
    <w:rsid w:val="6C5934E3"/>
    <w:rsid w:val="6C93320E"/>
    <w:rsid w:val="6E4AF3B4"/>
    <w:rsid w:val="6F125028"/>
    <w:rsid w:val="71BA1FCB"/>
    <w:rsid w:val="73CC3196"/>
    <w:rsid w:val="740EA203"/>
    <w:rsid w:val="754DC83D"/>
    <w:rsid w:val="7566F592"/>
    <w:rsid w:val="768D56C0"/>
    <w:rsid w:val="7716FFF9"/>
    <w:rsid w:val="77517827"/>
    <w:rsid w:val="7783A430"/>
    <w:rsid w:val="78055B12"/>
    <w:rsid w:val="78D4E109"/>
    <w:rsid w:val="79313145"/>
    <w:rsid w:val="798E907E"/>
    <w:rsid w:val="7A37D572"/>
    <w:rsid w:val="7A707971"/>
    <w:rsid w:val="7B53486D"/>
    <w:rsid w:val="7B619CD7"/>
    <w:rsid w:val="7BEBDE7E"/>
    <w:rsid w:val="7C5E676D"/>
    <w:rsid w:val="7C80174B"/>
    <w:rsid w:val="7C997098"/>
    <w:rsid w:val="7E426BBE"/>
    <w:rsid w:val="7EA9E015"/>
    <w:rsid w:val="7EC75BF5"/>
    <w:rsid w:val="7ED3F524"/>
    <w:rsid w:val="7EE75482"/>
    <w:rsid w:val="7FBC19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AEBE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sl-SI" w:eastAsia="en-US" w:bidi="ar-SA"/>
      </w:rPr>
    </w:rPrDefault>
    <w:pPrDefault/>
  </w:docDefaults>
  <w:latentStyles w:defLockedState="1" w:defUIPriority="0" w:defSemiHidden="0" w:defUnhideWhenUsed="0" w:defQFormat="0" w:count="371">
    <w:lsdException w:name="Normal" w:uiPriority="90" w:qFormat="1"/>
    <w:lsdException w:name="heading 1"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99"/>
    <w:lsdException w:name="toc 4" w:semiHidden="1" w:uiPriority="9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99" w:qFormat="1"/>
    <w:lsdException w:name="annotation text" w:semiHidden="1" w:uiPriority="99"/>
    <w:lsdException w:name="index heading" w:semiHidden="1"/>
    <w:lsdException w:name="table of figures" w:semiHidden="1"/>
    <w:lsdException w:name="envelope address" w:semiHidden="1"/>
    <w:lsdException w:name="envelope return" w:semiHidden="1"/>
    <w:lsdException w:name="footnote reference" w:semiHidden="1" w:uiPriority="99" w:qFormat="1"/>
    <w:lsdException w:name="annotation reference" w:semiHidden="1" w:uiPriority="99"/>
    <w:lsdException w:name="line number" w:semiHidden="1"/>
    <w:lsdException w:name="page number" w:semiHidden="1"/>
    <w:lsdException w:name="endnote reference" w:semiHidden="1"/>
    <w:lsdException w:name="endnote text" w:semiHidden="1"/>
    <w:lsdException w:name="table of authorities" w:semiHidden="1"/>
    <w:lsdException w:name="macro" w:semiHidden="1" w:uiPriority="90" w:qFormat="1"/>
    <w:lsdException w:name="toa heading" w:semiHidden="1"/>
    <w:lsdException w:name="List" w:semiHidden="1"/>
    <w:lsdException w:name="List 2" w:semiHidden="1"/>
    <w:lsdException w:name="List 3" w:semiHidden="1"/>
    <w:lsdException w:name="List 4" w:semiHidden="1"/>
    <w:lsdException w:name="List 5" w:semiHidden="1"/>
    <w:lsdException w:name="List Bullet 5" w:semiHidden="1"/>
    <w:lsdException w:name="List Number 5" w:semiHidden="1"/>
    <w:lsdException w:name="Signature" w:uiPriority="99"/>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99"/>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atentStyles>
  <w:style w:type="paragraph" w:default="1" w:styleId="Normal">
    <w:name w:val="Normal"/>
    <w:uiPriority w:val="90"/>
    <w:qFormat/>
    <w:rsid w:val="007D47DE"/>
    <w:pPr>
      <w:spacing w:after="240"/>
      <w:jc w:val="both"/>
    </w:pPr>
  </w:style>
  <w:style w:type="paragraph" w:styleId="Heading1">
    <w:name w:val="heading 1"/>
    <w:basedOn w:val="Normal"/>
    <w:next w:val="Text1"/>
    <w:link w:val="Heading1Char"/>
    <w:qFormat/>
    <w:pPr>
      <w:keepNext/>
      <w:spacing w:before="240"/>
      <w:outlineLvl w:val="0"/>
    </w:pPr>
    <w:rPr>
      <w:b/>
      <w:smallCaps/>
    </w:rPr>
  </w:style>
  <w:style w:type="paragraph" w:styleId="Heading2">
    <w:name w:val="heading 2"/>
    <w:basedOn w:val="Normal"/>
    <w:next w:val="Text2"/>
    <w:link w:val="Heading2Char"/>
    <w:uiPriority w:val="90"/>
    <w:qFormat/>
    <w:pPr>
      <w:keepNext/>
      <w:outlineLvl w:val="1"/>
    </w:pPr>
    <w:rPr>
      <w:b/>
    </w:rPr>
  </w:style>
  <w:style w:type="paragraph" w:styleId="Heading3">
    <w:name w:val="heading 3"/>
    <w:basedOn w:val="Normal"/>
    <w:next w:val="Text3"/>
    <w:uiPriority w:val="90"/>
    <w:qFormat/>
    <w:pPr>
      <w:keepNext/>
      <w:outlineLvl w:val="2"/>
    </w:pPr>
    <w:rPr>
      <w:i/>
    </w:rPr>
  </w:style>
  <w:style w:type="paragraph" w:styleId="Heading4">
    <w:name w:val="heading 4"/>
    <w:basedOn w:val="Normal"/>
    <w:next w:val="Text4"/>
    <w:uiPriority w:val="90"/>
    <w:qFormat/>
    <w:pPr>
      <w:keepNext/>
      <w:outlineLvl w:val="3"/>
    </w:pPr>
  </w:style>
  <w:style w:type="paragraph" w:styleId="Heading5">
    <w:name w:val="heading 5"/>
    <w:basedOn w:val="Normal"/>
    <w:next w:val="Normal"/>
    <w:semiHidden/>
    <w:pPr>
      <w:keepNext/>
      <w:outlineLvl w:val="4"/>
    </w:pPr>
  </w:style>
  <w:style w:type="paragraph" w:styleId="Heading6">
    <w:name w:val="heading 6"/>
    <w:basedOn w:val="Normal"/>
    <w:next w:val="Normal"/>
    <w:semiHidden/>
    <w:pPr>
      <w:keepNext/>
      <w:outlineLvl w:val="5"/>
    </w:pPr>
  </w:style>
  <w:style w:type="paragraph" w:styleId="Heading7">
    <w:name w:val="heading 7"/>
    <w:basedOn w:val="Normal"/>
    <w:next w:val="Normal"/>
    <w:semiHidden/>
    <w:pPr>
      <w:keepNext/>
      <w:outlineLvl w:val="6"/>
    </w:pPr>
  </w:style>
  <w:style w:type="paragraph" w:styleId="Heading8">
    <w:name w:val="heading 8"/>
    <w:basedOn w:val="Normal"/>
    <w:next w:val="Normal"/>
    <w:semiHidden/>
    <w:pPr>
      <w:keepNext/>
      <w:outlineLvl w:val="7"/>
    </w:pPr>
  </w:style>
  <w:style w:type="paragraph" w:styleId="Heading9">
    <w:name w:val="heading 9"/>
    <w:basedOn w:val="Normal"/>
    <w:next w:val="Normal"/>
    <w:semiHidden/>
    <w:pPr>
      <w:keepNex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L,Nad"/>
    <w:basedOn w:val="Normal"/>
    <w:link w:val="ListParagraphChar"/>
    <w:uiPriority w:val="34"/>
    <w:qFormat/>
    <w:locked/>
    <w:rsid w:val="00D95E85"/>
    <w:pPr>
      <w:spacing w:after="0"/>
      <w:ind w:left="720"/>
      <w:jc w:val="left"/>
    </w:pPr>
    <w:rPr>
      <w:rFonts w:ascii="Calibri" w:eastAsia="SimSun" w:hAnsi="Calibri"/>
      <w:sz w:val="22"/>
      <w:szCs w:val="22"/>
    </w:rPr>
  </w:style>
  <w:style w:type="character" w:customStyle="1" w:styleId="FootnoteTextChar">
    <w:name w:val="Footnote Text Char"/>
    <w:aliases w:val="Footnote Text Char1 Char Char Char,Footnote Text Char Char Char Char Char,Footnote Text Char Char Char Char Char Char Char Char Char,Footnote Text Char Char1 Char,Schriftart: 9 pt Char,f Char,Schriftart: 10 pt Char,FoodNote Char"/>
    <w:uiPriority w:val="99"/>
    <w:qFormat/>
    <w:rsid w:val="00D95E85"/>
    <w:rPr>
      <w:sz w:val="20"/>
    </w:rPr>
  </w:style>
  <w:style w:type="character" w:styleId="FootnoteReference">
    <w:name w:val="footnote reference"/>
    <w:aliases w:val="BVI fnr,(Footnote Reference),16 Point,Exposant 3 Point,Footnote,Footnote Reference1,Footnote call,Footnote reference number,Footnote symbol,Ref,SUPERS,Times 10 Point,Voetnootverwijzing,de nota al pie,note TESI,stylish,fr,Nota,number"/>
    <w:uiPriority w:val="99"/>
    <w:qFormat/>
    <w:locked/>
    <w:rsid w:val="00D95E85"/>
    <w:rPr>
      <w:vertAlign w:val="superscript"/>
    </w:rPr>
  </w:style>
  <w:style w:type="paragraph" w:customStyle="1" w:styleId="Default">
    <w:name w:val="Default"/>
    <w:rsid w:val="00D95E85"/>
    <w:pPr>
      <w:autoSpaceDE w:val="0"/>
      <w:autoSpaceDN w:val="0"/>
      <w:adjustRightInd w:val="0"/>
    </w:pPr>
    <w:rPr>
      <w:rFonts w:ascii="Arial" w:eastAsia="SimSun" w:hAnsi="Arial" w:cs="Arial"/>
      <w:color w:val="000000"/>
      <w:szCs w:val="24"/>
      <w:lang w:eastAsia="en-GB"/>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D95E85"/>
    <w:rPr>
      <w:rFonts w:ascii="Calibri" w:eastAsia="SimSun" w:hAnsi="Calibri"/>
      <w:sz w:val="22"/>
      <w:szCs w:val="22"/>
    </w:rPr>
  </w:style>
  <w:style w:type="paragraph" w:styleId="BalloonText">
    <w:name w:val="Balloon Text"/>
    <w:basedOn w:val="Normal"/>
    <w:link w:val="BalloonTextChar"/>
    <w:semiHidden/>
    <w:locked/>
    <w:rsid w:val="00D95E8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D95E85"/>
    <w:rPr>
      <w:rFonts w:ascii="Segoe UI" w:hAnsi="Segoe UI" w:cs="Segoe UI"/>
      <w:sz w:val="18"/>
      <w:szCs w:val="18"/>
    </w:rPr>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semiHidden/>
    <w:rPr>
      <w:color w:val="CB3535"/>
    </w:rPr>
  </w:style>
  <w:style w:type="character" w:customStyle="1" w:styleId="InstructionBlue">
    <w:name w:val="InstructionBlue"/>
    <w:semiHidden/>
    <w:rPr>
      <w:i/>
      <w:color w:val="3366CC"/>
    </w:rPr>
  </w:style>
  <w:style w:type="character" w:customStyle="1" w:styleId="InstructionRed">
    <w:name w:val="InstructionRed"/>
    <w:semiHidden/>
    <w:rPr>
      <w:i/>
      <w:color w:val="CB3535"/>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ind w:left="1984" w:hanging="1984"/>
      <w:contextualSpacing/>
      <w:jc w:val="left"/>
    </w:p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99"/>
    <w:pPr>
      <w:keepNext/>
      <w:keepLines/>
      <w:tabs>
        <w:tab w:val="left" w:pos="5669"/>
      </w:tabs>
      <w:spacing w:before="480" w:after="0"/>
      <w:ind w:left="1984" w:hanging="1984"/>
      <w:contextualSpacing/>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uiPriority w:val="99"/>
    <w:pPr>
      <w:spacing w:after="480"/>
      <w:ind w:left="1531" w:hanging="1531"/>
      <w:contextualSpacing/>
    </w:pPr>
  </w:style>
  <w:style w:type="paragraph" w:customStyle="1" w:styleId="Subject">
    <w:name w:val="Subject"/>
    <w:basedOn w:val="Normal"/>
    <w:pPr>
      <w:spacing w:after="480"/>
      <w:ind w:left="1531" w:hanging="1531"/>
      <w:contextualSpacing/>
      <w:jc w:val="left"/>
    </w:pPr>
    <w:rPr>
      <w:b/>
    </w:rPr>
  </w:style>
  <w:style w:type="paragraph" w:customStyle="1" w:styleId="NoteColumn">
    <w:name w:val="NoteColumn"/>
    <w:basedOn w:val="Normal"/>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pPr>
      <w:tabs>
        <w:tab w:val="left" w:pos="5822"/>
      </w:tabs>
      <w:spacing w:before="720" w:after="720"/>
      <w:ind w:left="5102" w:hanging="3118"/>
      <w:contextualSpacing/>
      <w:jc w:val="left"/>
    </w:pPr>
    <w:rPr>
      <w:b/>
      <w:smallCaps/>
    </w:rPr>
  </w:style>
  <w:style w:type="paragraph" w:customStyle="1" w:styleId="NoteHead">
    <w:name w:val="NoteHead"/>
    <w:basedOn w:val="Normal"/>
    <w:pPr>
      <w:spacing w:before="720" w:after="720"/>
      <w:contextualSpacing/>
      <w:jc w:val="center"/>
    </w:pPr>
    <w:rPr>
      <w:b/>
      <w:smallCaps/>
    </w:rPr>
  </w:style>
  <w:style w:type="paragraph" w:styleId="NoteHeading">
    <w:name w:val="Note Heading"/>
    <w:basedOn w:val="Normal"/>
    <w:next w:val="Normal"/>
  </w:style>
  <w:style w:type="paragraph" w:customStyle="1" w:styleId="ContNumLevel3">
    <w:name w:val="ContNum (Level 3)"/>
    <w:basedOn w:val="Normal"/>
    <w:pPr>
      <w:numPr>
        <w:ilvl w:val="2"/>
        <w:numId w:val="2"/>
      </w:numPr>
    </w:pPr>
  </w:style>
  <w:style w:type="paragraph" w:customStyle="1" w:styleId="ContNumLevel2">
    <w:name w:val="ContNum (Level 2)"/>
    <w:basedOn w:val="Normal"/>
    <w:pPr>
      <w:numPr>
        <w:ilvl w:val="1"/>
        <w:numId w:val="2"/>
      </w:numPr>
    </w:pPr>
  </w:style>
  <w:style w:type="paragraph" w:customStyle="1" w:styleId="ContNum">
    <w:name w:val="ContNum"/>
    <w:basedOn w:val="Normal"/>
    <w:uiPriority w:val="90"/>
    <w:qFormat/>
    <w:pPr>
      <w:numPr>
        <w:numId w:val="2"/>
      </w:numPr>
    </w:pPr>
  </w:style>
  <w:style w:type="paragraph" w:customStyle="1" w:styleId="LegalNumPar3">
    <w:name w:val="LegalNumPar3"/>
    <w:basedOn w:val="Normal"/>
    <w:pPr>
      <w:numPr>
        <w:ilvl w:val="2"/>
        <w:numId w:val="3"/>
      </w:numPr>
      <w:spacing w:line="360" w:lineRule="auto"/>
    </w:pPr>
  </w:style>
  <w:style w:type="paragraph" w:customStyle="1" w:styleId="LegalNumPar2">
    <w:name w:val="LegalNumPar2"/>
    <w:basedOn w:val="Normal"/>
    <w:pPr>
      <w:numPr>
        <w:ilvl w:val="1"/>
        <w:numId w:val="3"/>
      </w:numPr>
      <w:spacing w:line="360" w:lineRule="auto"/>
    </w:pPr>
  </w:style>
  <w:style w:type="paragraph" w:customStyle="1" w:styleId="LegalNumPar">
    <w:name w:val="LegalNumPar"/>
    <w:basedOn w:val="Normal"/>
    <w:uiPriority w:val="90"/>
    <w:qFormat/>
    <w:pPr>
      <w:numPr>
        <w:numId w:val="3"/>
      </w:numPr>
      <w:spacing w:line="360" w:lineRule="auto"/>
    </w:pPr>
  </w:style>
  <w:style w:type="paragraph" w:customStyle="1" w:styleId="Marking">
    <w:name w:val="Marking"/>
    <w:basedOn w:val="Normal"/>
    <w:pPr>
      <w:ind w:left="5102" w:right="-567"/>
      <w:contextualSpacing/>
      <w:jc w:val="lef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ind w:left="0"/>
    </w:pPr>
  </w:style>
  <w:style w:type="paragraph" w:customStyle="1" w:styleId="ListNumber3Level3">
    <w:name w:val="List Number 3 (Level 3)"/>
    <w:basedOn w:val="Text3"/>
    <w:unhideWhenUsed/>
    <w:pPr>
      <w:ind w:left="0"/>
    </w:pPr>
  </w:style>
  <w:style w:type="paragraph" w:customStyle="1" w:styleId="ListNumber3Level2">
    <w:name w:val="List Number 3 (Level 2)"/>
    <w:basedOn w:val="Text3"/>
    <w:pPr>
      <w:ind w:left="0"/>
    </w:pPr>
  </w:style>
  <w:style w:type="paragraph" w:styleId="ListNumber3">
    <w:name w:val="List Number 3"/>
    <w:basedOn w:val="Text3"/>
    <w:pPr>
      <w:ind w:left="0"/>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unhideWhenUsed/>
    <w:pPr>
      <w:numPr>
        <w:ilvl w:val="3"/>
        <w:numId w:val="9"/>
      </w:numPr>
    </w:pPr>
  </w:style>
  <w:style w:type="paragraph" w:customStyle="1" w:styleId="ListNumberLevel3">
    <w:name w:val="List Number (Level 3)"/>
    <w:basedOn w:val="Normal"/>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spacing w:after="0"/>
      <w:ind w:left="1920"/>
      <w:jc w:val="left"/>
    </w:pPr>
    <w:rPr>
      <w:rFonts w:asciiTheme="minorHAnsi" w:hAnsiTheme="minorHAnsi" w:cstheme="minorHAnsi"/>
      <w:sz w:val="20"/>
    </w:rPr>
  </w:style>
  <w:style w:type="paragraph" w:styleId="TOC8">
    <w:name w:val="toc 8"/>
    <w:basedOn w:val="Normal"/>
    <w:next w:val="Normal"/>
    <w:semiHidden/>
    <w:pPr>
      <w:spacing w:after="0"/>
      <w:ind w:left="1680"/>
      <w:jc w:val="left"/>
    </w:pPr>
    <w:rPr>
      <w:rFonts w:asciiTheme="minorHAnsi" w:hAnsiTheme="minorHAnsi" w:cstheme="minorHAnsi"/>
      <w:sz w:val="20"/>
    </w:rPr>
  </w:style>
  <w:style w:type="paragraph" w:styleId="TOC7">
    <w:name w:val="toc 7"/>
    <w:basedOn w:val="Normal"/>
    <w:next w:val="Normal"/>
    <w:semiHidden/>
    <w:pPr>
      <w:spacing w:after="0"/>
      <w:ind w:left="1440"/>
      <w:jc w:val="left"/>
    </w:pPr>
    <w:rPr>
      <w:rFonts w:asciiTheme="minorHAnsi" w:hAnsiTheme="minorHAnsi" w:cstheme="minorHAnsi"/>
      <w:sz w:val="20"/>
    </w:rPr>
  </w:style>
  <w:style w:type="paragraph" w:styleId="TOC6">
    <w:name w:val="toc 6"/>
    <w:basedOn w:val="Normal"/>
    <w:next w:val="Normal"/>
    <w:semiHidden/>
    <w:pPr>
      <w:spacing w:after="0"/>
      <w:ind w:left="1200"/>
      <w:jc w:val="left"/>
    </w:pPr>
    <w:rPr>
      <w:rFonts w:asciiTheme="minorHAnsi" w:hAnsiTheme="minorHAnsi" w:cstheme="minorHAnsi"/>
      <w:sz w:val="20"/>
    </w:rPr>
  </w:style>
  <w:style w:type="paragraph" w:styleId="TOC5">
    <w:name w:val="toc 5"/>
    <w:basedOn w:val="Normal"/>
    <w:next w:val="Normal"/>
    <w:semiHidden/>
    <w:pPr>
      <w:spacing w:after="0"/>
      <w:ind w:left="960"/>
      <w:jc w:val="left"/>
    </w:pPr>
    <w:rPr>
      <w:rFonts w:asciiTheme="minorHAnsi" w:hAnsiTheme="minorHAnsi" w:cstheme="minorHAnsi"/>
      <w:sz w:val="20"/>
    </w:rPr>
  </w:style>
  <w:style w:type="paragraph" w:styleId="TOC4">
    <w:name w:val="toc 4"/>
    <w:basedOn w:val="Normal"/>
    <w:next w:val="Normal"/>
    <w:uiPriority w:val="99"/>
    <w:semiHidden/>
    <w:pPr>
      <w:spacing w:after="0"/>
      <w:ind w:left="720"/>
      <w:jc w:val="left"/>
    </w:pPr>
    <w:rPr>
      <w:rFonts w:asciiTheme="minorHAnsi" w:hAnsiTheme="minorHAnsi" w:cstheme="minorHAnsi"/>
      <w:sz w:val="20"/>
    </w:rPr>
  </w:style>
  <w:style w:type="paragraph" w:styleId="TOC3">
    <w:name w:val="toc 3"/>
    <w:basedOn w:val="Normal"/>
    <w:next w:val="Normal"/>
    <w:uiPriority w:val="99"/>
    <w:semiHidden/>
    <w:pPr>
      <w:spacing w:after="0"/>
      <w:ind w:left="480"/>
      <w:jc w:val="left"/>
    </w:pPr>
    <w:rPr>
      <w:rFonts w:asciiTheme="minorHAnsi" w:hAnsiTheme="minorHAnsi" w:cstheme="minorHAnsi"/>
      <w:sz w:val="20"/>
    </w:rPr>
  </w:style>
  <w:style w:type="paragraph" w:styleId="TOC2">
    <w:name w:val="toc 2"/>
    <w:basedOn w:val="Normal"/>
    <w:next w:val="Normal"/>
    <w:uiPriority w:val="39"/>
    <w:pPr>
      <w:spacing w:before="120" w:after="0"/>
      <w:ind w:left="240"/>
      <w:jc w:val="left"/>
    </w:pPr>
    <w:rPr>
      <w:rFonts w:asciiTheme="minorHAnsi" w:hAnsiTheme="minorHAnsi" w:cstheme="minorHAnsi"/>
      <w:i/>
      <w:iCs/>
      <w:sz w:val="20"/>
    </w:rPr>
  </w:style>
  <w:style w:type="paragraph" w:styleId="TOC1">
    <w:name w:val="toc 1"/>
    <w:basedOn w:val="Normal"/>
    <w:next w:val="Normal"/>
    <w:uiPriority w:val="39"/>
    <w:pPr>
      <w:spacing w:before="240" w:after="120"/>
      <w:jc w:val="left"/>
    </w:pPr>
    <w:rPr>
      <w:rFonts w:asciiTheme="minorHAnsi" w:hAnsiTheme="minorHAnsi" w:cstheme="minorHAnsi"/>
      <w:b/>
      <w:bCs/>
      <w:sz w:val="20"/>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qFormat/>
    <w:pPr>
      <w:keepNext w:val="0"/>
      <w:outlineLvl w:val="9"/>
    </w:pPr>
  </w:style>
  <w:style w:type="paragraph" w:customStyle="1" w:styleId="NumPar3">
    <w:name w:val="NumPar 3"/>
    <w:basedOn w:val="Heading3"/>
    <w:qFormat/>
    <w:pPr>
      <w:keepNext w:val="0"/>
      <w:outlineLvl w:val="9"/>
    </w:pPr>
    <w:rPr>
      <w:i w:val="0"/>
    </w:rPr>
  </w:style>
  <w:style w:type="paragraph" w:customStyle="1" w:styleId="NumPar2">
    <w:name w:val="NumPar 2"/>
    <w:basedOn w:val="Heading2"/>
    <w:qFormat/>
    <w:pPr>
      <w:keepNext w:val="0"/>
      <w:outlineLvl w:val="9"/>
    </w:pPr>
    <w:rPr>
      <w:b w:val="0"/>
    </w:rPr>
  </w:style>
  <w:style w:type="paragraph" w:customStyle="1" w:styleId="NumPar1">
    <w:name w:val="NumPar 1"/>
    <w:basedOn w:val="Heading1"/>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 Text Char1 Char Char,Footnote Text Char Char Char Char,Footnote Text Char Char Char Char Char Char Char Char,Footnote Text Char Char1,Schriftart: 9 pt,f,Schriftart: 10 pt,Schriftart: 8 pt,WB-Fußnotentext,FoodNote,ft,Footnote text"/>
    <w:basedOn w:val="Normal"/>
    <w:uiPriority w:val="99"/>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uiPriority w:val="99"/>
    <w:pPr>
      <w:ind w:left="5102" w:right="-567"/>
      <w:contextualSpacing/>
      <w:jc w:val="left"/>
    </w:pPr>
    <w:rPr>
      <w:sz w:val="20"/>
    </w:rPr>
  </w:style>
  <w:style w:type="paragraph" w:styleId="Date">
    <w:name w:val="Date"/>
    <w:basedOn w:val="Normal"/>
    <w:next w:val="References"/>
    <w:link w:val="DateChar"/>
    <w:uiPriority w:val="99"/>
    <w:pPr>
      <w:spacing w:after="0"/>
      <w:ind w:left="5102" w:right="-567"/>
      <w:jc w:val="left"/>
    </w:pPr>
  </w:style>
  <w:style w:type="paragraph" w:customStyle="1" w:styleId="Contact">
    <w:name w:val="Contact"/>
    <w:basedOn w:val="Normal"/>
    <w:uiPriority w:val="99"/>
    <w:pPr>
      <w:spacing w:before="480" w:after="0"/>
      <w:ind w:left="567" w:hanging="567"/>
      <w:contextualSpacing/>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link w:val="Text1Char"/>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character" w:styleId="CommentReference">
    <w:name w:val="annotation reference"/>
    <w:basedOn w:val="DefaultParagraphFont"/>
    <w:uiPriority w:val="99"/>
    <w:locked/>
    <w:rsid w:val="00277293"/>
    <w:rPr>
      <w:sz w:val="16"/>
      <w:szCs w:val="16"/>
    </w:rPr>
  </w:style>
  <w:style w:type="paragraph" w:styleId="CommentText">
    <w:name w:val="annotation text"/>
    <w:basedOn w:val="Normal"/>
    <w:link w:val="CommentTextChar"/>
    <w:uiPriority w:val="99"/>
    <w:locked/>
    <w:rsid w:val="00277293"/>
    <w:rPr>
      <w:sz w:val="20"/>
    </w:rPr>
  </w:style>
  <w:style w:type="character" w:customStyle="1" w:styleId="CommentTextChar">
    <w:name w:val="Comment Text Char"/>
    <w:basedOn w:val="DefaultParagraphFont"/>
    <w:link w:val="CommentText"/>
    <w:uiPriority w:val="99"/>
    <w:rsid w:val="00277293"/>
    <w:rPr>
      <w:sz w:val="20"/>
    </w:rPr>
  </w:style>
  <w:style w:type="paragraph" w:styleId="CommentSubject">
    <w:name w:val="annotation subject"/>
    <w:basedOn w:val="CommentText"/>
    <w:next w:val="CommentText"/>
    <w:link w:val="CommentSubjectChar"/>
    <w:semiHidden/>
    <w:locked/>
    <w:rsid w:val="00277293"/>
    <w:rPr>
      <w:b/>
      <w:bCs/>
    </w:rPr>
  </w:style>
  <w:style w:type="character" w:customStyle="1" w:styleId="CommentSubjectChar">
    <w:name w:val="Comment Subject Char"/>
    <w:basedOn w:val="CommentTextChar"/>
    <w:link w:val="CommentSubject"/>
    <w:semiHidden/>
    <w:rsid w:val="00277293"/>
    <w:rPr>
      <w:b/>
      <w:bCs/>
      <w:sz w:val="20"/>
    </w:rPr>
  </w:style>
  <w:style w:type="character" w:styleId="Hyperlink">
    <w:name w:val="Hyperlink"/>
    <w:basedOn w:val="DefaultParagraphFont"/>
    <w:uiPriority w:val="99"/>
    <w:unhideWhenUsed/>
    <w:locked/>
    <w:rsid w:val="005F0A5F"/>
    <w:rPr>
      <w:color w:val="0563C1"/>
      <w:u w:val="single"/>
    </w:rPr>
  </w:style>
  <w:style w:type="table" w:styleId="TableGrid">
    <w:name w:val="Table Grid"/>
    <w:basedOn w:val="TableNormal"/>
    <w:uiPriority w:val="1"/>
    <w:locked/>
    <w:rsid w:val="00F74B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
    <w:name w:val="Date Char"/>
    <w:basedOn w:val="DefaultParagraphFont"/>
    <w:link w:val="Date"/>
    <w:uiPriority w:val="99"/>
    <w:rsid w:val="002F62EC"/>
  </w:style>
  <w:style w:type="paragraph" w:styleId="Revision">
    <w:name w:val="Revision"/>
    <w:hidden/>
    <w:semiHidden/>
    <w:locked/>
    <w:rsid w:val="00E13A9D"/>
  </w:style>
  <w:style w:type="paragraph" w:customStyle="1" w:styleId="Briefingtext">
    <w:name w:val="Briefing text"/>
    <w:basedOn w:val="Normal"/>
    <w:link w:val="BriefingtextChar"/>
    <w:rsid w:val="00574085"/>
    <w:rPr>
      <w:rFonts w:ascii="Arial" w:hAnsi="Arial" w:cs="Arial"/>
      <w:sz w:val="22"/>
      <w:szCs w:val="24"/>
    </w:rPr>
  </w:style>
  <w:style w:type="character" w:customStyle="1" w:styleId="BriefingtextChar">
    <w:name w:val="Briefing text Char"/>
    <w:link w:val="Briefingtext"/>
    <w:rsid w:val="00574085"/>
    <w:rPr>
      <w:rFonts w:ascii="Arial" w:hAnsi="Arial" w:cs="Arial"/>
      <w:sz w:val="22"/>
      <w:szCs w:val="24"/>
    </w:rPr>
  </w:style>
  <w:style w:type="paragraph" w:customStyle="1" w:styleId="Briefingheading1">
    <w:name w:val="Briefing heading 1"/>
    <w:basedOn w:val="Briefingtext"/>
    <w:next w:val="Briefingtext"/>
    <w:rsid w:val="00574085"/>
    <w:pPr>
      <w:keepNext/>
      <w:spacing w:before="240"/>
    </w:pPr>
    <w:rPr>
      <w:b/>
      <w:sz w:val="24"/>
      <w:u w:val="single"/>
    </w:rPr>
  </w:style>
  <w:style w:type="paragraph" w:customStyle="1" w:styleId="Briefingcontact">
    <w:name w:val="Briefing contact"/>
    <w:basedOn w:val="Briefingtext"/>
    <w:next w:val="Briefingtext"/>
    <w:rsid w:val="00574085"/>
    <w:pPr>
      <w:tabs>
        <w:tab w:val="left" w:pos="1260"/>
      </w:tabs>
      <w:spacing w:before="240"/>
      <w:ind w:left="1259" w:hanging="1259"/>
      <w:jc w:val="left"/>
    </w:pPr>
    <w:rPr>
      <w:b/>
    </w:rPr>
  </w:style>
  <w:style w:type="character" w:customStyle="1" w:styleId="Text1Char">
    <w:name w:val="Text 1 Char"/>
    <w:basedOn w:val="DefaultParagraphFont"/>
    <w:link w:val="Text1"/>
    <w:locked/>
    <w:rsid w:val="00D87E3C"/>
  </w:style>
  <w:style w:type="character" w:customStyle="1" w:styleId="Heading2Char">
    <w:name w:val="Heading 2 Char"/>
    <w:basedOn w:val="DefaultParagraphFont"/>
    <w:link w:val="Heading2"/>
    <w:uiPriority w:val="90"/>
    <w:rsid w:val="00C51B0F"/>
    <w:rPr>
      <w:b/>
    </w:rPr>
  </w:style>
  <w:style w:type="character" w:customStyle="1" w:styleId="Heading1Char">
    <w:name w:val="Heading 1 Char"/>
    <w:basedOn w:val="DefaultParagraphFont"/>
    <w:link w:val="Heading1"/>
    <w:rsid w:val="009449E8"/>
    <w:rPr>
      <w:b/>
      <w:smallCaps/>
    </w:rPr>
  </w:style>
  <w:style w:type="character" w:customStyle="1" w:styleId="DeltaViewInsertion">
    <w:name w:val="DeltaView Insertion"/>
    <w:uiPriority w:val="99"/>
    <w:rsid w:val="00791AB9"/>
    <w:rPr>
      <w:b/>
      <w:bCs w:val="0"/>
      <w:i/>
      <w:iCs w:val="0"/>
      <w:color w:val="000000"/>
    </w:rPr>
  </w:style>
  <w:style w:type="paragraph" w:customStyle="1" w:styleId="P68B1DB1-Normalny13">
    <w:name w:val="P68B1DB1-Normalny13"/>
    <w:basedOn w:val="Normal"/>
    <w:rsid w:val="00197D90"/>
    <w:pPr>
      <w:spacing w:after="0" w:line="276" w:lineRule="auto"/>
      <w:jc w:val="left"/>
    </w:pPr>
    <w:rPr>
      <w:rFonts w:asciiTheme="minorHAnsi" w:eastAsiaTheme="minorEastAsia" w:hAnsiTheme="minorHAnsi" w:cstheme="minorBidi"/>
      <w:sz w:val="22"/>
    </w:rPr>
  </w:style>
  <w:style w:type="paragraph" w:customStyle="1" w:styleId="P68B1DB1-Akapitzlist16">
    <w:name w:val="P68B1DB1-Akapitzlist16"/>
    <w:basedOn w:val="ListParagraph"/>
    <w:rsid w:val="00197D90"/>
    <w:pPr>
      <w:spacing w:line="276" w:lineRule="auto"/>
      <w:contextualSpacing/>
    </w:pPr>
    <w:rPr>
      <w:rFonts w:asciiTheme="minorHAnsi" w:eastAsiaTheme="minorEastAsia" w:hAnsiTheme="minorHAnsi" w:cstheme="minorBidi"/>
      <w:szCs w:val="20"/>
    </w:rPr>
  </w:style>
  <w:style w:type="paragraph" w:customStyle="1" w:styleId="P68B1DB1-Legenda21">
    <w:name w:val="P68B1DB1-Legenda21"/>
    <w:basedOn w:val="Caption"/>
    <w:rsid w:val="00197D90"/>
    <w:pPr>
      <w:spacing w:before="0" w:after="200"/>
      <w:jc w:val="left"/>
    </w:pPr>
    <w:rPr>
      <w:rFonts w:asciiTheme="minorHAnsi" w:eastAsiaTheme="minorEastAsia" w:hAnsiTheme="minorHAnsi" w:cstheme="minorBidi"/>
    </w:rPr>
  </w:style>
  <w:style w:type="paragraph" w:customStyle="1" w:styleId="P68B1DB1-Akapitzlist44">
    <w:name w:val="P68B1DB1-Akapitzlist44"/>
    <w:basedOn w:val="ListParagraph"/>
    <w:rsid w:val="00197D90"/>
    <w:pPr>
      <w:spacing w:line="276" w:lineRule="auto"/>
      <w:contextualSpacing/>
    </w:pPr>
    <w:rPr>
      <w:rFonts w:asciiTheme="minorHAnsi" w:eastAsiaTheme="minorEastAsia" w:hAnsiTheme="minorHAnsi" w:cstheme="minorBidi"/>
      <w:color w:val="44546A" w:themeColor="text2"/>
      <w:szCs w:val="20"/>
    </w:rPr>
  </w:style>
  <w:style w:type="paragraph" w:customStyle="1" w:styleId="P68B1DB1-Normalny46">
    <w:name w:val="P68B1DB1-Normalny46"/>
    <w:basedOn w:val="Normal"/>
    <w:rsid w:val="00197D90"/>
    <w:pPr>
      <w:spacing w:after="0" w:line="276" w:lineRule="auto"/>
      <w:jc w:val="left"/>
    </w:pPr>
    <w:rPr>
      <w:rFonts w:ascii="Calibri" w:eastAsia="Calibri" w:hAnsi="Calibri"/>
      <w:sz w:val="22"/>
    </w:rPr>
  </w:style>
  <w:style w:type="paragraph" w:customStyle="1" w:styleId="P68B1DB1-Normalny52">
    <w:name w:val="P68B1DB1-Normalny52"/>
    <w:basedOn w:val="Normal"/>
    <w:rsid w:val="00197D90"/>
    <w:pPr>
      <w:spacing w:after="0" w:line="276" w:lineRule="auto"/>
      <w:jc w:val="left"/>
    </w:pPr>
    <w:rPr>
      <w:rFonts w:ascii="Calibri" w:eastAsia="Calibri" w:hAnsi="Calibri"/>
      <w:i/>
      <w:sz w:val="22"/>
    </w:rPr>
  </w:style>
  <w:style w:type="paragraph" w:customStyle="1" w:styleId="P68B1DB1-Normalny59">
    <w:name w:val="P68B1DB1-Normalny59"/>
    <w:basedOn w:val="Normal"/>
    <w:rsid w:val="00197D90"/>
    <w:pPr>
      <w:spacing w:after="0" w:line="276" w:lineRule="auto"/>
      <w:jc w:val="left"/>
    </w:pPr>
    <w:rPr>
      <w:rFonts w:ascii="Calibri" w:eastAsia="Calibri" w:hAnsi="Calibri"/>
      <w:b/>
      <w:i/>
      <w:sz w:val="22"/>
    </w:rPr>
  </w:style>
  <w:style w:type="paragraph" w:customStyle="1" w:styleId="P68B1DB1-Akapitzlist60">
    <w:name w:val="P68B1DB1-Akapitzlist60"/>
    <w:basedOn w:val="ListParagraph"/>
    <w:rsid w:val="00197D90"/>
    <w:pPr>
      <w:spacing w:line="276" w:lineRule="auto"/>
      <w:contextualSpacing/>
    </w:pPr>
    <w:rPr>
      <w:rFonts w:eastAsia="Calibri"/>
      <w:szCs w:val="20"/>
    </w:rPr>
  </w:style>
  <w:style w:type="paragraph" w:customStyle="1" w:styleId="Point1letter">
    <w:name w:val="Point 1 (letter)"/>
    <w:basedOn w:val="Normal"/>
    <w:rsid w:val="00197D90"/>
    <w:pPr>
      <w:tabs>
        <w:tab w:val="num" w:pos="1417"/>
      </w:tabs>
      <w:spacing w:before="120" w:after="120"/>
      <w:ind w:left="1417" w:hanging="567"/>
    </w:pPr>
    <w:rPr>
      <w:rFonts w:eastAsiaTheme="minorHAnsi"/>
    </w:rPr>
  </w:style>
  <w:style w:type="paragraph" w:customStyle="1" w:styleId="P68B1DB1-Normaallaad8">
    <w:name w:val="P68B1DB1-Normaallaad8"/>
    <w:basedOn w:val="Normal"/>
    <w:rsid w:val="00197D90"/>
    <w:pPr>
      <w:spacing w:after="160" w:line="259" w:lineRule="auto"/>
      <w:jc w:val="left"/>
    </w:pPr>
    <w:rPr>
      <w:rFonts w:ascii="Cambria" w:eastAsia="Calibri" w:hAnsi="Cambria"/>
      <w:b/>
      <w:sz w:val="22"/>
    </w:rPr>
  </w:style>
  <w:style w:type="paragraph" w:customStyle="1" w:styleId="P68B1DB1-Normaallaad9">
    <w:name w:val="P68B1DB1-Normaallaad9"/>
    <w:basedOn w:val="Normal"/>
    <w:rsid w:val="00197D90"/>
    <w:pPr>
      <w:spacing w:after="160" w:line="259" w:lineRule="auto"/>
      <w:jc w:val="left"/>
    </w:pPr>
    <w:rPr>
      <w:rFonts w:ascii="Cambria" w:eastAsia="Calibri" w:hAnsi="Cambria"/>
      <w:sz w:val="22"/>
    </w:rPr>
  </w:style>
  <w:style w:type="paragraph" w:customStyle="1" w:styleId="oj-normal">
    <w:name w:val="oj-normal"/>
    <w:basedOn w:val="Normal"/>
    <w:rsid w:val="00EB2C96"/>
    <w:pPr>
      <w:spacing w:before="100" w:beforeAutospacing="1" w:after="100" w:afterAutospacing="1"/>
      <w:jc w:val="left"/>
    </w:pPr>
    <w:rPr>
      <w:szCs w:val="24"/>
    </w:rPr>
  </w:style>
  <w:style w:type="character" w:customStyle="1" w:styleId="oj-super">
    <w:name w:val="oj-super"/>
    <w:basedOn w:val="DefaultParagraphFont"/>
    <w:rsid w:val="00697AE0"/>
  </w:style>
  <w:style w:type="paragraph" w:customStyle="1" w:styleId="title-bold">
    <w:name w:val="title-bold"/>
    <w:basedOn w:val="Normal"/>
    <w:rsid w:val="00F27E59"/>
    <w:pPr>
      <w:spacing w:before="100" w:beforeAutospacing="1" w:after="100" w:afterAutospacing="1"/>
      <w:jc w:val="left"/>
    </w:pPr>
    <w:rPr>
      <w:szCs w:val="24"/>
    </w:rPr>
  </w:style>
  <w:style w:type="paragraph" w:customStyle="1" w:styleId="Tiret1">
    <w:name w:val="Tiret 1"/>
    <w:basedOn w:val="Normal"/>
    <w:rsid w:val="00684757"/>
    <w:pPr>
      <w:numPr>
        <w:numId w:val="18"/>
      </w:numPr>
      <w:spacing w:before="120" w:after="120"/>
    </w:pPr>
    <w:rPr>
      <w:rFonts w:eastAsia="Calibri"/>
      <w:szCs w:val="22"/>
    </w:rPr>
  </w:style>
  <w:style w:type="paragraph" w:customStyle="1" w:styleId="Tiret2">
    <w:name w:val="Tiret 2"/>
    <w:basedOn w:val="Normal"/>
    <w:rsid w:val="00684757"/>
    <w:pPr>
      <w:numPr>
        <w:numId w:val="19"/>
      </w:numPr>
      <w:spacing w:before="120" w:after="120"/>
    </w:pPr>
    <w:rPr>
      <w:rFonts w:eastAsia="Calibri"/>
      <w:szCs w:val="22"/>
    </w:rPr>
  </w:style>
  <w:style w:type="paragraph" w:styleId="NormalWeb">
    <w:name w:val="Normal (Web)"/>
    <w:basedOn w:val="Normal"/>
    <w:uiPriority w:val="99"/>
    <w:unhideWhenUsed/>
    <w:locked/>
    <w:rsid w:val="00EF7804"/>
    <w:pPr>
      <w:spacing w:before="100" w:beforeAutospacing="1" w:after="100" w:afterAutospacing="1"/>
      <w:jc w:val="left"/>
    </w:pPr>
    <w:rPr>
      <w:szCs w:val="24"/>
      <w:lang w:eastAsia="en-IE"/>
    </w:rPr>
  </w:style>
  <w:style w:type="character" w:customStyle="1" w:styleId="UnresolvedMention1">
    <w:name w:val="Unresolved Mention1"/>
    <w:basedOn w:val="DefaultParagraphFont"/>
    <w:uiPriority w:val="99"/>
    <w:semiHidden/>
    <w:unhideWhenUsed/>
    <w:rsid w:val="00EF7804"/>
    <w:rPr>
      <w:color w:val="605E5C"/>
      <w:shd w:val="clear" w:color="auto" w:fill="E1DFDD"/>
    </w:rPr>
  </w:style>
  <w:style w:type="character" w:styleId="FollowedHyperlink">
    <w:name w:val="FollowedHyperlink"/>
    <w:basedOn w:val="DefaultParagraphFont"/>
    <w:semiHidden/>
    <w:locked/>
    <w:rsid w:val="00EF7804"/>
    <w:rPr>
      <w:color w:val="954F72" w:themeColor="followedHyperlink"/>
      <w:u w:val="single"/>
    </w:rPr>
  </w:style>
  <w:style w:type="paragraph" w:customStyle="1" w:styleId="oj-ti-section-1">
    <w:name w:val="oj-ti-section-1"/>
    <w:basedOn w:val="Normal"/>
    <w:rsid w:val="003D0690"/>
    <w:pPr>
      <w:spacing w:before="100" w:beforeAutospacing="1" w:after="100" w:afterAutospacing="1"/>
      <w:jc w:val="left"/>
    </w:pPr>
    <w:rPr>
      <w:szCs w:val="24"/>
    </w:rPr>
  </w:style>
  <w:style w:type="paragraph" w:customStyle="1" w:styleId="oj-ti-section-2">
    <w:name w:val="oj-ti-section-2"/>
    <w:basedOn w:val="Normal"/>
    <w:rsid w:val="003D0690"/>
    <w:pPr>
      <w:spacing w:before="100" w:beforeAutospacing="1" w:after="100" w:afterAutospacing="1"/>
      <w:jc w:val="left"/>
    </w:pPr>
    <w:rPr>
      <w:szCs w:val="24"/>
    </w:rPr>
  </w:style>
  <w:style w:type="character" w:customStyle="1" w:styleId="oj-bold">
    <w:name w:val="oj-bold"/>
    <w:basedOn w:val="DefaultParagraphFont"/>
    <w:rsid w:val="003D0690"/>
  </w:style>
  <w:style w:type="paragraph" w:customStyle="1" w:styleId="oj-ti-art">
    <w:name w:val="oj-ti-art"/>
    <w:basedOn w:val="Normal"/>
    <w:rsid w:val="003D0690"/>
    <w:pPr>
      <w:spacing w:before="100" w:beforeAutospacing="1" w:after="100" w:afterAutospacing="1"/>
      <w:jc w:val="left"/>
    </w:pPr>
    <w:rPr>
      <w:szCs w:val="24"/>
    </w:rPr>
  </w:style>
  <w:style w:type="paragraph" w:customStyle="1" w:styleId="oj-sti-art">
    <w:name w:val="oj-sti-art"/>
    <w:basedOn w:val="Normal"/>
    <w:rsid w:val="003D0690"/>
    <w:pPr>
      <w:spacing w:before="100" w:beforeAutospacing="1" w:after="100" w:afterAutospacing="1"/>
      <w:jc w:val="left"/>
    </w:pPr>
    <w:rPr>
      <w:szCs w:val="24"/>
    </w:rPr>
  </w:style>
  <w:style w:type="character" w:styleId="Strong">
    <w:name w:val="Strong"/>
    <w:basedOn w:val="DefaultParagraphFont"/>
    <w:uiPriority w:val="22"/>
    <w:qFormat/>
    <w:locked/>
    <w:rsid w:val="000E614F"/>
    <w:rPr>
      <w:b/>
      <w:bCs/>
    </w:rPr>
  </w:style>
  <w:style w:type="paragraph" w:customStyle="1" w:styleId="typedudocumentcp">
    <w:name w:val="typedudocument_cp"/>
    <w:basedOn w:val="Normal"/>
    <w:rsid w:val="00F670EF"/>
    <w:pPr>
      <w:spacing w:before="100" w:beforeAutospacing="1" w:after="100" w:afterAutospacing="1"/>
      <w:jc w:val="left"/>
    </w:pPr>
    <w:rPr>
      <w:szCs w:val="24"/>
    </w:rPr>
  </w:style>
  <w:style w:type="paragraph" w:customStyle="1" w:styleId="titreobjetcp">
    <w:name w:val="titreobjet_cp"/>
    <w:basedOn w:val="Normal"/>
    <w:rsid w:val="00F670EF"/>
    <w:pPr>
      <w:spacing w:before="100" w:beforeAutospacing="1" w:after="100" w:afterAutospacing="1"/>
      <w:jc w:val="left"/>
    </w:pPr>
    <w:rPr>
      <w:szCs w:val="24"/>
    </w:rPr>
  </w:style>
  <w:style w:type="character" w:customStyle="1" w:styleId="A71">
    <w:name w:val="A7+1"/>
    <w:uiPriority w:val="99"/>
    <w:rsid w:val="004B6688"/>
    <w:rPr>
      <w:rFonts w:cs="EC Square Sans Pro"/>
      <w:color w:val="000000"/>
      <w:sz w:val="11"/>
      <w:szCs w:val="11"/>
    </w:rPr>
  </w:style>
  <w:style w:type="character" w:styleId="EndnoteReference">
    <w:name w:val="endnote reference"/>
    <w:basedOn w:val="DefaultParagraphFont"/>
    <w:semiHidden/>
    <w:locked/>
    <w:rsid w:val="00B96E8B"/>
    <w:rPr>
      <w:vertAlign w:val="superscript"/>
    </w:rPr>
  </w:style>
  <w:style w:type="character" w:customStyle="1" w:styleId="Marker">
    <w:name w:val="Marker"/>
    <w:basedOn w:val="DefaultParagraphFont"/>
    <w:rsid w:val="00FF7AC2"/>
    <w:rPr>
      <w:color w:val="0000FF"/>
      <w:shd w:val="clear" w:color="auto" w:fill="auto"/>
    </w:rPr>
  </w:style>
  <w:style w:type="paragraph" w:customStyle="1" w:styleId="Pagedecouverture">
    <w:name w:val="Page de couverture"/>
    <w:basedOn w:val="Normal"/>
    <w:next w:val="Normal"/>
    <w:rsid w:val="00FF7AC2"/>
    <w:pPr>
      <w:spacing w:after="0"/>
    </w:pPr>
    <w:rPr>
      <w:rFonts w:eastAsiaTheme="minorHAnsi"/>
      <w:szCs w:val="22"/>
    </w:rPr>
  </w:style>
  <w:style w:type="paragraph" w:customStyle="1" w:styleId="Typedudocument">
    <w:name w:val="Type du document"/>
    <w:basedOn w:val="Normal"/>
    <w:next w:val="Normal"/>
    <w:link w:val="TypedudocumentChar"/>
    <w:rsid w:val="00FF7AC2"/>
    <w:pPr>
      <w:spacing w:before="360" w:after="0"/>
      <w:jc w:val="center"/>
    </w:pPr>
    <w:rPr>
      <w:rFonts w:eastAsiaTheme="minorHAnsi"/>
      <w:b/>
      <w:szCs w:val="22"/>
    </w:rPr>
  </w:style>
  <w:style w:type="paragraph" w:customStyle="1" w:styleId="Titreobjet">
    <w:name w:val="Titre objet"/>
    <w:basedOn w:val="Normal"/>
    <w:next w:val="Normal"/>
    <w:rsid w:val="00FF7AC2"/>
    <w:pPr>
      <w:spacing w:before="360" w:after="360"/>
      <w:jc w:val="center"/>
    </w:pPr>
    <w:rPr>
      <w:rFonts w:eastAsiaTheme="minorHAnsi"/>
      <w:b/>
      <w:szCs w:val="22"/>
    </w:rPr>
  </w:style>
  <w:style w:type="paragraph" w:customStyle="1" w:styleId="FooterCoverPage">
    <w:name w:val="Footer Cover Page"/>
    <w:basedOn w:val="Normal"/>
    <w:link w:val="FooterCoverPageChar"/>
    <w:rsid w:val="00FF7AC2"/>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sid w:val="00FF7AC2"/>
    <w:rPr>
      <w:rFonts w:eastAsiaTheme="minorHAnsi"/>
      <w:b/>
      <w:szCs w:val="22"/>
    </w:rPr>
  </w:style>
  <w:style w:type="character" w:customStyle="1" w:styleId="FooterCoverPageChar">
    <w:name w:val="Footer Cover Page Char"/>
    <w:basedOn w:val="TypedudocumentChar"/>
    <w:link w:val="FooterCoverPage"/>
    <w:rsid w:val="00FF7AC2"/>
    <w:rPr>
      <w:rFonts w:eastAsiaTheme="minorHAnsi"/>
      <w:b w:val="0"/>
      <w:szCs w:val="22"/>
    </w:rPr>
  </w:style>
  <w:style w:type="paragraph" w:customStyle="1" w:styleId="FooterSensitivity">
    <w:name w:val="Footer Sensitivity"/>
    <w:basedOn w:val="Normal"/>
    <w:link w:val="FooterSensitivityChar"/>
    <w:rsid w:val="00FF7AC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sid w:val="00FF7AC2"/>
    <w:rPr>
      <w:rFonts w:eastAsiaTheme="minorHAnsi"/>
      <w:b/>
      <w:sz w:val="32"/>
      <w:szCs w:val="22"/>
    </w:rPr>
  </w:style>
  <w:style w:type="paragraph" w:customStyle="1" w:styleId="HeaderCoverPage">
    <w:name w:val="Header Cover Page"/>
    <w:basedOn w:val="Normal"/>
    <w:link w:val="HeaderCoverPageChar"/>
    <w:rsid w:val="00FF7AC2"/>
    <w:pPr>
      <w:tabs>
        <w:tab w:val="center" w:pos="4535"/>
        <w:tab w:val="right" w:pos="9071"/>
      </w:tabs>
      <w:spacing w:after="120"/>
    </w:pPr>
  </w:style>
  <w:style w:type="character" w:customStyle="1" w:styleId="HeaderCoverPageChar">
    <w:name w:val="Header Cover Page Char"/>
    <w:basedOn w:val="TypedudocumentChar"/>
    <w:link w:val="HeaderCoverPage"/>
    <w:rsid w:val="00FF7AC2"/>
    <w:rPr>
      <w:rFonts w:eastAsiaTheme="minorHAnsi"/>
      <w:b w:val="0"/>
      <w:szCs w:val="22"/>
    </w:rPr>
  </w:style>
  <w:style w:type="paragraph" w:customStyle="1" w:styleId="HeaderSensitivity">
    <w:name w:val="Header Sensitivity"/>
    <w:basedOn w:val="Normal"/>
    <w:link w:val="HeaderSensitivityChar"/>
    <w:rsid w:val="00FF7AC2"/>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sid w:val="00FF7AC2"/>
    <w:rPr>
      <w:rFonts w:eastAsiaTheme="minorHAnsi"/>
      <w:b/>
      <w:sz w:val="32"/>
      <w:szCs w:val="22"/>
    </w:rPr>
  </w:style>
  <w:style w:type="paragraph" w:customStyle="1" w:styleId="HeaderSensitivityRight">
    <w:name w:val="Header Sensitivity Right"/>
    <w:basedOn w:val="Normal"/>
    <w:link w:val="HeaderSensitivityRightChar"/>
    <w:rsid w:val="00FF7AC2"/>
    <w:pPr>
      <w:spacing w:after="120"/>
      <w:jc w:val="right"/>
    </w:pPr>
    <w:rPr>
      <w:sz w:val="28"/>
    </w:rPr>
  </w:style>
  <w:style w:type="character" w:customStyle="1" w:styleId="HeaderSensitivityRightChar">
    <w:name w:val="Header Sensitivity Right Char"/>
    <w:basedOn w:val="TypedudocumentChar"/>
    <w:link w:val="HeaderSensitivityRight"/>
    <w:rsid w:val="00FF7AC2"/>
    <w:rPr>
      <w:rFonts w:eastAsiaTheme="minorHAnsi"/>
      <w:b w:val="0"/>
      <w:sz w:val="28"/>
      <w:szCs w:val="22"/>
    </w:rPr>
  </w:style>
  <w:style w:type="paragraph" w:customStyle="1" w:styleId="TitreobjetPagedecouverture">
    <w:name w:val="Titre objet (Page de couverture)"/>
    <w:basedOn w:val="Normal"/>
    <w:next w:val="Normal"/>
    <w:rsid w:val="000151E4"/>
    <w:pPr>
      <w:spacing w:before="360" w:after="360"/>
      <w:jc w:val="center"/>
    </w:pPr>
    <w:rPr>
      <w:rFonts w:eastAsia="Calibri"/>
      <w:b/>
      <w:szCs w:val="22"/>
    </w:rPr>
  </w:style>
  <w:style w:type="paragraph" w:customStyle="1" w:styleId="TypedudocumentPagedecouverture">
    <w:name w:val="Type du document (Page de couverture)"/>
    <w:basedOn w:val="Normal"/>
    <w:next w:val="TitreobjetPagedecouverture"/>
    <w:rsid w:val="000151E4"/>
    <w:pPr>
      <w:spacing w:before="360" w:after="0"/>
      <w:jc w:val="center"/>
    </w:pPr>
    <w:rPr>
      <w:rFonts w:eastAsia="Calibri"/>
      <w:b/>
      <w:szCs w:val="22"/>
    </w:rPr>
  </w:style>
  <w:style w:type="character" w:styleId="Emphasis">
    <w:name w:val="Emphasis"/>
    <w:basedOn w:val="DefaultParagraphFont"/>
    <w:uiPriority w:val="20"/>
    <w:qFormat/>
    <w:locked/>
    <w:rsid w:val="007F75B9"/>
    <w:rPr>
      <w:i/>
      <w:iCs/>
    </w:rPr>
  </w:style>
  <w:style w:type="table" w:styleId="PlainTable1">
    <w:name w:val="Plain Table 1"/>
    <w:basedOn w:val="TableNormal"/>
    <w:locked/>
    <w:rsid w:val="0086577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locked/>
    <w:rsid w:val="0086577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5Dark">
    <w:name w:val="Grid Table 5 Dark"/>
    <w:basedOn w:val="TableNormal"/>
    <w:locked/>
    <w:rsid w:val="008657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5">
    <w:name w:val="Plain Table 5"/>
    <w:basedOn w:val="TableNormal"/>
    <w:locked/>
    <w:rsid w:val="0086577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locked/>
    <w:rsid w:val="0086577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locked/>
    <w:rsid w:val="0086577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C80B93"/>
    <w:rPr>
      <w:color w:val="605E5C"/>
      <w:shd w:val="clear" w:color="auto" w:fill="E1DFDD"/>
    </w:rPr>
  </w:style>
  <w:style w:type="character" w:customStyle="1" w:styleId="cf01">
    <w:name w:val="cf01"/>
    <w:basedOn w:val="DefaultParagraphFont"/>
    <w:rsid w:val="00B605BE"/>
    <w:rPr>
      <w:rFonts w:ascii="Segoe UI" w:hAnsi="Segoe UI" w:cs="Segoe UI" w:hint="default"/>
      <w:sz w:val="18"/>
      <w:szCs w:val="18"/>
    </w:rPr>
  </w:style>
  <w:style w:type="character" w:customStyle="1" w:styleId="UnresolvedMention20">
    <w:name w:val="Unresolved Mention20"/>
    <w:basedOn w:val="DefaultParagraphFont"/>
    <w:uiPriority w:val="99"/>
    <w:semiHidden/>
    <w:unhideWhenUsed/>
    <w:rsid w:val="00087BA8"/>
    <w:rPr>
      <w:color w:val="605E5C"/>
      <w:shd w:val="clear" w:color="auto" w:fill="E1DFDD"/>
    </w:rPr>
  </w:style>
  <w:style w:type="paragraph" w:customStyle="1" w:styleId="AnswerComment">
    <w:name w:val="Answer Comment"/>
    <w:basedOn w:val="Normal"/>
    <w:uiPriority w:val="21"/>
    <w:rsid w:val="00974BA5"/>
    <w:pPr>
      <w:spacing w:before="120" w:after="0"/>
      <w:jc w:val="left"/>
    </w:pPr>
    <w:rPr>
      <w:rFonts w:ascii="Calibri" w:hAnsi="Calibri"/>
      <w:sz w:val="22"/>
      <w:lang w:eastAsia="en-GB"/>
    </w:rPr>
  </w:style>
  <w:style w:type="character" w:customStyle="1" w:styleId="UnresolvedMention">
    <w:name w:val="Unresolved Mention"/>
    <w:basedOn w:val="DefaultParagraphFont"/>
    <w:uiPriority w:val="99"/>
    <w:semiHidden/>
    <w:unhideWhenUsed/>
    <w:rsid w:val="009F1FE3"/>
    <w:rPr>
      <w:color w:val="605E5C"/>
      <w:shd w:val="clear" w:color="auto" w:fill="E1DFDD"/>
    </w:rPr>
  </w:style>
  <w:style w:type="character" w:customStyle="1" w:styleId="lrzxr">
    <w:name w:val="lrzxr"/>
    <w:basedOn w:val="DefaultParagraphFont"/>
    <w:rsid w:val="001C02FB"/>
  </w:style>
  <w:style w:type="paragraph" w:customStyle="1" w:styleId="pf0">
    <w:name w:val="pf0"/>
    <w:basedOn w:val="Normal"/>
    <w:rsid w:val="005B34B2"/>
    <w:pPr>
      <w:spacing w:before="100" w:beforeAutospacing="1" w:after="100" w:afterAutospacing="1"/>
      <w:jc w:val="left"/>
    </w:pPr>
    <w:rPr>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5471">
      <w:bodyDiv w:val="1"/>
      <w:marLeft w:val="0"/>
      <w:marRight w:val="0"/>
      <w:marTop w:val="0"/>
      <w:marBottom w:val="0"/>
      <w:divBdr>
        <w:top w:val="none" w:sz="0" w:space="0" w:color="auto"/>
        <w:left w:val="none" w:sz="0" w:space="0" w:color="auto"/>
        <w:bottom w:val="none" w:sz="0" w:space="0" w:color="auto"/>
        <w:right w:val="none" w:sz="0" w:space="0" w:color="auto"/>
      </w:divBdr>
    </w:div>
    <w:div w:id="29232123">
      <w:bodyDiv w:val="1"/>
      <w:marLeft w:val="0"/>
      <w:marRight w:val="0"/>
      <w:marTop w:val="0"/>
      <w:marBottom w:val="0"/>
      <w:divBdr>
        <w:top w:val="none" w:sz="0" w:space="0" w:color="auto"/>
        <w:left w:val="none" w:sz="0" w:space="0" w:color="auto"/>
        <w:bottom w:val="none" w:sz="0" w:space="0" w:color="auto"/>
        <w:right w:val="none" w:sz="0" w:space="0" w:color="auto"/>
      </w:divBdr>
      <w:divsChild>
        <w:div w:id="1188520229">
          <w:marLeft w:val="0"/>
          <w:marRight w:val="0"/>
          <w:marTop w:val="0"/>
          <w:marBottom w:val="0"/>
          <w:divBdr>
            <w:top w:val="none" w:sz="0" w:space="0" w:color="auto"/>
            <w:left w:val="none" w:sz="0" w:space="0" w:color="auto"/>
            <w:bottom w:val="none" w:sz="0" w:space="0" w:color="auto"/>
            <w:right w:val="none" w:sz="0" w:space="0" w:color="auto"/>
          </w:divBdr>
        </w:div>
        <w:div w:id="1508252535">
          <w:marLeft w:val="0"/>
          <w:marRight w:val="0"/>
          <w:marTop w:val="0"/>
          <w:marBottom w:val="0"/>
          <w:divBdr>
            <w:top w:val="none" w:sz="0" w:space="0" w:color="auto"/>
            <w:left w:val="none" w:sz="0" w:space="0" w:color="auto"/>
            <w:bottom w:val="none" w:sz="0" w:space="0" w:color="auto"/>
            <w:right w:val="none" w:sz="0" w:space="0" w:color="auto"/>
          </w:divBdr>
        </w:div>
        <w:div w:id="1811513256">
          <w:marLeft w:val="0"/>
          <w:marRight w:val="0"/>
          <w:marTop w:val="0"/>
          <w:marBottom w:val="0"/>
          <w:divBdr>
            <w:top w:val="none" w:sz="0" w:space="0" w:color="auto"/>
            <w:left w:val="none" w:sz="0" w:space="0" w:color="auto"/>
            <w:bottom w:val="none" w:sz="0" w:space="0" w:color="auto"/>
            <w:right w:val="none" w:sz="0" w:space="0" w:color="auto"/>
          </w:divBdr>
        </w:div>
        <w:div w:id="1909030273">
          <w:marLeft w:val="0"/>
          <w:marRight w:val="0"/>
          <w:marTop w:val="0"/>
          <w:marBottom w:val="0"/>
          <w:divBdr>
            <w:top w:val="none" w:sz="0" w:space="0" w:color="auto"/>
            <w:left w:val="none" w:sz="0" w:space="0" w:color="auto"/>
            <w:bottom w:val="none" w:sz="0" w:space="0" w:color="auto"/>
            <w:right w:val="none" w:sz="0" w:space="0" w:color="auto"/>
          </w:divBdr>
        </w:div>
      </w:divsChild>
    </w:div>
    <w:div w:id="36904260">
      <w:bodyDiv w:val="1"/>
      <w:marLeft w:val="0"/>
      <w:marRight w:val="0"/>
      <w:marTop w:val="0"/>
      <w:marBottom w:val="0"/>
      <w:divBdr>
        <w:top w:val="none" w:sz="0" w:space="0" w:color="auto"/>
        <w:left w:val="none" w:sz="0" w:space="0" w:color="auto"/>
        <w:bottom w:val="none" w:sz="0" w:space="0" w:color="auto"/>
        <w:right w:val="none" w:sz="0" w:space="0" w:color="auto"/>
      </w:divBdr>
      <w:divsChild>
        <w:div w:id="294802572">
          <w:marLeft w:val="0"/>
          <w:marRight w:val="0"/>
          <w:marTop w:val="0"/>
          <w:marBottom w:val="0"/>
          <w:divBdr>
            <w:top w:val="none" w:sz="0" w:space="0" w:color="auto"/>
            <w:left w:val="none" w:sz="0" w:space="0" w:color="auto"/>
            <w:bottom w:val="none" w:sz="0" w:space="0" w:color="auto"/>
            <w:right w:val="none" w:sz="0" w:space="0" w:color="auto"/>
          </w:divBdr>
        </w:div>
        <w:div w:id="765006516">
          <w:marLeft w:val="0"/>
          <w:marRight w:val="0"/>
          <w:marTop w:val="0"/>
          <w:marBottom w:val="0"/>
          <w:divBdr>
            <w:top w:val="none" w:sz="0" w:space="0" w:color="auto"/>
            <w:left w:val="none" w:sz="0" w:space="0" w:color="auto"/>
            <w:bottom w:val="none" w:sz="0" w:space="0" w:color="auto"/>
            <w:right w:val="none" w:sz="0" w:space="0" w:color="auto"/>
          </w:divBdr>
        </w:div>
        <w:div w:id="1695574704">
          <w:marLeft w:val="0"/>
          <w:marRight w:val="0"/>
          <w:marTop w:val="0"/>
          <w:marBottom w:val="0"/>
          <w:divBdr>
            <w:top w:val="none" w:sz="0" w:space="0" w:color="auto"/>
            <w:left w:val="none" w:sz="0" w:space="0" w:color="auto"/>
            <w:bottom w:val="none" w:sz="0" w:space="0" w:color="auto"/>
            <w:right w:val="none" w:sz="0" w:space="0" w:color="auto"/>
          </w:divBdr>
        </w:div>
      </w:divsChild>
    </w:div>
    <w:div w:id="37318715">
      <w:bodyDiv w:val="1"/>
      <w:marLeft w:val="0"/>
      <w:marRight w:val="0"/>
      <w:marTop w:val="0"/>
      <w:marBottom w:val="0"/>
      <w:divBdr>
        <w:top w:val="none" w:sz="0" w:space="0" w:color="auto"/>
        <w:left w:val="none" w:sz="0" w:space="0" w:color="auto"/>
        <w:bottom w:val="none" w:sz="0" w:space="0" w:color="auto"/>
        <w:right w:val="none" w:sz="0" w:space="0" w:color="auto"/>
      </w:divBdr>
    </w:div>
    <w:div w:id="54355629">
      <w:bodyDiv w:val="1"/>
      <w:marLeft w:val="0"/>
      <w:marRight w:val="0"/>
      <w:marTop w:val="0"/>
      <w:marBottom w:val="0"/>
      <w:divBdr>
        <w:top w:val="none" w:sz="0" w:space="0" w:color="auto"/>
        <w:left w:val="none" w:sz="0" w:space="0" w:color="auto"/>
        <w:bottom w:val="none" w:sz="0" w:space="0" w:color="auto"/>
        <w:right w:val="none" w:sz="0" w:space="0" w:color="auto"/>
      </w:divBdr>
    </w:div>
    <w:div w:id="59595100">
      <w:bodyDiv w:val="1"/>
      <w:marLeft w:val="0"/>
      <w:marRight w:val="0"/>
      <w:marTop w:val="0"/>
      <w:marBottom w:val="0"/>
      <w:divBdr>
        <w:top w:val="none" w:sz="0" w:space="0" w:color="auto"/>
        <w:left w:val="none" w:sz="0" w:space="0" w:color="auto"/>
        <w:bottom w:val="none" w:sz="0" w:space="0" w:color="auto"/>
        <w:right w:val="none" w:sz="0" w:space="0" w:color="auto"/>
      </w:divBdr>
    </w:div>
    <w:div w:id="67001200">
      <w:bodyDiv w:val="1"/>
      <w:marLeft w:val="0"/>
      <w:marRight w:val="0"/>
      <w:marTop w:val="0"/>
      <w:marBottom w:val="0"/>
      <w:divBdr>
        <w:top w:val="none" w:sz="0" w:space="0" w:color="auto"/>
        <w:left w:val="none" w:sz="0" w:space="0" w:color="auto"/>
        <w:bottom w:val="none" w:sz="0" w:space="0" w:color="auto"/>
        <w:right w:val="none" w:sz="0" w:space="0" w:color="auto"/>
      </w:divBdr>
      <w:divsChild>
        <w:div w:id="983004332">
          <w:marLeft w:val="0"/>
          <w:marRight w:val="0"/>
          <w:marTop w:val="0"/>
          <w:marBottom w:val="0"/>
          <w:divBdr>
            <w:top w:val="none" w:sz="0" w:space="0" w:color="auto"/>
            <w:left w:val="none" w:sz="0" w:space="0" w:color="auto"/>
            <w:bottom w:val="none" w:sz="0" w:space="0" w:color="auto"/>
            <w:right w:val="none" w:sz="0" w:space="0" w:color="auto"/>
          </w:divBdr>
        </w:div>
      </w:divsChild>
    </w:div>
    <w:div w:id="76677983">
      <w:bodyDiv w:val="1"/>
      <w:marLeft w:val="0"/>
      <w:marRight w:val="0"/>
      <w:marTop w:val="0"/>
      <w:marBottom w:val="0"/>
      <w:divBdr>
        <w:top w:val="none" w:sz="0" w:space="0" w:color="auto"/>
        <w:left w:val="none" w:sz="0" w:space="0" w:color="auto"/>
        <w:bottom w:val="none" w:sz="0" w:space="0" w:color="auto"/>
        <w:right w:val="none" w:sz="0" w:space="0" w:color="auto"/>
      </w:divBdr>
      <w:divsChild>
        <w:div w:id="883566018">
          <w:marLeft w:val="1080"/>
          <w:marRight w:val="0"/>
          <w:marTop w:val="0"/>
          <w:marBottom w:val="120"/>
          <w:divBdr>
            <w:top w:val="none" w:sz="0" w:space="0" w:color="auto"/>
            <w:left w:val="none" w:sz="0" w:space="0" w:color="auto"/>
            <w:bottom w:val="none" w:sz="0" w:space="0" w:color="auto"/>
            <w:right w:val="none" w:sz="0" w:space="0" w:color="auto"/>
          </w:divBdr>
        </w:div>
        <w:div w:id="1759132203">
          <w:marLeft w:val="1080"/>
          <w:marRight w:val="0"/>
          <w:marTop w:val="0"/>
          <w:marBottom w:val="120"/>
          <w:divBdr>
            <w:top w:val="none" w:sz="0" w:space="0" w:color="auto"/>
            <w:left w:val="none" w:sz="0" w:space="0" w:color="auto"/>
            <w:bottom w:val="none" w:sz="0" w:space="0" w:color="auto"/>
            <w:right w:val="none" w:sz="0" w:space="0" w:color="auto"/>
          </w:divBdr>
        </w:div>
        <w:div w:id="1805660009">
          <w:marLeft w:val="1080"/>
          <w:marRight w:val="0"/>
          <w:marTop w:val="0"/>
          <w:marBottom w:val="120"/>
          <w:divBdr>
            <w:top w:val="none" w:sz="0" w:space="0" w:color="auto"/>
            <w:left w:val="none" w:sz="0" w:space="0" w:color="auto"/>
            <w:bottom w:val="none" w:sz="0" w:space="0" w:color="auto"/>
            <w:right w:val="none" w:sz="0" w:space="0" w:color="auto"/>
          </w:divBdr>
        </w:div>
        <w:div w:id="2060669552">
          <w:marLeft w:val="1080"/>
          <w:marRight w:val="0"/>
          <w:marTop w:val="0"/>
          <w:marBottom w:val="120"/>
          <w:divBdr>
            <w:top w:val="none" w:sz="0" w:space="0" w:color="auto"/>
            <w:left w:val="none" w:sz="0" w:space="0" w:color="auto"/>
            <w:bottom w:val="none" w:sz="0" w:space="0" w:color="auto"/>
            <w:right w:val="none" w:sz="0" w:space="0" w:color="auto"/>
          </w:divBdr>
        </w:div>
      </w:divsChild>
    </w:div>
    <w:div w:id="103234140">
      <w:bodyDiv w:val="1"/>
      <w:marLeft w:val="0"/>
      <w:marRight w:val="0"/>
      <w:marTop w:val="0"/>
      <w:marBottom w:val="0"/>
      <w:divBdr>
        <w:top w:val="none" w:sz="0" w:space="0" w:color="auto"/>
        <w:left w:val="none" w:sz="0" w:space="0" w:color="auto"/>
        <w:bottom w:val="none" w:sz="0" w:space="0" w:color="auto"/>
        <w:right w:val="none" w:sz="0" w:space="0" w:color="auto"/>
      </w:divBdr>
    </w:div>
    <w:div w:id="121851480">
      <w:bodyDiv w:val="1"/>
      <w:marLeft w:val="0"/>
      <w:marRight w:val="0"/>
      <w:marTop w:val="0"/>
      <w:marBottom w:val="0"/>
      <w:divBdr>
        <w:top w:val="none" w:sz="0" w:space="0" w:color="auto"/>
        <w:left w:val="none" w:sz="0" w:space="0" w:color="auto"/>
        <w:bottom w:val="none" w:sz="0" w:space="0" w:color="auto"/>
        <w:right w:val="none" w:sz="0" w:space="0" w:color="auto"/>
      </w:divBdr>
      <w:divsChild>
        <w:div w:id="296684311">
          <w:marLeft w:val="547"/>
          <w:marRight w:val="0"/>
          <w:marTop w:val="0"/>
          <w:marBottom w:val="360"/>
          <w:divBdr>
            <w:top w:val="none" w:sz="0" w:space="0" w:color="auto"/>
            <w:left w:val="none" w:sz="0" w:space="0" w:color="auto"/>
            <w:bottom w:val="none" w:sz="0" w:space="0" w:color="auto"/>
            <w:right w:val="none" w:sz="0" w:space="0" w:color="auto"/>
          </w:divBdr>
        </w:div>
        <w:div w:id="979460750">
          <w:marLeft w:val="547"/>
          <w:marRight w:val="0"/>
          <w:marTop w:val="0"/>
          <w:marBottom w:val="360"/>
          <w:divBdr>
            <w:top w:val="none" w:sz="0" w:space="0" w:color="auto"/>
            <w:left w:val="none" w:sz="0" w:space="0" w:color="auto"/>
            <w:bottom w:val="none" w:sz="0" w:space="0" w:color="auto"/>
            <w:right w:val="none" w:sz="0" w:space="0" w:color="auto"/>
          </w:divBdr>
        </w:div>
        <w:div w:id="1354921556">
          <w:marLeft w:val="547"/>
          <w:marRight w:val="0"/>
          <w:marTop w:val="0"/>
          <w:marBottom w:val="360"/>
          <w:divBdr>
            <w:top w:val="none" w:sz="0" w:space="0" w:color="auto"/>
            <w:left w:val="none" w:sz="0" w:space="0" w:color="auto"/>
            <w:bottom w:val="none" w:sz="0" w:space="0" w:color="auto"/>
            <w:right w:val="none" w:sz="0" w:space="0" w:color="auto"/>
          </w:divBdr>
        </w:div>
        <w:div w:id="1938828222">
          <w:marLeft w:val="547"/>
          <w:marRight w:val="0"/>
          <w:marTop w:val="0"/>
          <w:marBottom w:val="360"/>
          <w:divBdr>
            <w:top w:val="none" w:sz="0" w:space="0" w:color="auto"/>
            <w:left w:val="none" w:sz="0" w:space="0" w:color="auto"/>
            <w:bottom w:val="none" w:sz="0" w:space="0" w:color="auto"/>
            <w:right w:val="none" w:sz="0" w:space="0" w:color="auto"/>
          </w:divBdr>
        </w:div>
      </w:divsChild>
    </w:div>
    <w:div w:id="137917537">
      <w:bodyDiv w:val="1"/>
      <w:marLeft w:val="0"/>
      <w:marRight w:val="0"/>
      <w:marTop w:val="0"/>
      <w:marBottom w:val="0"/>
      <w:divBdr>
        <w:top w:val="none" w:sz="0" w:space="0" w:color="auto"/>
        <w:left w:val="none" w:sz="0" w:space="0" w:color="auto"/>
        <w:bottom w:val="none" w:sz="0" w:space="0" w:color="auto"/>
        <w:right w:val="none" w:sz="0" w:space="0" w:color="auto"/>
      </w:divBdr>
    </w:div>
    <w:div w:id="162667991">
      <w:bodyDiv w:val="1"/>
      <w:marLeft w:val="0"/>
      <w:marRight w:val="0"/>
      <w:marTop w:val="0"/>
      <w:marBottom w:val="0"/>
      <w:divBdr>
        <w:top w:val="none" w:sz="0" w:space="0" w:color="auto"/>
        <w:left w:val="none" w:sz="0" w:space="0" w:color="auto"/>
        <w:bottom w:val="none" w:sz="0" w:space="0" w:color="auto"/>
        <w:right w:val="none" w:sz="0" w:space="0" w:color="auto"/>
      </w:divBdr>
      <w:divsChild>
        <w:div w:id="1453213084">
          <w:marLeft w:val="0"/>
          <w:marRight w:val="0"/>
          <w:marTop w:val="0"/>
          <w:marBottom w:val="0"/>
          <w:divBdr>
            <w:top w:val="none" w:sz="0" w:space="0" w:color="auto"/>
            <w:left w:val="none" w:sz="0" w:space="0" w:color="auto"/>
            <w:bottom w:val="none" w:sz="0" w:space="0" w:color="auto"/>
            <w:right w:val="none" w:sz="0" w:space="0" w:color="auto"/>
          </w:divBdr>
        </w:div>
      </w:divsChild>
    </w:div>
    <w:div w:id="176620801">
      <w:bodyDiv w:val="1"/>
      <w:marLeft w:val="0"/>
      <w:marRight w:val="0"/>
      <w:marTop w:val="0"/>
      <w:marBottom w:val="0"/>
      <w:divBdr>
        <w:top w:val="none" w:sz="0" w:space="0" w:color="auto"/>
        <w:left w:val="none" w:sz="0" w:space="0" w:color="auto"/>
        <w:bottom w:val="none" w:sz="0" w:space="0" w:color="auto"/>
        <w:right w:val="none" w:sz="0" w:space="0" w:color="auto"/>
      </w:divBdr>
    </w:div>
    <w:div w:id="176621225">
      <w:bodyDiv w:val="1"/>
      <w:marLeft w:val="0"/>
      <w:marRight w:val="0"/>
      <w:marTop w:val="0"/>
      <w:marBottom w:val="0"/>
      <w:divBdr>
        <w:top w:val="none" w:sz="0" w:space="0" w:color="auto"/>
        <w:left w:val="none" w:sz="0" w:space="0" w:color="auto"/>
        <w:bottom w:val="none" w:sz="0" w:space="0" w:color="auto"/>
        <w:right w:val="none" w:sz="0" w:space="0" w:color="auto"/>
      </w:divBdr>
    </w:div>
    <w:div w:id="184443253">
      <w:bodyDiv w:val="1"/>
      <w:marLeft w:val="0"/>
      <w:marRight w:val="0"/>
      <w:marTop w:val="0"/>
      <w:marBottom w:val="0"/>
      <w:divBdr>
        <w:top w:val="none" w:sz="0" w:space="0" w:color="auto"/>
        <w:left w:val="none" w:sz="0" w:space="0" w:color="auto"/>
        <w:bottom w:val="none" w:sz="0" w:space="0" w:color="auto"/>
        <w:right w:val="none" w:sz="0" w:space="0" w:color="auto"/>
      </w:divBdr>
      <w:divsChild>
        <w:div w:id="414473350">
          <w:marLeft w:val="0"/>
          <w:marRight w:val="0"/>
          <w:marTop w:val="0"/>
          <w:marBottom w:val="0"/>
          <w:divBdr>
            <w:top w:val="none" w:sz="0" w:space="0" w:color="auto"/>
            <w:left w:val="none" w:sz="0" w:space="0" w:color="auto"/>
            <w:bottom w:val="none" w:sz="0" w:space="0" w:color="auto"/>
            <w:right w:val="none" w:sz="0" w:space="0" w:color="auto"/>
          </w:divBdr>
        </w:div>
        <w:div w:id="595944799">
          <w:marLeft w:val="0"/>
          <w:marRight w:val="0"/>
          <w:marTop w:val="0"/>
          <w:marBottom w:val="0"/>
          <w:divBdr>
            <w:top w:val="none" w:sz="0" w:space="0" w:color="auto"/>
            <w:left w:val="none" w:sz="0" w:space="0" w:color="auto"/>
            <w:bottom w:val="none" w:sz="0" w:space="0" w:color="auto"/>
            <w:right w:val="none" w:sz="0" w:space="0" w:color="auto"/>
          </w:divBdr>
        </w:div>
        <w:div w:id="1056974307">
          <w:marLeft w:val="0"/>
          <w:marRight w:val="0"/>
          <w:marTop w:val="0"/>
          <w:marBottom w:val="0"/>
          <w:divBdr>
            <w:top w:val="none" w:sz="0" w:space="0" w:color="auto"/>
            <w:left w:val="none" w:sz="0" w:space="0" w:color="auto"/>
            <w:bottom w:val="none" w:sz="0" w:space="0" w:color="auto"/>
            <w:right w:val="none" w:sz="0" w:space="0" w:color="auto"/>
          </w:divBdr>
        </w:div>
      </w:divsChild>
    </w:div>
    <w:div w:id="184828441">
      <w:bodyDiv w:val="1"/>
      <w:marLeft w:val="0"/>
      <w:marRight w:val="0"/>
      <w:marTop w:val="0"/>
      <w:marBottom w:val="0"/>
      <w:divBdr>
        <w:top w:val="none" w:sz="0" w:space="0" w:color="auto"/>
        <w:left w:val="none" w:sz="0" w:space="0" w:color="auto"/>
        <w:bottom w:val="none" w:sz="0" w:space="0" w:color="auto"/>
        <w:right w:val="none" w:sz="0" w:space="0" w:color="auto"/>
      </w:divBdr>
    </w:div>
    <w:div w:id="198859838">
      <w:bodyDiv w:val="1"/>
      <w:marLeft w:val="0"/>
      <w:marRight w:val="0"/>
      <w:marTop w:val="0"/>
      <w:marBottom w:val="0"/>
      <w:divBdr>
        <w:top w:val="none" w:sz="0" w:space="0" w:color="auto"/>
        <w:left w:val="none" w:sz="0" w:space="0" w:color="auto"/>
        <w:bottom w:val="none" w:sz="0" w:space="0" w:color="auto"/>
        <w:right w:val="none" w:sz="0" w:space="0" w:color="auto"/>
      </w:divBdr>
    </w:div>
    <w:div w:id="225847678">
      <w:bodyDiv w:val="1"/>
      <w:marLeft w:val="0"/>
      <w:marRight w:val="0"/>
      <w:marTop w:val="0"/>
      <w:marBottom w:val="0"/>
      <w:divBdr>
        <w:top w:val="none" w:sz="0" w:space="0" w:color="auto"/>
        <w:left w:val="none" w:sz="0" w:space="0" w:color="auto"/>
        <w:bottom w:val="none" w:sz="0" w:space="0" w:color="auto"/>
        <w:right w:val="none" w:sz="0" w:space="0" w:color="auto"/>
      </w:divBdr>
    </w:div>
    <w:div w:id="289438317">
      <w:bodyDiv w:val="1"/>
      <w:marLeft w:val="0"/>
      <w:marRight w:val="0"/>
      <w:marTop w:val="0"/>
      <w:marBottom w:val="0"/>
      <w:divBdr>
        <w:top w:val="none" w:sz="0" w:space="0" w:color="auto"/>
        <w:left w:val="none" w:sz="0" w:space="0" w:color="auto"/>
        <w:bottom w:val="none" w:sz="0" w:space="0" w:color="auto"/>
        <w:right w:val="none" w:sz="0" w:space="0" w:color="auto"/>
      </w:divBdr>
    </w:div>
    <w:div w:id="328214579">
      <w:bodyDiv w:val="1"/>
      <w:marLeft w:val="0"/>
      <w:marRight w:val="0"/>
      <w:marTop w:val="0"/>
      <w:marBottom w:val="0"/>
      <w:divBdr>
        <w:top w:val="none" w:sz="0" w:space="0" w:color="auto"/>
        <w:left w:val="none" w:sz="0" w:space="0" w:color="auto"/>
        <w:bottom w:val="none" w:sz="0" w:space="0" w:color="auto"/>
        <w:right w:val="none" w:sz="0" w:space="0" w:color="auto"/>
      </w:divBdr>
    </w:div>
    <w:div w:id="345374811">
      <w:bodyDiv w:val="1"/>
      <w:marLeft w:val="0"/>
      <w:marRight w:val="0"/>
      <w:marTop w:val="0"/>
      <w:marBottom w:val="0"/>
      <w:divBdr>
        <w:top w:val="none" w:sz="0" w:space="0" w:color="auto"/>
        <w:left w:val="none" w:sz="0" w:space="0" w:color="auto"/>
        <w:bottom w:val="none" w:sz="0" w:space="0" w:color="auto"/>
        <w:right w:val="none" w:sz="0" w:space="0" w:color="auto"/>
      </w:divBdr>
    </w:div>
    <w:div w:id="348683103">
      <w:bodyDiv w:val="1"/>
      <w:marLeft w:val="0"/>
      <w:marRight w:val="0"/>
      <w:marTop w:val="0"/>
      <w:marBottom w:val="0"/>
      <w:divBdr>
        <w:top w:val="none" w:sz="0" w:space="0" w:color="auto"/>
        <w:left w:val="none" w:sz="0" w:space="0" w:color="auto"/>
        <w:bottom w:val="none" w:sz="0" w:space="0" w:color="auto"/>
        <w:right w:val="none" w:sz="0" w:space="0" w:color="auto"/>
      </w:divBdr>
    </w:div>
    <w:div w:id="383142709">
      <w:bodyDiv w:val="1"/>
      <w:marLeft w:val="0"/>
      <w:marRight w:val="0"/>
      <w:marTop w:val="0"/>
      <w:marBottom w:val="0"/>
      <w:divBdr>
        <w:top w:val="none" w:sz="0" w:space="0" w:color="auto"/>
        <w:left w:val="none" w:sz="0" w:space="0" w:color="auto"/>
        <w:bottom w:val="none" w:sz="0" w:space="0" w:color="auto"/>
        <w:right w:val="none" w:sz="0" w:space="0" w:color="auto"/>
      </w:divBdr>
    </w:div>
    <w:div w:id="398021148">
      <w:bodyDiv w:val="1"/>
      <w:marLeft w:val="0"/>
      <w:marRight w:val="0"/>
      <w:marTop w:val="0"/>
      <w:marBottom w:val="0"/>
      <w:divBdr>
        <w:top w:val="none" w:sz="0" w:space="0" w:color="auto"/>
        <w:left w:val="none" w:sz="0" w:space="0" w:color="auto"/>
        <w:bottom w:val="none" w:sz="0" w:space="0" w:color="auto"/>
        <w:right w:val="none" w:sz="0" w:space="0" w:color="auto"/>
      </w:divBdr>
    </w:div>
    <w:div w:id="401097753">
      <w:bodyDiv w:val="1"/>
      <w:marLeft w:val="0"/>
      <w:marRight w:val="0"/>
      <w:marTop w:val="0"/>
      <w:marBottom w:val="0"/>
      <w:divBdr>
        <w:top w:val="none" w:sz="0" w:space="0" w:color="auto"/>
        <w:left w:val="none" w:sz="0" w:space="0" w:color="auto"/>
        <w:bottom w:val="none" w:sz="0" w:space="0" w:color="auto"/>
        <w:right w:val="none" w:sz="0" w:space="0" w:color="auto"/>
      </w:divBdr>
    </w:div>
    <w:div w:id="423376565">
      <w:bodyDiv w:val="1"/>
      <w:marLeft w:val="0"/>
      <w:marRight w:val="0"/>
      <w:marTop w:val="0"/>
      <w:marBottom w:val="0"/>
      <w:divBdr>
        <w:top w:val="none" w:sz="0" w:space="0" w:color="auto"/>
        <w:left w:val="none" w:sz="0" w:space="0" w:color="auto"/>
        <w:bottom w:val="none" w:sz="0" w:space="0" w:color="auto"/>
        <w:right w:val="none" w:sz="0" w:space="0" w:color="auto"/>
      </w:divBdr>
    </w:div>
    <w:div w:id="425157858">
      <w:bodyDiv w:val="1"/>
      <w:marLeft w:val="0"/>
      <w:marRight w:val="0"/>
      <w:marTop w:val="0"/>
      <w:marBottom w:val="0"/>
      <w:divBdr>
        <w:top w:val="none" w:sz="0" w:space="0" w:color="auto"/>
        <w:left w:val="none" w:sz="0" w:space="0" w:color="auto"/>
        <w:bottom w:val="none" w:sz="0" w:space="0" w:color="auto"/>
        <w:right w:val="none" w:sz="0" w:space="0" w:color="auto"/>
      </w:divBdr>
    </w:div>
    <w:div w:id="425420481">
      <w:bodyDiv w:val="1"/>
      <w:marLeft w:val="0"/>
      <w:marRight w:val="0"/>
      <w:marTop w:val="0"/>
      <w:marBottom w:val="0"/>
      <w:divBdr>
        <w:top w:val="none" w:sz="0" w:space="0" w:color="auto"/>
        <w:left w:val="none" w:sz="0" w:space="0" w:color="auto"/>
        <w:bottom w:val="none" w:sz="0" w:space="0" w:color="auto"/>
        <w:right w:val="none" w:sz="0" w:space="0" w:color="auto"/>
      </w:divBdr>
    </w:div>
    <w:div w:id="428549098">
      <w:bodyDiv w:val="1"/>
      <w:marLeft w:val="0"/>
      <w:marRight w:val="0"/>
      <w:marTop w:val="0"/>
      <w:marBottom w:val="0"/>
      <w:divBdr>
        <w:top w:val="none" w:sz="0" w:space="0" w:color="auto"/>
        <w:left w:val="none" w:sz="0" w:space="0" w:color="auto"/>
        <w:bottom w:val="none" w:sz="0" w:space="0" w:color="auto"/>
        <w:right w:val="none" w:sz="0" w:space="0" w:color="auto"/>
      </w:divBdr>
      <w:divsChild>
        <w:div w:id="292030287">
          <w:marLeft w:val="1080"/>
          <w:marRight w:val="0"/>
          <w:marTop w:val="0"/>
          <w:marBottom w:val="120"/>
          <w:divBdr>
            <w:top w:val="none" w:sz="0" w:space="0" w:color="auto"/>
            <w:left w:val="none" w:sz="0" w:space="0" w:color="auto"/>
            <w:bottom w:val="none" w:sz="0" w:space="0" w:color="auto"/>
            <w:right w:val="none" w:sz="0" w:space="0" w:color="auto"/>
          </w:divBdr>
        </w:div>
        <w:div w:id="494879813">
          <w:marLeft w:val="1080"/>
          <w:marRight w:val="0"/>
          <w:marTop w:val="0"/>
          <w:marBottom w:val="120"/>
          <w:divBdr>
            <w:top w:val="none" w:sz="0" w:space="0" w:color="auto"/>
            <w:left w:val="none" w:sz="0" w:space="0" w:color="auto"/>
            <w:bottom w:val="none" w:sz="0" w:space="0" w:color="auto"/>
            <w:right w:val="none" w:sz="0" w:space="0" w:color="auto"/>
          </w:divBdr>
        </w:div>
        <w:div w:id="995955127">
          <w:marLeft w:val="1080"/>
          <w:marRight w:val="0"/>
          <w:marTop w:val="0"/>
          <w:marBottom w:val="120"/>
          <w:divBdr>
            <w:top w:val="none" w:sz="0" w:space="0" w:color="auto"/>
            <w:left w:val="none" w:sz="0" w:space="0" w:color="auto"/>
            <w:bottom w:val="none" w:sz="0" w:space="0" w:color="auto"/>
            <w:right w:val="none" w:sz="0" w:space="0" w:color="auto"/>
          </w:divBdr>
        </w:div>
        <w:div w:id="1284389109">
          <w:marLeft w:val="1080"/>
          <w:marRight w:val="0"/>
          <w:marTop w:val="0"/>
          <w:marBottom w:val="120"/>
          <w:divBdr>
            <w:top w:val="none" w:sz="0" w:space="0" w:color="auto"/>
            <w:left w:val="none" w:sz="0" w:space="0" w:color="auto"/>
            <w:bottom w:val="none" w:sz="0" w:space="0" w:color="auto"/>
            <w:right w:val="none" w:sz="0" w:space="0" w:color="auto"/>
          </w:divBdr>
        </w:div>
        <w:div w:id="1681740326">
          <w:marLeft w:val="1080"/>
          <w:marRight w:val="0"/>
          <w:marTop w:val="0"/>
          <w:marBottom w:val="120"/>
          <w:divBdr>
            <w:top w:val="none" w:sz="0" w:space="0" w:color="auto"/>
            <w:left w:val="none" w:sz="0" w:space="0" w:color="auto"/>
            <w:bottom w:val="none" w:sz="0" w:space="0" w:color="auto"/>
            <w:right w:val="none" w:sz="0" w:space="0" w:color="auto"/>
          </w:divBdr>
        </w:div>
      </w:divsChild>
    </w:div>
    <w:div w:id="453719013">
      <w:bodyDiv w:val="1"/>
      <w:marLeft w:val="0"/>
      <w:marRight w:val="0"/>
      <w:marTop w:val="0"/>
      <w:marBottom w:val="0"/>
      <w:divBdr>
        <w:top w:val="none" w:sz="0" w:space="0" w:color="auto"/>
        <w:left w:val="none" w:sz="0" w:space="0" w:color="auto"/>
        <w:bottom w:val="none" w:sz="0" w:space="0" w:color="auto"/>
        <w:right w:val="none" w:sz="0" w:space="0" w:color="auto"/>
      </w:divBdr>
    </w:div>
    <w:div w:id="515116538">
      <w:bodyDiv w:val="1"/>
      <w:marLeft w:val="0"/>
      <w:marRight w:val="0"/>
      <w:marTop w:val="0"/>
      <w:marBottom w:val="0"/>
      <w:divBdr>
        <w:top w:val="none" w:sz="0" w:space="0" w:color="auto"/>
        <w:left w:val="none" w:sz="0" w:space="0" w:color="auto"/>
        <w:bottom w:val="none" w:sz="0" w:space="0" w:color="auto"/>
        <w:right w:val="none" w:sz="0" w:space="0" w:color="auto"/>
      </w:divBdr>
      <w:divsChild>
        <w:div w:id="402945381">
          <w:marLeft w:val="0"/>
          <w:marRight w:val="0"/>
          <w:marTop w:val="0"/>
          <w:marBottom w:val="0"/>
          <w:divBdr>
            <w:top w:val="none" w:sz="0" w:space="0" w:color="auto"/>
            <w:left w:val="none" w:sz="0" w:space="0" w:color="auto"/>
            <w:bottom w:val="none" w:sz="0" w:space="0" w:color="auto"/>
            <w:right w:val="none" w:sz="0" w:space="0" w:color="auto"/>
          </w:divBdr>
          <w:divsChild>
            <w:div w:id="332342212">
              <w:marLeft w:val="0"/>
              <w:marRight w:val="0"/>
              <w:marTop w:val="0"/>
              <w:marBottom w:val="0"/>
              <w:divBdr>
                <w:top w:val="none" w:sz="0" w:space="0" w:color="auto"/>
                <w:left w:val="none" w:sz="0" w:space="0" w:color="auto"/>
                <w:bottom w:val="none" w:sz="0" w:space="0" w:color="auto"/>
                <w:right w:val="none" w:sz="0" w:space="0" w:color="auto"/>
              </w:divBdr>
            </w:div>
            <w:div w:id="598484986">
              <w:marLeft w:val="0"/>
              <w:marRight w:val="0"/>
              <w:marTop w:val="0"/>
              <w:marBottom w:val="0"/>
              <w:divBdr>
                <w:top w:val="none" w:sz="0" w:space="0" w:color="auto"/>
                <w:left w:val="none" w:sz="0" w:space="0" w:color="auto"/>
                <w:bottom w:val="none" w:sz="0" w:space="0" w:color="auto"/>
                <w:right w:val="none" w:sz="0" w:space="0" w:color="auto"/>
              </w:divBdr>
            </w:div>
            <w:div w:id="1006595450">
              <w:marLeft w:val="0"/>
              <w:marRight w:val="0"/>
              <w:marTop w:val="0"/>
              <w:marBottom w:val="0"/>
              <w:divBdr>
                <w:top w:val="none" w:sz="0" w:space="0" w:color="auto"/>
                <w:left w:val="none" w:sz="0" w:space="0" w:color="auto"/>
                <w:bottom w:val="none" w:sz="0" w:space="0" w:color="auto"/>
                <w:right w:val="none" w:sz="0" w:space="0" w:color="auto"/>
              </w:divBdr>
            </w:div>
          </w:divsChild>
        </w:div>
        <w:div w:id="1772239220">
          <w:marLeft w:val="0"/>
          <w:marRight w:val="0"/>
          <w:marTop w:val="0"/>
          <w:marBottom w:val="0"/>
          <w:divBdr>
            <w:top w:val="none" w:sz="0" w:space="0" w:color="auto"/>
            <w:left w:val="none" w:sz="0" w:space="0" w:color="auto"/>
            <w:bottom w:val="none" w:sz="0" w:space="0" w:color="auto"/>
            <w:right w:val="none" w:sz="0" w:space="0" w:color="auto"/>
          </w:divBdr>
          <w:divsChild>
            <w:div w:id="281151431">
              <w:marLeft w:val="0"/>
              <w:marRight w:val="0"/>
              <w:marTop w:val="0"/>
              <w:marBottom w:val="0"/>
              <w:divBdr>
                <w:top w:val="none" w:sz="0" w:space="0" w:color="auto"/>
                <w:left w:val="none" w:sz="0" w:space="0" w:color="auto"/>
                <w:bottom w:val="none" w:sz="0" w:space="0" w:color="auto"/>
                <w:right w:val="none" w:sz="0" w:space="0" w:color="auto"/>
              </w:divBdr>
            </w:div>
            <w:div w:id="1435052315">
              <w:marLeft w:val="0"/>
              <w:marRight w:val="0"/>
              <w:marTop w:val="0"/>
              <w:marBottom w:val="0"/>
              <w:divBdr>
                <w:top w:val="none" w:sz="0" w:space="0" w:color="auto"/>
                <w:left w:val="none" w:sz="0" w:space="0" w:color="auto"/>
                <w:bottom w:val="none" w:sz="0" w:space="0" w:color="auto"/>
                <w:right w:val="none" w:sz="0" w:space="0" w:color="auto"/>
              </w:divBdr>
            </w:div>
            <w:div w:id="194086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456">
      <w:bodyDiv w:val="1"/>
      <w:marLeft w:val="0"/>
      <w:marRight w:val="0"/>
      <w:marTop w:val="0"/>
      <w:marBottom w:val="0"/>
      <w:divBdr>
        <w:top w:val="none" w:sz="0" w:space="0" w:color="auto"/>
        <w:left w:val="none" w:sz="0" w:space="0" w:color="auto"/>
        <w:bottom w:val="none" w:sz="0" w:space="0" w:color="auto"/>
        <w:right w:val="none" w:sz="0" w:space="0" w:color="auto"/>
      </w:divBdr>
    </w:div>
    <w:div w:id="577859604">
      <w:bodyDiv w:val="1"/>
      <w:marLeft w:val="0"/>
      <w:marRight w:val="0"/>
      <w:marTop w:val="0"/>
      <w:marBottom w:val="0"/>
      <w:divBdr>
        <w:top w:val="none" w:sz="0" w:space="0" w:color="auto"/>
        <w:left w:val="none" w:sz="0" w:space="0" w:color="auto"/>
        <w:bottom w:val="none" w:sz="0" w:space="0" w:color="auto"/>
        <w:right w:val="none" w:sz="0" w:space="0" w:color="auto"/>
      </w:divBdr>
    </w:div>
    <w:div w:id="580139294">
      <w:bodyDiv w:val="1"/>
      <w:marLeft w:val="0"/>
      <w:marRight w:val="0"/>
      <w:marTop w:val="0"/>
      <w:marBottom w:val="0"/>
      <w:divBdr>
        <w:top w:val="none" w:sz="0" w:space="0" w:color="auto"/>
        <w:left w:val="none" w:sz="0" w:space="0" w:color="auto"/>
        <w:bottom w:val="none" w:sz="0" w:space="0" w:color="auto"/>
        <w:right w:val="none" w:sz="0" w:space="0" w:color="auto"/>
      </w:divBdr>
      <w:divsChild>
        <w:div w:id="1033386749">
          <w:marLeft w:val="0"/>
          <w:marRight w:val="0"/>
          <w:marTop w:val="0"/>
          <w:marBottom w:val="0"/>
          <w:divBdr>
            <w:top w:val="none" w:sz="0" w:space="0" w:color="auto"/>
            <w:left w:val="none" w:sz="0" w:space="0" w:color="auto"/>
            <w:bottom w:val="none" w:sz="0" w:space="0" w:color="auto"/>
            <w:right w:val="none" w:sz="0" w:space="0" w:color="auto"/>
          </w:divBdr>
        </w:div>
      </w:divsChild>
    </w:div>
    <w:div w:id="590815182">
      <w:bodyDiv w:val="1"/>
      <w:marLeft w:val="0"/>
      <w:marRight w:val="0"/>
      <w:marTop w:val="0"/>
      <w:marBottom w:val="0"/>
      <w:divBdr>
        <w:top w:val="none" w:sz="0" w:space="0" w:color="auto"/>
        <w:left w:val="none" w:sz="0" w:space="0" w:color="auto"/>
        <w:bottom w:val="none" w:sz="0" w:space="0" w:color="auto"/>
        <w:right w:val="none" w:sz="0" w:space="0" w:color="auto"/>
      </w:divBdr>
    </w:div>
    <w:div w:id="602029017">
      <w:bodyDiv w:val="1"/>
      <w:marLeft w:val="0"/>
      <w:marRight w:val="0"/>
      <w:marTop w:val="0"/>
      <w:marBottom w:val="0"/>
      <w:divBdr>
        <w:top w:val="none" w:sz="0" w:space="0" w:color="auto"/>
        <w:left w:val="none" w:sz="0" w:space="0" w:color="auto"/>
        <w:bottom w:val="none" w:sz="0" w:space="0" w:color="auto"/>
        <w:right w:val="none" w:sz="0" w:space="0" w:color="auto"/>
      </w:divBdr>
    </w:div>
    <w:div w:id="602228309">
      <w:bodyDiv w:val="1"/>
      <w:marLeft w:val="0"/>
      <w:marRight w:val="0"/>
      <w:marTop w:val="0"/>
      <w:marBottom w:val="0"/>
      <w:divBdr>
        <w:top w:val="none" w:sz="0" w:space="0" w:color="auto"/>
        <w:left w:val="none" w:sz="0" w:space="0" w:color="auto"/>
        <w:bottom w:val="none" w:sz="0" w:space="0" w:color="auto"/>
        <w:right w:val="none" w:sz="0" w:space="0" w:color="auto"/>
      </w:divBdr>
    </w:div>
    <w:div w:id="616525182">
      <w:bodyDiv w:val="1"/>
      <w:marLeft w:val="0"/>
      <w:marRight w:val="0"/>
      <w:marTop w:val="0"/>
      <w:marBottom w:val="0"/>
      <w:divBdr>
        <w:top w:val="none" w:sz="0" w:space="0" w:color="auto"/>
        <w:left w:val="none" w:sz="0" w:space="0" w:color="auto"/>
        <w:bottom w:val="none" w:sz="0" w:space="0" w:color="auto"/>
        <w:right w:val="none" w:sz="0" w:space="0" w:color="auto"/>
      </w:divBdr>
    </w:div>
    <w:div w:id="631639118">
      <w:bodyDiv w:val="1"/>
      <w:marLeft w:val="0"/>
      <w:marRight w:val="0"/>
      <w:marTop w:val="0"/>
      <w:marBottom w:val="0"/>
      <w:divBdr>
        <w:top w:val="none" w:sz="0" w:space="0" w:color="auto"/>
        <w:left w:val="none" w:sz="0" w:space="0" w:color="auto"/>
        <w:bottom w:val="none" w:sz="0" w:space="0" w:color="auto"/>
        <w:right w:val="none" w:sz="0" w:space="0" w:color="auto"/>
      </w:divBdr>
    </w:div>
    <w:div w:id="654647407">
      <w:bodyDiv w:val="1"/>
      <w:marLeft w:val="0"/>
      <w:marRight w:val="0"/>
      <w:marTop w:val="0"/>
      <w:marBottom w:val="0"/>
      <w:divBdr>
        <w:top w:val="none" w:sz="0" w:space="0" w:color="auto"/>
        <w:left w:val="none" w:sz="0" w:space="0" w:color="auto"/>
        <w:bottom w:val="none" w:sz="0" w:space="0" w:color="auto"/>
        <w:right w:val="none" w:sz="0" w:space="0" w:color="auto"/>
      </w:divBdr>
    </w:div>
    <w:div w:id="668021921">
      <w:bodyDiv w:val="1"/>
      <w:marLeft w:val="0"/>
      <w:marRight w:val="0"/>
      <w:marTop w:val="0"/>
      <w:marBottom w:val="0"/>
      <w:divBdr>
        <w:top w:val="none" w:sz="0" w:space="0" w:color="auto"/>
        <w:left w:val="none" w:sz="0" w:space="0" w:color="auto"/>
        <w:bottom w:val="none" w:sz="0" w:space="0" w:color="auto"/>
        <w:right w:val="none" w:sz="0" w:space="0" w:color="auto"/>
      </w:divBdr>
    </w:div>
    <w:div w:id="705839369">
      <w:bodyDiv w:val="1"/>
      <w:marLeft w:val="0"/>
      <w:marRight w:val="0"/>
      <w:marTop w:val="0"/>
      <w:marBottom w:val="0"/>
      <w:divBdr>
        <w:top w:val="none" w:sz="0" w:space="0" w:color="auto"/>
        <w:left w:val="none" w:sz="0" w:space="0" w:color="auto"/>
        <w:bottom w:val="none" w:sz="0" w:space="0" w:color="auto"/>
        <w:right w:val="none" w:sz="0" w:space="0" w:color="auto"/>
      </w:divBdr>
    </w:div>
    <w:div w:id="717781014">
      <w:bodyDiv w:val="1"/>
      <w:marLeft w:val="0"/>
      <w:marRight w:val="0"/>
      <w:marTop w:val="0"/>
      <w:marBottom w:val="0"/>
      <w:divBdr>
        <w:top w:val="none" w:sz="0" w:space="0" w:color="auto"/>
        <w:left w:val="none" w:sz="0" w:space="0" w:color="auto"/>
        <w:bottom w:val="none" w:sz="0" w:space="0" w:color="auto"/>
        <w:right w:val="none" w:sz="0" w:space="0" w:color="auto"/>
      </w:divBdr>
      <w:divsChild>
        <w:div w:id="247617757">
          <w:marLeft w:val="0"/>
          <w:marRight w:val="0"/>
          <w:marTop w:val="0"/>
          <w:marBottom w:val="0"/>
          <w:divBdr>
            <w:top w:val="none" w:sz="0" w:space="0" w:color="auto"/>
            <w:left w:val="none" w:sz="0" w:space="0" w:color="auto"/>
            <w:bottom w:val="none" w:sz="0" w:space="0" w:color="auto"/>
            <w:right w:val="none" w:sz="0" w:space="0" w:color="auto"/>
          </w:divBdr>
        </w:div>
      </w:divsChild>
    </w:div>
    <w:div w:id="743600934">
      <w:bodyDiv w:val="1"/>
      <w:marLeft w:val="0"/>
      <w:marRight w:val="0"/>
      <w:marTop w:val="0"/>
      <w:marBottom w:val="0"/>
      <w:divBdr>
        <w:top w:val="none" w:sz="0" w:space="0" w:color="auto"/>
        <w:left w:val="none" w:sz="0" w:space="0" w:color="auto"/>
        <w:bottom w:val="none" w:sz="0" w:space="0" w:color="auto"/>
        <w:right w:val="none" w:sz="0" w:space="0" w:color="auto"/>
      </w:divBdr>
    </w:div>
    <w:div w:id="747993367">
      <w:bodyDiv w:val="1"/>
      <w:marLeft w:val="0"/>
      <w:marRight w:val="0"/>
      <w:marTop w:val="0"/>
      <w:marBottom w:val="0"/>
      <w:divBdr>
        <w:top w:val="none" w:sz="0" w:space="0" w:color="auto"/>
        <w:left w:val="none" w:sz="0" w:space="0" w:color="auto"/>
        <w:bottom w:val="none" w:sz="0" w:space="0" w:color="auto"/>
        <w:right w:val="none" w:sz="0" w:space="0" w:color="auto"/>
      </w:divBdr>
    </w:div>
    <w:div w:id="766535552">
      <w:bodyDiv w:val="1"/>
      <w:marLeft w:val="0"/>
      <w:marRight w:val="0"/>
      <w:marTop w:val="0"/>
      <w:marBottom w:val="0"/>
      <w:divBdr>
        <w:top w:val="none" w:sz="0" w:space="0" w:color="auto"/>
        <w:left w:val="none" w:sz="0" w:space="0" w:color="auto"/>
        <w:bottom w:val="none" w:sz="0" w:space="0" w:color="auto"/>
        <w:right w:val="none" w:sz="0" w:space="0" w:color="auto"/>
      </w:divBdr>
    </w:div>
    <w:div w:id="795297204">
      <w:bodyDiv w:val="1"/>
      <w:marLeft w:val="0"/>
      <w:marRight w:val="0"/>
      <w:marTop w:val="0"/>
      <w:marBottom w:val="0"/>
      <w:divBdr>
        <w:top w:val="none" w:sz="0" w:space="0" w:color="auto"/>
        <w:left w:val="none" w:sz="0" w:space="0" w:color="auto"/>
        <w:bottom w:val="none" w:sz="0" w:space="0" w:color="auto"/>
        <w:right w:val="none" w:sz="0" w:space="0" w:color="auto"/>
      </w:divBdr>
    </w:div>
    <w:div w:id="795680645">
      <w:bodyDiv w:val="1"/>
      <w:marLeft w:val="0"/>
      <w:marRight w:val="0"/>
      <w:marTop w:val="0"/>
      <w:marBottom w:val="0"/>
      <w:divBdr>
        <w:top w:val="none" w:sz="0" w:space="0" w:color="auto"/>
        <w:left w:val="none" w:sz="0" w:space="0" w:color="auto"/>
        <w:bottom w:val="none" w:sz="0" w:space="0" w:color="auto"/>
        <w:right w:val="none" w:sz="0" w:space="0" w:color="auto"/>
      </w:divBdr>
    </w:div>
    <w:div w:id="808674284">
      <w:bodyDiv w:val="1"/>
      <w:marLeft w:val="0"/>
      <w:marRight w:val="0"/>
      <w:marTop w:val="0"/>
      <w:marBottom w:val="0"/>
      <w:divBdr>
        <w:top w:val="none" w:sz="0" w:space="0" w:color="auto"/>
        <w:left w:val="none" w:sz="0" w:space="0" w:color="auto"/>
        <w:bottom w:val="none" w:sz="0" w:space="0" w:color="auto"/>
        <w:right w:val="none" w:sz="0" w:space="0" w:color="auto"/>
      </w:divBdr>
    </w:div>
    <w:div w:id="816730491">
      <w:bodyDiv w:val="1"/>
      <w:marLeft w:val="0"/>
      <w:marRight w:val="0"/>
      <w:marTop w:val="0"/>
      <w:marBottom w:val="0"/>
      <w:divBdr>
        <w:top w:val="none" w:sz="0" w:space="0" w:color="auto"/>
        <w:left w:val="none" w:sz="0" w:space="0" w:color="auto"/>
        <w:bottom w:val="none" w:sz="0" w:space="0" w:color="auto"/>
        <w:right w:val="none" w:sz="0" w:space="0" w:color="auto"/>
      </w:divBdr>
    </w:div>
    <w:div w:id="837580010">
      <w:bodyDiv w:val="1"/>
      <w:marLeft w:val="0"/>
      <w:marRight w:val="0"/>
      <w:marTop w:val="0"/>
      <w:marBottom w:val="0"/>
      <w:divBdr>
        <w:top w:val="none" w:sz="0" w:space="0" w:color="auto"/>
        <w:left w:val="none" w:sz="0" w:space="0" w:color="auto"/>
        <w:bottom w:val="none" w:sz="0" w:space="0" w:color="auto"/>
        <w:right w:val="none" w:sz="0" w:space="0" w:color="auto"/>
      </w:divBdr>
    </w:div>
    <w:div w:id="878250124">
      <w:bodyDiv w:val="1"/>
      <w:marLeft w:val="0"/>
      <w:marRight w:val="0"/>
      <w:marTop w:val="0"/>
      <w:marBottom w:val="0"/>
      <w:divBdr>
        <w:top w:val="none" w:sz="0" w:space="0" w:color="auto"/>
        <w:left w:val="none" w:sz="0" w:space="0" w:color="auto"/>
        <w:bottom w:val="none" w:sz="0" w:space="0" w:color="auto"/>
        <w:right w:val="none" w:sz="0" w:space="0" w:color="auto"/>
      </w:divBdr>
      <w:divsChild>
        <w:div w:id="1259143429">
          <w:marLeft w:val="0"/>
          <w:marRight w:val="0"/>
          <w:marTop w:val="0"/>
          <w:marBottom w:val="0"/>
          <w:divBdr>
            <w:top w:val="none" w:sz="0" w:space="0" w:color="auto"/>
            <w:left w:val="none" w:sz="0" w:space="0" w:color="auto"/>
            <w:bottom w:val="none" w:sz="0" w:space="0" w:color="auto"/>
            <w:right w:val="none" w:sz="0" w:space="0" w:color="auto"/>
          </w:divBdr>
        </w:div>
      </w:divsChild>
    </w:div>
    <w:div w:id="894006854">
      <w:bodyDiv w:val="1"/>
      <w:marLeft w:val="0"/>
      <w:marRight w:val="0"/>
      <w:marTop w:val="0"/>
      <w:marBottom w:val="0"/>
      <w:divBdr>
        <w:top w:val="none" w:sz="0" w:space="0" w:color="auto"/>
        <w:left w:val="none" w:sz="0" w:space="0" w:color="auto"/>
        <w:bottom w:val="none" w:sz="0" w:space="0" w:color="auto"/>
        <w:right w:val="none" w:sz="0" w:space="0" w:color="auto"/>
      </w:divBdr>
      <w:divsChild>
        <w:div w:id="3097838">
          <w:marLeft w:val="0"/>
          <w:marRight w:val="0"/>
          <w:marTop w:val="0"/>
          <w:marBottom w:val="0"/>
          <w:divBdr>
            <w:top w:val="none" w:sz="0" w:space="0" w:color="auto"/>
            <w:left w:val="none" w:sz="0" w:space="0" w:color="auto"/>
            <w:bottom w:val="none" w:sz="0" w:space="0" w:color="auto"/>
            <w:right w:val="none" w:sz="0" w:space="0" w:color="auto"/>
          </w:divBdr>
        </w:div>
      </w:divsChild>
    </w:div>
    <w:div w:id="899559146">
      <w:bodyDiv w:val="1"/>
      <w:marLeft w:val="0"/>
      <w:marRight w:val="0"/>
      <w:marTop w:val="0"/>
      <w:marBottom w:val="0"/>
      <w:divBdr>
        <w:top w:val="none" w:sz="0" w:space="0" w:color="auto"/>
        <w:left w:val="none" w:sz="0" w:space="0" w:color="auto"/>
        <w:bottom w:val="none" w:sz="0" w:space="0" w:color="auto"/>
        <w:right w:val="none" w:sz="0" w:space="0" w:color="auto"/>
      </w:divBdr>
    </w:div>
    <w:div w:id="945039795">
      <w:bodyDiv w:val="1"/>
      <w:marLeft w:val="0"/>
      <w:marRight w:val="0"/>
      <w:marTop w:val="0"/>
      <w:marBottom w:val="0"/>
      <w:divBdr>
        <w:top w:val="none" w:sz="0" w:space="0" w:color="auto"/>
        <w:left w:val="none" w:sz="0" w:space="0" w:color="auto"/>
        <w:bottom w:val="none" w:sz="0" w:space="0" w:color="auto"/>
        <w:right w:val="none" w:sz="0" w:space="0" w:color="auto"/>
      </w:divBdr>
      <w:divsChild>
        <w:div w:id="22442831">
          <w:marLeft w:val="0"/>
          <w:marRight w:val="0"/>
          <w:marTop w:val="0"/>
          <w:marBottom w:val="0"/>
          <w:divBdr>
            <w:top w:val="none" w:sz="0" w:space="0" w:color="auto"/>
            <w:left w:val="none" w:sz="0" w:space="0" w:color="auto"/>
            <w:bottom w:val="none" w:sz="0" w:space="0" w:color="auto"/>
            <w:right w:val="none" w:sz="0" w:space="0" w:color="auto"/>
          </w:divBdr>
          <w:divsChild>
            <w:div w:id="827941003">
              <w:marLeft w:val="0"/>
              <w:marRight w:val="0"/>
              <w:marTop w:val="0"/>
              <w:marBottom w:val="0"/>
              <w:divBdr>
                <w:top w:val="none" w:sz="0" w:space="0" w:color="auto"/>
                <w:left w:val="none" w:sz="0" w:space="0" w:color="auto"/>
                <w:bottom w:val="none" w:sz="0" w:space="0" w:color="auto"/>
                <w:right w:val="none" w:sz="0" w:space="0" w:color="auto"/>
              </w:divBdr>
            </w:div>
            <w:div w:id="1334063217">
              <w:marLeft w:val="0"/>
              <w:marRight w:val="0"/>
              <w:marTop w:val="0"/>
              <w:marBottom w:val="0"/>
              <w:divBdr>
                <w:top w:val="none" w:sz="0" w:space="0" w:color="auto"/>
                <w:left w:val="none" w:sz="0" w:space="0" w:color="auto"/>
                <w:bottom w:val="none" w:sz="0" w:space="0" w:color="auto"/>
                <w:right w:val="none" w:sz="0" w:space="0" w:color="auto"/>
              </w:divBdr>
            </w:div>
            <w:div w:id="134416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6638">
      <w:bodyDiv w:val="1"/>
      <w:marLeft w:val="0"/>
      <w:marRight w:val="0"/>
      <w:marTop w:val="0"/>
      <w:marBottom w:val="0"/>
      <w:divBdr>
        <w:top w:val="none" w:sz="0" w:space="0" w:color="auto"/>
        <w:left w:val="none" w:sz="0" w:space="0" w:color="auto"/>
        <w:bottom w:val="none" w:sz="0" w:space="0" w:color="auto"/>
        <w:right w:val="none" w:sz="0" w:space="0" w:color="auto"/>
      </w:divBdr>
    </w:div>
    <w:div w:id="962422353">
      <w:bodyDiv w:val="1"/>
      <w:marLeft w:val="0"/>
      <w:marRight w:val="0"/>
      <w:marTop w:val="0"/>
      <w:marBottom w:val="0"/>
      <w:divBdr>
        <w:top w:val="none" w:sz="0" w:space="0" w:color="auto"/>
        <w:left w:val="none" w:sz="0" w:space="0" w:color="auto"/>
        <w:bottom w:val="none" w:sz="0" w:space="0" w:color="auto"/>
        <w:right w:val="none" w:sz="0" w:space="0" w:color="auto"/>
      </w:divBdr>
    </w:div>
    <w:div w:id="1020934540">
      <w:bodyDiv w:val="1"/>
      <w:marLeft w:val="0"/>
      <w:marRight w:val="0"/>
      <w:marTop w:val="0"/>
      <w:marBottom w:val="0"/>
      <w:divBdr>
        <w:top w:val="none" w:sz="0" w:space="0" w:color="auto"/>
        <w:left w:val="none" w:sz="0" w:space="0" w:color="auto"/>
        <w:bottom w:val="none" w:sz="0" w:space="0" w:color="auto"/>
        <w:right w:val="none" w:sz="0" w:space="0" w:color="auto"/>
      </w:divBdr>
    </w:div>
    <w:div w:id="1027146958">
      <w:bodyDiv w:val="1"/>
      <w:marLeft w:val="0"/>
      <w:marRight w:val="0"/>
      <w:marTop w:val="0"/>
      <w:marBottom w:val="0"/>
      <w:divBdr>
        <w:top w:val="none" w:sz="0" w:space="0" w:color="auto"/>
        <w:left w:val="none" w:sz="0" w:space="0" w:color="auto"/>
        <w:bottom w:val="none" w:sz="0" w:space="0" w:color="auto"/>
        <w:right w:val="none" w:sz="0" w:space="0" w:color="auto"/>
      </w:divBdr>
      <w:divsChild>
        <w:div w:id="1510097933">
          <w:marLeft w:val="0"/>
          <w:marRight w:val="0"/>
          <w:marTop w:val="0"/>
          <w:marBottom w:val="0"/>
          <w:divBdr>
            <w:top w:val="none" w:sz="0" w:space="0" w:color="auto"/>
            <w:left w:val="none" w:sz="0" w:space="0" w:color="auto"/>
            <w:bottom w:val="none" w:sz="0" w:space="0" w:color="auto"/>
            <w:right w:val="none" w:sz="0" w:space="0" w:color="auto"/>
          </w:divBdr>
        </w:div>
      </w:divsChild>
    </w:div>
    <w:div w:id="1028094630">
      <w:bodyDiv w:val="1"/>
      <w:marLeft w:val="0"/>
      <w:marRight w:val="0"/>
      <w:marTop w:val="0"/>
      <w:marBottom w:val="0"/>
      <w:divBdr>
        <w:top w:val="none" w:sz="0" w:space="0" w:color="auto"/>
        <w:left w:val="none" w:sz="0" w:space="0" w:color="auto"/>
        <w:bottom w:val="none" w:sz="0" w:space="0" w:color="auto"/>
        <w:right w:val="none" w:sz="0" w:space="0" w:color="auto"/>
      </w:divBdr>
    </w:div>
    <w:div w:id="1043410500">
      <w:bodyDiv w:val="1"/>
      <w:marLeft w:val="0"/>
      <w:marRight w:val="0"/>
      <w:marTop w:val="0"/>
      <w:marBottom w:val="0"/>
      <w:divBdr>
        <w:top w:val="none" w:sz="0" w:space="0" w:color="auto"/>
        <w:left w:val="none" w:sz="0" w:space="0" w:color="auto"/>
        <w:bottom w:val="none" w:sz="0" w:space="0" w:color="auto"/>
        <w:right w:val="none" w:sz="0" w:space="0" w:color="auto"/>
      </w:divBdr>
      <w:divsChild>
        <w:div w:id="478617831">
          <w:marLeft w:val="0"/>
          <w:marRight w:val="0"/>
          <w:marTop w:val="0"/>
          <w:marBottom w:val="0"/>
          <w:divBdr>
            <w:top w:val="none" w:sz="0" w:space="0" w:color="auto"/>
            <w:left w:val="none" w:sz="0" w:space="0" w:color="auto"/>
            <w:bottom w:val="none" w:sz="0" w:space="0" w:color="auto"/>
            <w:right w:val="none" w:sz="0" w:space="0" w:color="auto"/>
          </w:divBdr>
        </w:div>
        <w:div w:id="713846996">
          <w:marLeft w:val="0"/>
          <w:marRight w:val="0"/>
          <w:marTop w:val="0"/>
          <w:marBottom w:val="0"/>
          <w:divBdr>
            <w:top w:val="none" w:sz="0" w:space="0" w:color="auto"/>
            <w:left w:val="none" w:sz="0" w:space="0" w:color="auto"/>
            <w:bottom w:val="none" w:sz="0" w:space="0" w:color="auto"/>
            <w:right w:val="none" w:sz="0" w:space="0" w:color="auto"/>
          </w:divBdr>
        </w:div>
      </w:divsChild>
    </w:div>
    <w:div w:id="1047144815">
      <w:bodyDiv w:val="1"/>
      <w:marLeft w:val="0"/>
      <w:marRight w:val="0"/>
      <w:marTop w:val="0"/>
      <w:marBottom w:val="0"/>
      <w:divBdr>
        <w:top w:val="none" w:sz="0" w:space="0" w:color="auto"/>
        <w:left w:val="none" w:sz="0" w:space="0" w:color="auto"/>
        <w:bottom w:val="none" w:sz="0" w:space="0" w:color="auto"/>
        <w:right w:val="none" w:sz="0" w:space="0" w:color="auto"/>
      </w:divBdr>
    </w:div>
    <w:div w:id="1070343237">
      <w:bodyDiv w:val="1"/>
      <w:marLeft w:val="0"/>
      <w:marRight w:val="0"/>
      <w:marTop w:val="0"/>
      <w:marBottom w:val="0"/>
      <w:divBdr>
        <w:top w:val="none" w:sz="0" w:space="0" w:color="auto"/>
        <w:left w:val="none" w:sz="0" w:space="0" w:color="auto"/>
        <w:bottom w:val="none" w:sz="0" w:space="0" w:color="auto"/>
        <w:right w:val="none" w:sz="0" w:space="0" w:color="auto"/>
      </w:divBdr>
    </w:div>
    <w:div w:id="1075396543">
      <w:bodyDiv w:val="1"/>
      <w:marLeft w:val="0"/>
      <w:marRight w:val="0"/>
      <w:marTop w:val="0"/>
      <w:marBottom w:val="0"/>
      <w:divBdr>
        <w:top w:val="none" w:sz="0" w:space="0" w:color="auto"/>
        <w:left w:val="none" w:sz="0" w:space="0" w:color="auto"/>
        <w:bottom w:val="none" w:sz="0" w:space="0" w:color="auto"/>
        <w:right w:val="none" w:sz="0" w:space="0" w:color="auto"/>
      </w:divBdr>
    </w:div>
    <w:div w:id="1102385090">
      <w:bodyDiv w:val="1"/>
      <w:marLeft w:val="0"/>
      <w:marRight w:val="0"/>
      <w:marTop w:val="0"/>
      <w:marBottom w:val="0"/>
      <w:divBdr>
        <w:top w:val="none" w:sz="0" w:space="0" w:color="auto"/>
        <w:left w:val="none" w:sz="0" w:space="0" w:color="auto"/>
        <w:bottom w:val="none" w:sz="0" w:space="0" w:color="auto"/>
        <w:right w:val="none" w:sz="0" w:space="0" w:color="auto"/>
      </w:divBdr>
    </w:div>
    <w:div w:id="1113600281">
      <w:bodyDiv w:val="1"/>
      <w:marLeft w:val="0"/>
      <w:marRight w:val="0"/>
      <w:marTop w:val="0"/>
      <w:marBottom w:val="0"/>
      <w:divBdr>
        <w:top w:val="none" w:sz="0" w:space="0" w:color="auto"/>
        <w:left w:val="none" w:sz="0" w:space="0" w:color="auto"/>
        <w:bottom w:val="none" w:sz="0" w:space="0" w:color="auto"/>
        <w:right w:val="none" w:sz="0" w:space="0" w:color="auto"/>
      </w:divBdr>
      <w:divsChild>
        <w:div w:id="521747675">
          <w:marLeft w:val="0"/>
          <w:marRight w:val="0"/>
          <w:marTop w:val="0"/>
          <w:marBottom w:val="0"/>
          <w:divBdr>
            <w:top w:val="none" w:sz="0" w:space="0" w:color="auto"/>
            <w:left w:val="none" w:sz="0" w:space="0" w:color="auto"/>
            <w:bottom w:val="none" w:sz="0" w:space="0" w:color="auto"/>
            <w:right w:val="none" w:sz="0" w:space="0" w:color="auto"/>
          </w:divBdr>
        </w:div>
        <w:div w:id="834806404">
          <w:marLeft w:val="0"/>
          <w:marRight w:val="0"/>
          <w:marTop w:val="0"/>
          <w:marBottom w:val="0"/>
          <w:divBdr>
            <w:top w:val="none" w:sz="0" w:space="0" w:color="auto"/>
            <w:left w:val="none" w:sz="0" w:space="0" w:color="auto"/>
            <w:bottom w:val="none" w:sz="0" w:space="0" w:color="auto"/>
            <w:right w:val="none" w:sz="0" w:space="0" w:color="auto"/>
          </w:divBdr>
        </w:div>
        <w:div w:id="1088964490">
          <w:marLeft w:val="0"/>
          <w:marRight w:val="0"/>
          <w:marTop w:val="0"/>
          <w:marBottom w:val="0"/>
          <w:divBdr>
            <w:top w:val="none" w:sz="0" w:space="0" w:color="auto"/>
            <w:left w:val="none" w:sz="0" w:space="0" w:color="auto"/>
            <w:bottom w:val="none" w:sz="0" w:space="0" w:color="auto"/>
            <w:right w:val="none" w:sz="0" w:space="0" w:color="auto"/>
          </w:divBdr>
        </w:div>
      </w:divsChild>
    </w:div>
    <w:div w:id="1124032827">
      <w:bodyDiv w:val="1"/>
      <w:marLeft w:val="0"/>
      <w:marRight w:val="0"/>
      <w:marTop w:val="0"/>
      <w:marBottom w:val="0"/>
      <w:divBdr>
        <w:top w:val="none" w:sz="0" w:space="0" w:color="auto"/>
        <w:left w:val="none" w:sz="0" w:space="0" w:color="auto"/>
        <w:bottom w:val="none" w:sz="0" w:space="0" w:color="auto"/>
        <w:right w:val="none" w:sz="0" w:space="0" w:color="auto"/>
      </w:divBdr>
    </w:div>
    <w:div w:id="1152910176">
      <w:bodyDiv w:val="1"/>
      <w:marLeft w:val="0"/>
      <w:marRight w:val="0"/>
      <w:marTop w:val="0"/>
      <w:marBottom w:val="0"/>
      <w:divBdr>
        <w:top w:val="none" w:sz="0" w:space="0" w:color="auto"/>
        <w:left w:val="none" w:sz="0" w:space="0" w:color="auto"/>
        <w:bottom w:val="none" w:sz="0" w:space="0" w:color="auto"/>
        <w:right w:val="none" w:sz="0" w:space="0" w:color="auto"/>
      </w:divBdr>
      <w:divsChild>
        <w:div w:id="28921898">
          <w:marLeft w:val="1080"/>
          <w:marRight w:val="0"/>
          <w:marTop w:val="100"/>
          <w:marBottom w:val="120"/>
          <w:divBdr>
            <w:top w:val="none" w:sz="0" w:space="0" w:color="auto"/>
            <w:left w:val="none" w:sz="0" w:space="0" w:color="auto"/>
            <w:bottom w:val="none" w:sz="0" w:space="0" w:color="auto"/>
            <w:right w:val="none" w:sz="0" w:space="0" w:color="auto"/>
          </w:divBdr>
        </w:div>
        <w:div w:id="396249603">
          <w:marLeft w:val="1080"/>
          <w:marRight w:val="0"/>
          <w:marTop w:val="100"/>
          <w:marBottom w:val="120"/>
          <w:divBdr>
            <w:top w:val="none" w:sz="0" w:space="0" w:color="auto"/>
            <w:left w:val="none" w:sz="0" w:space="0" w:color="auto"/>
            <w:bottom w:val="none" w:sz="0" w:space="0" w:color="auto"/>
            <w:right w:val="none" w:sz="0" w:space="0" w:color="auto"/>
          </w:divBdr>
        </w:div>
        <w:div w:id="568005985">
          <w:marLeft w:val="1080"/>
          <w:marRight w:val="0"/>
          <w:marTop w:val="100"/>
          <w:marBottom w:val="240"/>
          <w:divBdr>
            <w:top w:val="none" w:sz="0" w:space="0" w:color="auto"/>
            <w:left w:val="none" w:sz="0" w:space="0" w:color="auto"/>
            <w:bottom w:val="none" w:sz="0" w:space="0" w:color="auto"/>
            <w:right w:val="none" w:sz="0" w:space="0" w:color="auto"/>
          </w:divBdr>
        </w:div>
        <w:div w:id="817065566">
          <w:marLeft w:val="360"/>
          <w:marRight w:val="0"/>
          <w:marTop w:val="0"/>
          <w:marBottom w:val="120"/>
          <w:divBdr>
            <w:top w:val="none" w:sz="0" w:space="0" w:color="auto"/>
            <w:left w:val="none" w:sz="0" w:space="0" w:color="auto"/>
            <w:bottom w:val="none" w:sz="0" w:space="0" w:color="auto"/>
            <w:right w:val="none" w:sz="0" w:space="0" w:color="auto"/>
          </w:divBdr>
        </w:div>
        <w:div w:id="953679967">
          <w:marLeft w:val="360"/>
          <w:marRight w:val="0"/>
          <w:marTop w:val="0"/>
          <w:marBottom w:val="360"/>
          <w:divBdr>
            <w:top w:val="none" w:sz="0" w:space="0" w:color="auto"/>
            <w:left w:val="none" w:sz="0" w:space="0" w:color="auto"/>
            <w:bottom w:val="none" w:sz="0" w:space="0" w:color="auto"/>
            <w:right w:val="none" w:sz="0" w:space="0" w:color="auto"/>
          </w:divBdr>
        </w:div>
        <w:div w:id="1644846788">
          <w:marLeft w:val="360"/>
          <w:marRight w:val="0"/>
          <w:marTop w:val="0"/>
          <w:marBottom w:val="120"/>
          <w:divBdr>
            <w:top w:val="none" w:sz="0" w:space="0" w:color="auto"/>
            <w:left w:val="none" w:sz="0" w:space="0" w:color="auto"/>
            <w:bottom w:val="none" w:sz="0" w:space="0" w:color="auto"/>
            <w:right w:val="none" w:sz="0" w:space="0" w:color="auto"/>
          </w:divBdr>
        </w:div>
      </w:divsChild>
    </w:div>
    <w:div w:id="1187905596">
      <w:bodyDiv w:val="1"/>
      <w:marLeft w:val="0"/>
      <w:marRight w:val="0"/>
      <w:marTop w:val="0"/>
      <w:marBottom w:val="0"/>
      <w:divBdr>
        <w:top w:val="none" w:sz="0" w:space="0" w:color="auto"/>
        <w:left w:val="none" w:sz="0" w:space="0" w:color="auto"/>
        <w:bottom w:val="none" w:sz="0" w:space="0" w:color="auto"/>
        <w:right w:val="none" w:sz="0" w:space="0" w:color="auto"/>
      </w:divBdr>
      <w:divsChild>
        <w:div w:id="1774780604">
          <w:marLeft w:val="0"/>
          <w:marRight w:val="0"/>
          <w:marTop w:val="0"/>
          <w:marBottom w:val="0"/>
          <w:divBdr>
            <w:top w:val="none" w:sz="0" w:space="0" w:color="auto"/>
            <w:left w:val="none" w:sz="0" w:space="0" w:color="auto"/>
            <w:bottom w:val="none" w:sz="0" w:space="0" w:color="auto"/>
            <w:right w:val="none" w:sz="0" w:space="0" w:color="auto"/>
          </w:divBdr>
        </w:div>
      </w:divsChild>
    </w:div>
    <w:div w:id="1191723391">
      <w:bodyDiv w:val="1"/>
      <w:marLeft w:val="0"/>
      <w:marRight w:val="0"/>
      <w:marTop w:val="0"/>
      <w:marBottom w:val="0"/>
      <w:divBdr>
        <w:top w:val="none" w:sz="0" w:space="0" w:color="auto"/>
        <w:left w:val="none" w:sz="0" w:space="0" w:color="auto"/>
        <w:bottom w:val="none" w:sz="0" w:space="0" w:color="auto"/>
        <w:right w:val="none" w:sz="0" w:space="0" w:color="auto"/>
      </w:divBdr>
    </w:div>
    <w:div w:id="1203327915">
      <w:bodyDiv w:val="1"/>
      <w:marLeft w:val="0"/>
      <w:marRight w:val="0"/>
      <w:marTop w:val="0"/>
      <w:marBottom w:val="0"/>
      <w:divBdr>
        <w:top w:val="none" w:sz="0" w:space="0" w:color="auto"/>
        <w:left w:val="none" w:sz="0" w:space="0" w:color="auto"/>
        <w:bottom w:val="none" w:sz="0" w:space="0" w:color="auto"/>
        <w:right w:val="none" w:sz="0" w:space="0" w:color="auto"/>
      </w:divBdr>
      <w:divsChild>
        <w:div w:id="63917225">
          <w:marLeft w:val="576"/>
          <w:marRight w:val="0"/>
          <w:marTop w:val="100"/>
          <w:marBottom w:val="360"/>
          <w:divBdr>
            <w:top w:val="none" w:sz="0" w:space="0" w:color="auto"/>
            <w:left w:val="none" w:sz="0" w:space="0" w:color="auto"/>
            <w:bottom w:val="none" w:sz="0" w:space="0" w:color="auto"/>
            <w:right w:val="none" w:sz="0" w:space="0" w:color="auto"/>
          </w:divBdr>
        </w:div>
        <w:div w:id="193544905">
          <w:marLeft w:val="1267"/>
          <w:marRight w:val="0"/>
          <w:marTop w:val="100"/>
          <w:marBottom w:val="360"/>
          <w:divBdr>
            <w:top w:val="none" w:sz="0" w:space="0" w:color="auto"/>
            <w:left w:val="none" w:sz="0" w:space="0" w:color="auto"/>
            <w:bottom w:val="none" w:sz="0" w:space="0" w:color="auto"/>
            <w:right w:val="none" w:sz="0" w:space="0" w:color="auto"/>
          </w:divBdr>
        </w:div>
        <w:div w:id="826284473">
          <w:marLeft w:val="547"/>
          <w:marRight w:val="0"/>
          <w:marTop w:val="0"/>
          <w:marBottom w:val="360"/>
          <w:divBdr>
            <w:top w:val="none" w:sz="0" w:space="0" w:color="auto"/>
            <w:left w:val="none" w:sz="0" w:space="0" w:color="auto"/>
            <w:bottom w:val="none" w:sz="0" w:space="0" w:color="auto"/>
            <w:right w:val="none" w:sz="0" w:space="0" w:color="auto"/>
          </w:divBdr>
        </w:div>
        <w:div w:id="1142651310">
          <w:marLeft w:val="1267"/>
          <w:marRight w:val="0"/>
          <w:marTop w:val="100"/>
          <w:marBottom w:val="360"/>
          <w:divBdr>
            <w:top w:val="none" w:sz="0" w:space="0" w:color="auto"/>
            <w:left w:val="none" w:sz="0" w:space="0" w:color="auto"/>
            <w:bottom w:val="none" w:sz="0" w:space="0" w:color="auto"/>
            <w:right w:val="none" w:sz="0" w:space="0" w:color="auto"/>
          </w:divBdr>
        </w:div>
        <w:div w:id="1923830004">
          <w:marLeft w:val="576"/>
          <w:marRight w:val="0"/>
          <w:marTop w:val="100"/>
          <w:marBottom w:val="360"/>
          <w:divBdr>
            <w:top w:val="none" w:sz="0" w:space="0" w:color="auto"/>
            <w:left w:val="none" w:sz="0" w:space="0" w:color="auto"/>
            <w:bottom w:val="none" w:sz="0" w:space="0" w:color="auto"/>
            <w:right w:val="none" w:sz="0" w:space="0" w:color="auto"/>
          </w:divBdr>
        </w:div>
      </w:divsChild>
    </w:div>
    <w:div w:id="1290816403">
      <w:bodyDiv w:val="1"/>
      <w:marLeft w:val="0"/>
      <w:marRight w:val="0"/>
      <w:marTop w:val="0"/>
      <w:marBottom w:val="0"/>
      <w:divBdr>
        <w:top w:val="none" w:sz="0" w:space="0" w:color="auto"/>
        <w:left w:val="none" w:sz="0" w:space="0" w:color="auto"/>
        <w:bottom w:val="none" w:sz="0" w:space="0" w:color="auto"/>
        <w:right w:val="none" w:sz="0" w:space="0" w:color="auto"/>
      </w:divBdr>
    </w:div>
    <w:div w:id="1340110939">
      <w:bodyDiv w:val="1"/>
      <w:marLeft w:val="0"/>
      <w:marRight w:val="0"/>
      <w:marTop w:val="0"/>
      <w:marBottom w:val="0"/>
      <w:divBdr>
        <w:top w:val="none" w:sz="0" w:space="0" w:color="auto"/>
        <w:left w:val="none" w:sz="0" w:space="0" w:color="auto"/>
        <w:bottom w:val="none" w:sz="0" w:space="0" w:color="auto"/>
        <w:right w:val="none" w:sz="0" w:space="0" w:color="auto"/>
      </w:divBdr>
      <w:divsChild>
        <w:div w:id="530727749">
          <w:marLeft w:val="1080"/>
          <w:marRight w:val="0"/>
          <w:marTop w:val="0"/>
          <w:marBottom w:val="120"/>
          <w:divBdr>
            <w:top w:val="none" w:sz="0" w:space="0" w:color="auto"/>
            <w:left w:val="none" w:sz="0" w:space="0" w:color="auto"/>
            <w:bottom w:val="none" w:sz="0" w:space="0" w:color="auto"/>
            <w:right w:val="none" w:sz="0" w:space="0" w:color="auto"/>
          </w:divBdr>
        </w:div>
        <w:div w:id="931010497">
          <w:marLeft w:val="1080"/>
          <w:marRight w:val="0"/>
          <w:marTop w:val="0"/>
          <w:marBottom w:val="120"/>
          <w:divBdr>
            <w:top w:val="none" w:sz="0" w:space="0" w:color="auto"/>
            <w:left w:val="none" w:sz="0" w:space="0" w:color="auto"/>
            <w:bottom w:val="none" w:sz="0" w:space="0" w:color="auto"/>
            <w:right w:val="none" w:sz="0" w:space="0" w:color="auto"/>
          </w:divBdr>
        </w:div>
        <w:div w:id="1814256103">
          <w:marLeft w:val="1080"/>
          <w:marRight w:val="0"/>
          <w:marTop w:val="0"/>
          <w:marBottom w:val="120"/>
          <w:divBdr>
            <w:top w:val="none" w:sz="0" w:space="0" w:color="auto"/>
            <w:left w:val="none" w:sz="0" w:space="0" w:color="auto"/>
            <w:bottom w:val="none" w:sz="0" w:space="0" w:color="auto"/>
            <w:right w:val="none" w:sz="0" w:space="0" w:color="auto"/>
          </w:divBdr>
        </w:div>
      </w:divsChild>
    </w:div>
    <w:div w:id="1393844077">
      <w:bodyDiv w:val="1"/>
      <w:marLeft w:val="0"/>
      <w:marRight w:val="0"/>
      <w:marTop w:val="0"/>
      <w:marBottom w:val="0"/>
      <w:divBdr>
        <w:top w:val="none" w:sz="0" w:space="0" w:color="auto"/>
        <w:left w:val="none" w:sz="0" w:space="0" w:color="auto"/>
        <w:bottom w:val="none" w:sz="0" w:space="0" w:color="auto"/>
        <w:right w:val="none" w:sz="0" w:space="0" w:color="auto"/>
      </w:divBdr>
    </w:div>
    <w:div w:id="1402675336">
      <w:bodyDiv w:val="1"/>
      <w:marLeft w:val="0"/>
      <w:marRight w:val="0"/>
      <w:marTop w:val="0"/>
      <w:marBottom w:val="0"/>
      <w:divBdr>
        <w:top w:val="none" w:sz="0" w:space="0" w:color="auto"/>
        <w:left w:val="none" w:sz="0" w:space="0" w:color="auto"/>
        <w:bottom w:val="none" w:sz="0" w:space="0" w:color="auto"/>
        <w:right w:val="none" w:sz="0" w:space="0" w:color="auto"/>
      </w:divBdr>
    </w:div>
    <w:div w:id="1408990816">
      <w:bodyDiv w:val="1"/>
      <w:marLeft w:val="0"/>
      <w:marRight w:val="0"/>
      <w:marTop w:val="0"/>
      <w:marBottom w:val="0"/>
      <w:divBdr>
        <w:top w:val="none" w:sz="0" w:space="0" w:color="auto"/>
        <w:left w:val="none" w:sz="0" w:space="0" w:color="auto"/>
        <w:bottom w:val="none" w:sz="0" w:space="0" w:color="auto"/>
        <w:right w:val="none" w:sz="0" w:space="0" w:color="auto"/>
      </w:divBdr>
    </w:div>
    <w:div w:id="1438451728">
      <w:bodyDiv w:val="1"/>
      <w:marLeft w:val="0"/>
      <w:marRight w:val="0"/>
      <w:marTop w:val="0"/>
      <w:marBottom w:val="0"/>
      <w:divBdr>
        <w:top w:val="none" w:sz="0" w:space="0" w:color="auto"/>
        <w:left w:val="none" w:sz="0" w:space="0" w:color="auto"/>
        <w:bottom w:val="none" w:sz="0" w:space="0" w:color="auto"/>
        <w:right w:val="none" w:sz="0" w:space="0" w:color="auto"/>
      </w:divBdr>
    </w:div>
    <w:div w:id="1447503397">
      <w:bodyDiv w:val="1"/>
      <w:marLeft w:val="0"/>
      <w:marRight w:val="0"/>
      <w:marTop w:val="0"/>
      <w:marBottom w:val="0"/>
      <w:divBdr>
        <w:top w:val="none" w:sz="0" w:space="0" w:color="auto"/>
        <w:left w:val="none" w:sz="0" w:space="0" w:color="auto"/>
        <w:bottom w:val="none" w:sz="0" w:space="0" w:color="auto"/>
        <w:right w:val="none" w:sz="0" w:space="0" w:color="auto"/>
      </w:divBdr>
    </w:div>
    <w:div w:id="1457794240">
      <w:bodyDiv w:val="1"/>
      <w:marLeft w:val="0"/>
      <w:marRight w:val="0"/>
      <w:marTop w:val="0"/>
      <w:marBottom w:val="0"/>
      <w:divBdr>
        <w:top w:val="none" w:sz="0" w:space="0" w:color="auto"/>
        <w:left w:val="none" w:sz="0" w:space="0" w:color="auto"/>
        <w:bottom w:val="none" w:sz="0" w:space="0" w:color="auto"/>
        <w:right w:val="none" w:sz="0" w:space="0" w:color="auto"/>
      </w:divBdr>
    </w:div>
    <w:div w:id="1468815924">
      <w:bodyDiv w:val="1"/>
      <w:marLeft w:val="0"/>
      <w:marRight w:val="0"/>
      <w:marTop w:val="0"/>
      <w:marBottom w:val="0"/>
      <w:divBdr>
        <w:top w:val="none" w:sz="0" w:space="0" w:color="auto"/>
        <w:left w:val="none" w:sz="0" w:space="0" w:color="auto"/>
        <w:bottom w:val="none" w:sz="0" w:space="0" w:color="auto"/>
        <w:right w:val="none" w:sz="0" w:space="0" w:color="auto"/>
      </w:divBdr>
    </w:div>
    <w:div w:id="1491170327">
      <w:bodyDiv w:val="1"/>
      <w:marLeft w:val="0"/>
      <w:marRight w:val="0"/>
      <w:marTop w:val="0"/>
      <w:marBottom w:val="0"/>
      <w:divBdr>
        <w:top w:val="none" w:sz="0" w:space="0" w:color="auto"/>
        <w:left w:val="none" w:sz="0" w:space="0" w:color="auto"/>
        <w:bottom w:val="none" w:sz="0" w:space="0" w:color="auto"/>
        <w:right w:val="none" w:sz="0" w:space="0" w:color="auto"/>
      </w:divBdr>
    </w:div>
    <w:div w:id="1494104868">
      <w:bodyDiv w:val="1"/>
      <w:marLeft w:val="0"/>
      <w:marRight w:val="0"/>
      <w:marTop w:val="0"/>
      <w:marBottom w:val="0"/>
      <w:divBdr>
        <w:top w:val="none" w:sz="0" w:space="0" w:color="auto"/>
        <w:left w:val="none" w:sz="0" w:space="0" w:color="auto"/>
        <w:bottom w:val="none" w:sz="0" w:space="0" w:color="auto"/>
        <w:right w:val="none" w:sz="0" w:space="0" w:color="auto"/>
      </w:divBdr>
    </w:div>
    <w:div w:id="1518545351">
      <w:bodyDiv w:val="1"/>
      <w:marLeft w:val="0"/>
      <w:marRight w:val="0"/>
      <w:marTop w:val="0"/>
      <w:marBottom w:val="0"/>
      <w:divBdr>
        <w:top w:val="none" w:sz="0" w:space="0" w:color="auto"/>
        <w:left w:val="none" w:sz="0" w:space="0" w:color="auto"/>
        <w:bottom w:val="none" w:sz="0" w:space="0" w:color="auto"/>
        <w:right w:val="none" w:sz="0" w:space="0" w:color="auto"/>
      </w:divBdr>
      <w:divsChild>
        <w:div w:id="813641604">
          <w:marLeft w:val="0"/>
          <w:marRight w:val="0"/>
          <w:marTop w:val="0"/>
          <w:marBottom w:val="0"/>
          <w:divBdr>
            <w:top w:val="none" w:sz="0" w:space="0" w:color="auto"/>
            <w:left w:val="none" w:sz="0" w:space="0" w:color="auto"/>
            <w:bottom w:val="none" w:sz="0" w:space="0" w:color="auto"/>
            <w:right w:val="none" w:sz="0" w:space="0" w:color="auto"/>
          </w:divBdr>
        </w:div>
      </w:divsChild>
    </w:div>
    <w:div w:id="1525024163">
      <w:bodyDiv w:val="1"/>
      <w:marLeft w:val="0"/>
      <w:marRight w:val="0"/>
      <w:marTop w:val="0"/>
      <w:marBottom w:val="0"/>
      <w:divBdr>
        <w:top w:val="none" w:sz="0" w:space="0" w:color="auto"/>
        <w:left w:val="none" w:sz="0" w:space="0" w:color="auto"/>
        <w:bottom w:val="none" w:sz="0" w:space="0" w:color="auto"/>
        <w:right w:val="none" w:sz="0" w:space="0" w:color="auto"/>
      </w:divBdr>
    </w:div>
    <w:div w:id="1538740474">
      <w:bodyDiv w:val="1"/>
      <w:marLeft w:val="0"/>
      <w:marRight w:val="0"/>
      <w:marTop w:val="0"/>
      <w:marBottom w:val="0"/>
      <w:divBdr>
        <w:top w:val="none" w:sz="0" w:space="0" w:color="auto"/>
        <w:left w:val="none" w:sz="0" w:space="0" w:color="auto"/>
        <w:bottom w:val="none" w:sz="0" w:space="0" w:color="auto"/>
        <w:right w:val="none" w:sz="0" w:space="0" w:color="auto"/>
      </w:divBdr>
    </w:div>
    <w:div w:id="1558541705">
      <w:bodyDiv w:val="1"/>
      <w:marLeft w:val="0"/>
      <w:marRight w:val="0"/>
      <w:marTop w:val="0"/>
      <w:marBottom w:val="0"/>
      <w:divBdr>
        <w:top w:val="none" w:sz="0" w:space="0" w:color="auto"/>
        <w:left w:val="none" w:sz="0" w:space="0" w:color="auto"/>
        <w:bottom w:val="none" w:sz="0" w:space="0" w:color="auto"/>
        <w:right w:val="none" w:sz="0" w:space="0" w:color="auto"/>
      </w:divBdr>
    </w:div>
    <w:div w:id="1559970121">
      <w:bodyDiv w:val="1"/>
      <w:marLeft w:val="0"/>
      <w:marRight w:val="0"/>
      <w:marTop w:val="0"/>
      <w:marBottom w:val="0"/>
      <w:divBdr>
        <w:top w:val="none" w:sz="0" w:space="0" w:color="auto"/>
        <w:left w:val="none" w:sz="0" w:space="0" w:color="auto"/>
        <w:bottom w:val="none" w:sz="0" w:space="0" w:color="auto"/>
        <w:right w:val="none" w:sz="0" w:space="0" w:color="auto"/>
      </w:divBdr>
    </w:div>
    <w:div w:id="1560743212">
      <w:bodyDiv w:val="1"/>
      <w:marLeft w:val="0"/>
      <w:marRight w:val="0"/>
      <w:marTop w:val="0"/>
      <w:marBottom w:val="0"/>
      <w:divBdr>
        <w:top w:val="none" w:sz="0" w:space="0" w:color="auto"/>
        <w:left w:val="none" w:sz="0" w:space="0" w:color="auto"/>
        <w:bottom w:val="none" w:sz="0" w:space="0" w:color="auto"/>
        <w:right w:val="none" w:sz="0" w:space="0" w:color="auto"/>
      </w:divBdr>
    </w:div>
    <w:div w:id="1623028620">
      <w:bodyDiv w:val="1"/>
      <w:marLeft w:val="0"/>
      <w:marRight w:val="0"/>
      <w:marTop w:val="0"/>
      <w:marBottom w:val="0"/>
      <w:divBdr>
        <w:top w:val="none" w:sz="0" w:space="0" w:color="auto"/>
        <w:left w:val="none" w:sz="0" w:space="0" w:color="auto"/>
        <w:bottom w:val="none" w:sz="0" w:space="0" w:color="auto"/>
        <w:right w:val="none" w:sz="0" w:space="0" w:color="auto"/>
      </w:divBdr>
    </w:div>
    <w:div w:id="1664047127">
      <w:bodyDiv w:val="1"/>
      <w:marLeft w:val="0"/>
      <w:marRight w:val="0"/>
      <w:marTop w:val="0"/>
      <w:marBottom w:val="0"/>
      <w:divBdr>
        <w:top w:val="none" w:sz="0" w:space="0" w:color="auto"/>
        <w:left w:val="none" w:sz="0" w:space="0" w:color="auto"/>
        <w:bottom w:val="none" w:sz="0" w:space="0" w:color="auto"/>
        <w:right w:val="none" w:sz="0" w:space="0" w:color="auto"/>
      </w:divBdr>
    </w:div>
    <w:div w:id="1679887682">
      <w:bodyDiv w:val="1"/>
      <w:marLeft w:val="0"/>
      <w:marRight w:val="0"/>
      <w:marTop w:val="0"/>
      <w:marBottom w:val="0"/>
      <w:divBdr>
        <w:top w:val="none" w:sz="0" w:space="0" w:color="auto"/>
        <w:left w:val="none" w:sz="0" w:space="0" w:color="auto"/>
        <w:bottom w:val="none" w:sz="0" w:space="0" w:color="auto"/>
        <w:right w:val="none" w:sz="0" w:space="0" w:color="auto"/>
      </w:divBdr>
      <w:divsChild>
        <w:div w:id="1060982842">
          <w:marLeft w:val="0"/>
          <w:marRight w:val="0"/>
          <w:marTop w:val="0"/>
          <w:marBottom w:val="0"/>
          <w:divBdr>
            <w:top w:val="none" w:sz="0" w:space="0" w:color="auto"/>
            <w:left w:val="none" w:sz="0" w:space="0" w:color="auto"/>
            <w:bottom w:val="none" w:sz="0" w:space="0" w:color="auto"/>
            <w:right w:val="none" w:sz="0" w:space="0" w:color="auto"/>
          </w:divBdr>
        </w:div>
      </w:divsChild>
    </w:div>
    <w:div w:id="1680159684">
      <w:bodyDiv w:val="1"/>
      <w:marLeft w:val="0"/>
      <w:marRight w:val="0"/>
      <w:marTop w:val="0"/>
      <w:marBottom w:val="0"/>
      <w:divBdr>
        <w:top w:val="none" w:sz="0" w:space="0" w:color="auto"/>
        <w:left w:val="none" w:sz="0" w:space="0" w:color="auto"/>
        <w:bottom w:val="none" w:sz="0" w:space="0" w:color="auto"/>
        <w:right w:val="none" w:sz="0" w:space="0" w:color="auto"/>
      </w:divBdr>
    </w:div>
    <w:div w:id="1688407335">
      <w:bodyDiv w:val="1"/>
      <w:marLeft w:val="0"/>
      <w:marRight w:val="0"/>
      <w:marTop w:val="0"/>
      <w:marBottom w:val="0"/>
      <w:divBdr>
        <w:top w:val="none" w:sz="0" w:space="0" w:color="auto"/>
        <w:left w:val="none" w:sz="0" w:space="0" w:color="auto"/>
        <w:bottom w:val="none" w:sz="0" w:space="0" w:color="auto"/>
        <w:right w:val="none" w:sz="0" w:space="0" w:color="auto"/>
      </w:divBdr>
    </w:div>
    <w:div w:id="1694502766">
      <w:bodyDiv w:val="1"/>
      <w:marLeft w:val="0"/>
      <w:marRight w:val="0"/>
      <w:marTop w:val="0"/>
      <w:marBottom w:val="0"/>
      <w:divBdr>
        <w:top w:val="none" w:sz="0" w:space="0" w:color="auto"/>
        <w:left w:val="none" w:sz="0" w:space="0" w:color="auto"/>
        <w:bottom w:val="none" w:sz="0" w:space="0" w:color="auto"/>
        <w:right w:val="none" w:sz="0" w:space="0" w:color="auto"/>
      </w:divBdr>
    </w:div>
    <w:div w:id="1717194022">
      <w:bodyDiv w:val="1"/>
      <w:marLeft w:val="0"/>
      <w:marRight w:val="0"/>
      <w:marTop w:val="0"/>
      <w:marBottom w:val="0"/>
      <w:divBdr>
        <w:top w:val="none" w:sz="0" w:space="0" w:color="auto"/>
        <w:left w:val="none" w:sz="0" w:space="0" w:color="auto"/>
        <w:bottom w:val="none" w:sz="0" w:space="0" w:color="auto"/>
        <w:right w:val="none" w:sz="0" w:space="0" w:color="auto"/>
      </w:divBdr>
    </w:div>
    <w:div w:id="1719667728">
      <w:bodyDiv w:val="1"/>
      <w:marLeft w:val="0"/>
      <w:marRight w:val="0"/>
      <w:marTop w:val="0"/>
      <w:marBottom w:val="0"/>
      <w:divBdr>
        <w:top w:val="none" w:sz="0" w:space="0" w:color="auto"/>
        <w:left w:val="none" w:sz="0" w:space="0" w:color="auto"/>
        <w:bottom w:val="none" w:sz="0" w:space="0" w:color="auto"/>
        <w:right w:val="none" w:sz="0" w:space="0" w:color="auto"/>
      </w:divBdr>
    </w:div>
    <w:div w:id="1725061340">
      <w:bodyDiv w:val="1"/>
      <w:marLeft w:val="0"/>
      <w:marRight w:val="0"/>
      <w:marTop w:val="0"/>
      <w:marBottom w:val="0"/>
      <w:divBdr>
        <w:top w:val="none" w:sz="0" w:space="0" w:color="auto"/>
        <w:left w:val="none" w:sz="0" w:space="0" w:color="auto"/>
        <w:bottom w:val="none" w:sz="0" w:space="0" w:color="auto"/>
        <w:right w:val="none" w:sz="0" w:space="0" w:color="auto"/>
      </w:divBdr>
    </w:div>
    <w:div w:id="1733195108">
      <w:bodyDiv w:val="1"/>
      <w:marLeft w:val="0"/>
      <w:marRight w:val="0"/>
      <w:marTop w:val="0"/>
      <w:marBottom w:val="0"/>
      <w:divBdr>
        <w:top w:val="none" w:sz="0" w:space="0" w:color="auto"/>
        <w:left w:val="none" w:sz="0" w:space="0" w:color="auto"/>
        <w:bottom w:val="none" w:sz="0" w:space="0" w:color="auto"/>
        <w:right w:val="none" w:sz="0" w:space="0" w:color="auto"/>
      </w:divBdr>
    </w:div>
    <w:div w:id="1740397141">
      <w:bodyDiv w:val="1"/>
      <w:marLeft w:val="0"/>
      <w:marRight w:val="0"/>
      <w:marTop w:val="0"/>
      <w:marBottom w:val="0"/>
      <w:divBdr>
        <w:top w:val="none" w:sz="0" w:space="0" w:color="auto"/>
        <w:left w:val="none" w:sz="0" w:space="0" w:color="auto"/>
        <w:bottom w:val="none" w:sz="0" w:space="0" w:color="auto"/>
        <w:right w:val="none" w:sz="0" w:space="0" w:color="auto"/>
      </w:divBdr>
      <w:divsChild>
        <w:div w:id="234820837">
          <w:marLeft w:val="547"/>
          <w:marRight w:val="0"/>
          <w:marTop w:val="0"/>
          <w:marBottom w:val="360"/>
          <w:divBdr>
            <w:top w:val="none" w:sz="0" w:space="0" w:color="auto"/>
            <w:left w:val="none" w:sz="0" w:space="0" w:color="auto"/>
            <w:bottom w:val="none" w:sz="0" w:space="0" w:color="auto"/>
            <w:right w:val="none" w:sz="0" w:space="0" w:color="auto"/>
          </w:divBdr>
        </w:div>
        <w:div w:id="1480343793">
          <w:marLeft w:val="547"/>
          <w:marRight w:val="0"/>
          <w:marTop w:val="0"/>
          <w:marBottom w:val="360"/>
          <w:divBdr>
            <w:top w:val="none" w:sz="0" w:space="0" w:color="auto"/>
            <w:left w:val="none" w:sz="0" w:space="0" w:color="auto"/>
            <w:bottom w:val="none" w:sz="0" w:space="0" w:color="auto"/>
            <w:right w:val="none" w:sz="0" w:space="0" w:color="auto"/>
          </w:divBdr>
        </w:div>
        <w:div w:id="1889762942">
          <w:marLeft w:val="547"/>
          <w:marRight w:val="0"/>
          <w:marTop w:val="0"/>
          <w:marBottom w:val="360"/>
          <w:divBdr>
            <w:top w:val="none" w:sz="0" w:space="0" w:color="auto"/>
            <w:left w:val="none" w:sz="0" w:space="0" w:color="auto"/>
            <w:bottom w:val="none" w:sz="0" w:space="0" w:color="auto"/>
            <w:right w:val="none" w:sz="0" w:space="0" w:color="auto"/>
          </w:divBdr>
        </w:div>
        <w:div w:id="2140099298">
          <w:marLeft w:val="547"/>
          <w:marRight w:val="0"/>
          <w:marTop w:val="0"/>
          <w:marBottom w:val="360"/>
          <w:divBdr>
            <w:top w:val="none" w:sz="0" w:space="0" w:color="auto"/>
            <w:left w:val="none" w:sz="0" w:space="0" w:color="auto"/>
            <w:bottom w:val="none" w:sz="0" w:space="0" w:color="auto"/>
            <w:right w:val="none" w:sz="0" w:space="0" w:color="auto"/>
          </w:divBdr>
        </w:div>
      </w:divsChild>
    </w:div>
    <w:div w:id="1750468623">
      <w:bodyDiv w:val="1"/>
      <w:marLeft w:val="0"/>
      <w:marRight w:val="0"/>
      <w:marTop w:val="0"/>
      <w:marBottom w:val="0"/>
      <w:divBdr>
        <w:top w:val="none" w:sz="0" w:space="0" w:color="auto"/>
        <w:left w:val="none" w:sz="0" w:space="0" w:color="auto"/>
        <w:bottom w:val="none" w:sz="0" w:space="0" w:color="auto"/>
        <w:right w:val="none" w:sz="0" w:space="0" w:color="auto"/>
      </w:divBdr>
      <w:divsChild>
        <w:div w:id="822356857">
          <w:marLeft w:val="0"/>
          <w:marRight w:val="0"/>
          <w:marTop w:val="0"/>
          <w:marBottom w:val="0"/>
          <w:divBdr>
            <w:top w:val="none" w:sz="0" w:space="0" w:color="auto"/>
            <w:left w:val="none" w:sz="0" w:space="0" w:color="auto"/>
            <w:bottom w:val="none" w:sz="0" w:space="0" w:color="auto"/>
            <w:right w:val="none" w:sz="0" w:space="0" w:color="auto"/>
          </w:divBdr>
        </w:div>
      </w:divsChild>
    </w:div>
    <w:div w:id="1751150221">
      <w:bodyDiv w:val="1"/>
      <w:marLeft w:val="0"/>
      <w:marRight w:val="0"/>
      <w:marTop w:val="0"/>
      <w:marBottom w:val="0"/>
      <w:divBdr>
        <w:top w:val="none" w:sz="0" w:space="0" w:color="auto"/>
        <w:left w:val="none" w:sz="0" w:space="0" w:color="auto"/>
        <w:bottom w:val="none" w:sz="0" w:space="0" w:color="auto"/>
        <w:right w:val="none" w:sz="0" w:space="0" w:color="auto"/>
      </w:divBdr>
    </w:div>
    <w:div w:id="1763136048">
      <w:bodyDiv w:val="1"/>
      <w:marLeft w:val="0"/>
      <w:marRight w:val="0"/>
      <w:marTop w:val="0"/>
      <w:marBottom w:val="0"/>
      <w:divBdr>
        <w:top w:val="none" w:sz="0" w:space="0" w:color="auto"/>
        <w:left w:val="none" w:sz="0" w:space="0" w:color="auto"/>
        <w:bottom w:val="none" w:sz="0" w:space="0" w:color="auto"/>
        <w:right w:val="none" w:sz="0" w:space="0" w:color="auto"/>
      </w:divBdr>
    </w:div>
    <w:div w:id="1779831592">
      <w:bodyDiv w:val="1"/>
      <w:marLeft w:val="0"/>
      <w:marRight w:val="0"/>
      <w:marTop w:val="0"/>
      <w:marBottom w:val="0"/>
      <w:divBdr>
        <w:top w:val="none" w:sz="0" w:space="0" w:color="auto"/>
        <w:left w:val="none" w:sz="0" w:space="0" w:color="auto"/>
        <w:bottom w:val="none" w:sz="0" w:space="0" w:color="auto"/>
        <w:right w:val="none" w:sz="0" w:space="0" w:color="auto"/>
      </w:divBdr>
    </w:div>
    <w:div w:id="1839151401">
      <w:bodyDiv w:val="1"/>
      <w:marLeft w:val="0"/>
      <w:marRight w:val="0"/>
      <w:marTop w:val="0"/>
      <w:marBottom w:val="0"/>
      <w:divBdr>
        <w:top w:val="none" w:sz="0" w:space="0" w:color="auto"/>
        <w:left w:val="none" w:sz="0" w:space="0" w:color="auto"/>
        <w:bottom w:val="none" w:sz="0" w:space="0" w:color="auto"/>
        <w:right w:val="none" w:sz="0" w:space="0" w:color="auto"/>
      </w:divBdr>
    </w:div>
    <w:div w:id="1858158933">
      <w:bodyDiv w:val="1"/>
      <w:marLeft w:val="0"/>
      <w:marRight w:val="0"/>
      <w:marTop w:val="0"/>
      <w:marBottom w:val="0"/>
      <w:divBdr>
        <w:top w:val="none" w:sz="0" w:space="0" w:color="auto"/>
        <w:left w:val="none" w:sz="0" w:space="0" w:color="auto"/>
        <w:bottom w:val="none" w:sz="0" w:space="0" w:color="auto"/>
        <w:right w:val="none" w:sz="0" w:space="0" w:color="auto"/>
      </w:divBdr>
    </w:div>
    <w:div w:id="1870685177">
      <w:bodyDiv w:val="1"/>
      <w:marLeft w:val="0"/>
      <w:marRight w:val="0"/>
      <w:marTop w:val="0"/>
      <w:marBottom w:val="0"/>
      <w:divBdr>
        <w:top w:val="none" w:sz="0" w:space="0" w:color="auto"/>
        <w:left w:val="none" w:sz="0" w:space="0" w:color="auto"/>
        <w:bottom w:val="none" w:sz="0" w:space="0" w:color="auto"/>
        <w:right w:val="none" w:sz="0" w:space="0" w:color="auto"/>
      </w:divBdr>
    </w:div>
    <w:div w:id="1886335300">
      <w:bodyDiv w:val="1"/>
      <w:marLeft w:val="0"/>
      <w:marRight w:val="0"/>
      <w:marTop w:val="0"/>
      <w:marBottom w:val="0"/>
      <w:divBdr>
        <w:top w:val="none" w:sz="0" w:space="0" w:color="auto"/>
        <w:left w:val="none" w:sz="0" w:space="0" w:color="auto"/>
        <w:bottom w:val="none" w:sz="0" w:space="0" w:color="auto"/>
        <w:right w:val="none" w:sz="0" w:space="0" w:color="auto"/>
      </w:divBdr>
    </w:div>
    <w:div w:id="1900550433">
      <w:bodyDiv w:val="1"/>
      <w:marLeft w:val="0"/>
      <w:marRight w:val="0"/>
      <w:marTop w:val="0"/>
      <w:marBottom w:val="0"/>
      <w:divBdr>
        <w:top w:val="none" w:sz="0" w:space="0" w:color="auto"/>
        <w:left w:val="none" w:sz="0" w:space="0" w:color="auto"/>
        <w:bottom w:val="none" w:sz="0" w:space="0" w:color="auto"/>
        <w:right w:val="none" w:sz="0" w:space="0" w:color="auto"/>
      </w:divBdr>
    </w:div>
    <w:div w:id="1901478657">
      <w:bodyDiv w:val="1"/>
      <w:marLeft w:val="0"/>
      <w:marRight w:val="0"/>
      <w:marTop w:val="0"/>
      <w:marBottom w:val="0"/>
      <w:divBdr>
        <w:top w:val="none" w:sz="0" w:space="0" w:color="auto"/>
        <w:left w:val="none" w:sz="0" w:space="0" w:color="auto"/>
        <w:bottom w:val="none" w:sz="0" w:space="0" w:color="auto"/>
        <w:right w:val="none" w:sz="0" w:space="0" w:color="auto"/>
      </w:divBdr>
    </w:div>
    <w:div w:id="1929649882">
      <w:bodyDiv w:val="1"/>
      <w:marLeft w:val="0"/>
      <w:marRight w:val="0"/>
      <w:marTop w:val="0"/>
      <w:marBottom w:val="0"/>
      <w:divBdr>
        <w:top w:val="none" w:sz="0" w:space="0" w:color="auto"/>
        <w:left w:val="none" w:sz="0" w:space="0" w:color="auto"/>
        <w:bottom w:val="none" w:sz="0" w:space="0" w:color="auto"/>
        <w:right w:val="none" w:sz="0" w:space="0" w:color="auto"/>
      </w:divBdr>
    </w:div>
    <w:div w:id="1943341550">
      <w:bodyDiv w:val="1"/>
      <w:marLeft w:val="0"/>
      <w:marRight w:val="0"/>
      <w:marTop w:val="0"/>
      <w:marBottom w:val="0"/>
      <w:divBdr>
        <w:top w:val="none" w:sz="0" w:space="0" w:color="auto"/>
        <w:left w:val="none" w:sz="0" w:space="0" w:color="auto"/>
        <w:bottom w:val="none" w:sz="0" w:space="0" w:color="auto"/>
        <w:right w:val="none" w:sz="0" w:space="0" w:color="auto"/>
      </w:divBdr>
    </w:div>
    <w:div w:id="1946769873">
      <w:bodyDiv w:val="1"/>
      <w:marLeft w:val="0"/>
      <w:marRight w:val="0"/>
      <w:marTop w:val="0"/>
      <w:marBottom w:val="0"/>
      <w:divBdr>
        <w:top w:val="none" w:sz="0" w:space="0" w:color="auto"/>
        <w:left w:val="none" w:sz="0" w:space="0" w:color="auto"/>
        <w:bottom w:val="none" w:sz="0" w:space="0" w:color="auto"/>
        <w:right w:val="none" w:sz="0" w:space="0" w:color="auto"/>
      </w:divBdr>
      <w:divsChild>
        <w:div w:id="621957410">
          <w:marLeft w:val="0"/>
          <w:marRight w:val="0"/>
          <w:marTop w:val="0"/>
          <w:marBottom w:val="0"/>
          <w:divBdr>
            <w:top w:val="none" w:sz="0" w:space="0" w:color="auto"/>
            <w:left w:val="none" w:sz="0" w:space="0" w:color="auto"/>
            <w:bottom w:val="none" w:sz="0" w:space="0" w:color="auto"/>
            <w:right w:val="none" w:sz="0" w:space="0" w:color="auto"/>
          </w:divBdr>
        </w:div>
        <w:div w:id="1190608199">
          <w:marLeft w:val="0"/>
          <w:marRight w:val="0"/>
          <w:marTop w:val="0"/>
          <w:marBottom w:val="0"/>
          <w:divBdr>
            <w:top w:val="none" w:sz="0" w:space="0" w:color="auto"/>
            <w:left w:val="none" w:sz="0" w:space="0" w:color="auto"/>
            <w:bottom w:val="none" w:sz="0" w:space="0" w:color="auto"/>
            <w:right w:val="none" w:sz="0" w:space="0" w:color="auto"/>
          </w:divBdr>
        </w:div>
        <w:div w:id="1503549231">
          <w:marLeft w:val="0"/>
          <w:marRight w:val="0"/>
          <w:marTop w:val="0"/>
          <w:marBottom w:val="0"/>
          <w:divBdr>
            <w:top w:val="none" w:sz="0" w:space="0" w:color="auto"/>
            <w:left w:val="none" w:sz="0" w:space="0" w:color="auto"/>
            <w:bottom w:val="none" w:sz="0" w:space="0" w:color="auto"/>
            <w:right w:val="none" w:sz="0" w:space="0" w:color="auto"/>
          </w:divBdr>
        </w:div>
      </w:divsChild>
    </w:div>
    <w:div w:id="1955942374">
      <w:bodyDiv w:val="1"/>
      <w:marLeft w:val="0"/>
      <w:marRight w:val="0"/>
      <w:marTop w:val="0"/>
      <w:marBottom w:val="0"/>
      <w:divBdr>
        <w:top w:val="none" w:sz="0" w:space="0" w:color="auto"/>
        <w:left w:val="none" w:sz="0" w:space="0" w:color="auto"/>
        <w:bottom w:val="none" w:sz="0" w:space="0" w:color="auto"/>
        <w:right w:val="none" w:sz="0" w:space="0" w:color="auto"/>
      </w:divBdr>
    </w:div>
    <w:div w:id="1956250049">
      <w:bodyDiv w:val="1"/>
      <w:marLeft w:val="0"/>
      <w:marRight w:val="0"/>
      <w:marTop w:val="0"/>
      <w:marBottom w:val="0"/>
      <w:divBdr>
        <w:top w:val="none" w:sz="0" w:space="0" w:color="auto"/>
        <w:left w:val="none" w:sz="0" w:space="0" w:color="auto"/>
        <w:bottom w:val="none" w:sz="0" w:space="0" w:color="auto"/>
        <w:right w:val="none" w:sz="0" w:space="0" w:color="auto"/>
      </w:divBdr>
      <w:divsChild>
        <w:div w:id="993414860">
          <w:marLeft w:val="0"/>
          <w:marRight w:val="0"/>
          <w:marTop w:val="0"/>
          <w:marBottom w:val="0"/>
          <w:divBdr>
            <w:top w:val="none" w:sz="0" w:space="0" w:color="auto"/>
            <w:left w:val="none" w:sz="0" w:space="0" w:color="auto"/>
            <w:bottom w:val="none" w:sz="0" w:space="0" w:color="auto"/>
            <w:right w:val="none" w:sz="0" w:space="0" w:color="auto"/>
          </w:divBdr>
        </w:div>
      </w:divsChild>
    </w:div>
    <w:div w:id="1961959669">
      <w:bodyDiv w:val="1"/>
      <w:marLeft w:val="0"/>
      <w:marRight w:val="0"/>
      <w:marTop w:val="0"/>
      <w:marBottom w:val="0"/>
      <w:divBdr>
        <w:top w:val="none" w:sz="0" w:space="0" w:color="auto"/>
        <w:left w:val="none" w:sz="0" w:space="0" w:color="auto"/>
        <w:bottom w:val="none" w:sz="0" w:space="0" w:color="auto"/>
        <w:right w:val="none" w:sz="0" w:space="0" w:color="auto"/>
      </w:divBdr>
    </w:div>
    <w:div w:id="2008358622">
      <w:bodyDiv w:val="1"/>
      <w:marLeft w:val="0"/>
      <w:marRight w:val="0"/>
      <w:marTop w:val="0"/>
      <w:marBottom w:val="0"/>
      <w:divBdr>
        <w:top w:val="none" w:sz="0" w:space="0" w:color="auto"/>
        <w:left w:val="none" w:sz="0" w:space="0" w:color="auto"/>
        <w:bottom w:val="none" w:sz="0" w:space="0" w:color="auto"/>
        <w:right w:val="none" w:sz="0" w:space="0" w:color="auto"/>
      </w:divBdr>
    </w:div>
    <w:div w:id="2019691124">
      <w:bodyDiv w:val="1"/>
      <w:marLeft w:val="0"/>
      <w:marRight w:val="0"/>
      <w:marTop w:val="0"/>
      <w:marBottom w:val="0"/>
      <w:divBdr>
        <w:top w:val="none" w:sz="0" w:space="0" w:color="auto"/>
        <w:left w:val="none" w:sz="0" w:space="0" w:color="auto"/>
        <w:bottom w:val="none" w:sz="0" w:space="0" w:color="auto"/>
        <w:right w:val="none" w:sz="0" w:space="0" w:color="auto"/>
      </w:divBdr>
      <w:divsChild>
        <w:div w:id="1276401103">
          <w:marLeft w:val="0"/>
          <w:marRight w:val="0"/>
          <w:marTop w:val="0"/>
          <w:marBottom w:val="0"/>
          <w:divBdr>
            <w:top w:val="none" w:sz="0" w:space="0" w:color="auto"/>
            <w:left w:val="none" w:sz="0" w:space="0" w:color="auto"/>
            <w:bottom w:val="none" w:sz="0" w:space="0" w:color="auto"/>
            <w:right w:val="none" w:sz="0" w:space="0" w:color="auto"/>
          </w:divBdr>
        </w:div>
      </w:divsChild>
    </w:div>
    <w:div w:id="2031570146">
      <w:bodyDiv w:val="1"/>
      <w:marLeft w:val="0"/>
      <w:marRight w:val="0"/>
      <w:marTop w:val="0"/>
      <w:marBottom w:val="0"/>
      <w:divBdr>
        <w:top w:val="none" w:sz="0" w:space="0" w:color="auto"/>
        <w:left w:val="none" w:sz="0" w:space="0" w:color="auto"/>
        <w:bottom w:val="none" w:sz="0" w:space="0" w:color="auto"/>
        <w:right w:val="none" w:sz="0" w:space="0" w:color="auto"/>
      </w:divBdr>
    </w:div>
    <w:div w:id="2036231417">
      <w:bodyDiv w:val="1"/>
      <w:marLeft w:val="0"/>
      <w:marRight w:val="0"/>
      <w:marTop w:val="0"/>
      <w:marBottom w:val="0"/>
      <w:divBdr>
        <w:top w:val="none" w:sz="0" w:space="0" w:color="auto"/>
        <w:left w:val="none" w:sz="0" w:space="0" w:color="auto"/>
        <w:bottom w:val="none" w:sz="0" w:space="0" w:color="auto"/>
        <w:right w:val="none" w:sz="0" w:space="0" w:color="auto"/>
      </w:divBdr>
    </w:div>
    <w:div w:id="2038194299">
      <w:bodyDiv w:val="1"/>
      <w:marLeft w:val="0"/>
      <w:marRight w:val="0"/>
      <w:marTop w:val="0"/>
      <w:marBottom w:val="0"/>
      <w:divBdr>
        <w:top w:val="none" w:sz="0" w:space="0" w:color="auto"/>
        <w:left w:val="none" w:sz="0" w:space="0" w:color="auto"/>
        <w:bottom w:val="none" w:sz="0" w:space="0" w:color="auto"/>
        <w:right w:val="none" w:sz="0" w:space="0" w:color="auto"/>
      </w:divBdr>
      <w:divsChild>
        <w:div w:id="127092974">
          <w:marLeft w:val="0"/>
          <w:marRight w:val="0"/>
          <w:marTop w:val="0"/>
          <w:marBottom w:val="0"/>
          <w:divBdr>
            <w:top w:val="none" w:sz="0" w:space="0" w:color="auto"/>
            <w:left w:val="none" w:sz="0" w:space="0" w:color="auto"/>
            <w:bottom w:val="none" w:sz="0" w:space="0" w:color="auto"/>
            <w:right w:val="none" w:sz="0" w:space="0" w:color="auto"/>
          </w:divBdr>
        </w:div>
      </w:divsChild>
    </w:div>
    <w:div w:id="2105956776">
      <w:bodyDiv w:val="1"/>
      <w:marLeft w:val="0"/>
      <w:marRight w:val="0"/>
      <w:marTop w:val="0"/>
      <w:marBottom w:val="0"/>
      <w:divBdr>
        <w:top w:val="none" w:sz="0" w:space="0" w:color="auto"/>
        <w:left w:val="none" w:sz="0" w:space="0" w:color="auto"/>
        <w:bottom w:val="none" w:sz="0" w:space="0" w:color="auto"/>
        <w:right w:val="none" w:sz="0" w:space="0" w:color="auto"/>
      </w:divBdr>
    </w:div>
    <w:div w:id="2110154517">
      <w:bodyDiv w:val="1"/>
      <w:marLeft w:val="0"/>
      <w:marRight w:val="0"/>
      <w:marTop w:val="0"/>
      <w:marBottom w:val="0"/>
      <w:divBdr>
        <w:top w:val="none" w:sz="0" w:space="0" w:color="auto"/>
        <w:left w:val="none" w:sz="0" w:space="0" w:color="auto"/>
        <w:bottom w:val="none" w:sz="0" w:space="0" w:color="auto"/>
        <w:right w:val="none" w:sz="0" w:space="0" w:color="auto"/>
      </w:divBdr>
    </w:div>
    <w:div w:id="2117092816">
      <w:bodyDiv w:val="1"/>
      <w:marLeft w:val="0"/>
      <w:marRight w:val="0"/>
      <w:marTop w:val="0"/>
      <w:marBottom w:val="0"/>
      <w:divBdr>
        <w:top w:val="none" w:sz="0" w:space="0" w:color="auto"/>
        <w:left w:val="none" w:sz="0" w:space="0" w:color="auto"/>
        <w:bottom w:val="none" w:sz="0" w:space="0" w:color="auto"/>
        <w:right w:val="none" w:sz="0" w:space="0" w:color="auto"/>
      </w:divBdr>
    </w:div>
    <w:div w:id="2125998335">
      <w:bodyDiv w:val="1"/>
      <w:marLeft w:val="0"/>
      <w:marRight w:val="0"/>
      <w:marTop w:val="0"/>
      <w:marBottom w:val="0"/>
      <w:divBdr>
        <w:top w:val="none" w:sz="0" w:space="0" w:color="auto"/>
        <w:left w:val="none" w:sz="0" w:space="0" w:color="auto"/>
        <w:bottom w:val="none" w:sz="0" w:space="0" w:color="auto"/>
        <w:right w:val="none" w:sz="0" w:space="0" w:color="auto"/>
      </w:divBdr>
      <w:divsChild>
        <w:div w:id="67964073">
          <w:marLeft w:val="547"/>
          <w:marRight w:val="0"/>
          <w:marTop w:val="360"/>
          <w:marBottom w:val="360"/>
          <w:divBdr>
            <w:top w:val="none" w:sz="0" w:space="0" w:color="auto"/>
            <w:left w:val="none" w:sz="0" w:space="0" w:color="auto"/>
            <w:bottom w:val="none" w:sz="0" w:space="0" w:color="auto"/>
            <w:right w:val="none" w:sz="0" w:space="0" w:color="auto"/>
          </w:divBdr>
        </w:div>
        <w:div w:id="1152481705">
          <w:marLeft w:val="547"/>
          <w:marRight w:val="0"/>
          <w:marTop w:val="0"/>
          <w:marBottom w:val="360"/>
          <w:divBdr>
            <w:top w:val="none" w:sz="0" w:space="0" w:color="auto"/>
            <w:left w:val="none" w:sz="0" w:space="0" w:color="auto"/>
            <w:bottom w:val="none" w:sz="0" w:space="0" w:color="auto"/>
            <w:right w:val="none" w:sz="0" w:space="0" w:color="auto"/>
          </w:divBdr>
        </w:div>
        <w:div w:id="1311249053">
          <w:marLeft w:val="547"/>
          <w:marRight w:val="0"/>
          <w:marTop w:val="0"/>
          <w:marBottom w:val="360"/>
          <w:divBdr>
            <w:top w:val="none" w:sz="0" w:space="0" w:color="auto"/>
            <w:left w:val="none" w:sz="0" w:space="0" w:color="auto"/>
            <w:bottom w:val="none" w:sz="0" w:space="0" w:color="auto"/>
            <w:right w:val="none" w:sz="0" w:space="0" w:color="auto"/>
          </w:divBdr>
        </w:div>
        <w:div w:id="1426346563">
          <w:marLeft w:val="547"/>
          <w:marRight w:val="0"/>
          <w:marTop w:val="0"/>
          <w:marBottom w:val="360"/>
          <w:divBdr>
            <w:top w:val="none" w:sz="0" w:space="0" w:color="auto"/>
            <w:left w:val="none" w:sz="0" w:space="0" w:color="auto"/>
            <w:bottom w:val="none" w:sz="0" w:space="0" w:color="auto"/>
            <w:right w:val="none" w:sz="0" w:space="0" w:color="auto"/>
          </w:divBdr>
        </w:div>
        <w:div w:id="1706441684">
          <w:marLeft w:val="547"/>
          <w:marRight w:val="0"/>
          <w:marTop w:val="0"/>
          <w:marBottom w:val="360"/>
          <w:divBdr>
            <w:top w:val="none" w:sz="0" w:space="0" w:color="auto"/>
            <w:left w:val="none" w:sz="0" w:space="0" w:color="auto"/>
            <w:bottom w:val="none" w:sz="0" w:space="0" w:color="auto"/>
            <w:right w:val="none" w:sz="0" w:space="0" w:color="auto"/>
          </w:divBdr>
        </w:div>
        <w:div w:id="1829902398">
          <w:marLeft w:val="547"/>
          <w:marRight w:val="0"/>
          <w:marTop w:val="0"/>
          <w:marBottom w:val="360"/>
          <w:divBdr>
            <w:top w:val="none" w:sz="0" w:space="0" w:color="auto"/>
            <w:left w:val="none" w:sz="0" w:space="0" w:color="auto"/>
            <w:bottom w:val="none" w:sz="0" w:space="0" w:color="auto"/>
            <w:right w:val="none" w:sz="0" w:space="0" w:color="auto"/>
          </w:divBdr>
        </w:div>
        <w:div w:id="1831797349">
          <w:marLeft w:val="547"/>
          <w:marRight w:val="0"/>
          <w:marTop w:val="0"/>
          <w:marBottom w:val="360"/>
          <w:divBdr>
            <w:top w:val="none" w:sz="0" w:space="0" w:color="auto"/>
            <w:left w:val="none" w:sz="0" w:space="0" w:color="auto"/>
            <w:bottom w:val="none" w:sz="0" w:space="0" w:color="auto"/>
            <w:right w:val="none" w:sz="0" w:space="0" w:color="auto"/>
          </w:divBdr>
        </w:div>
        <w:div w:id="1870140841">
          <w:marLeft w:val="547"/>
          <w:marRight w:val="0"/>
          <w:marTop w:val="0"/>
          <w:marBottom w:val="3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image" Target="media/image5.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3.emf"/><Relationship Id="rId28" Type="http://schemas.openxmlformats.org/officeDocument/2006/relationships/footer" Target="footer4.xm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2.emf"/><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youtu.be/_bgPXkIKU04" TargetMode="External"/><Relationship Id="rId13" Type="http://schemas.openxmlformats.org/officeDocument/2006/relationships/hyperlink" Target="https://commission.europa.eu/business-economy-euro/economic-recovery/recovery-and-resilience-facility_sl" TargetMode="External"/><Relationship Id="rId3" Type="http://schemas.openxmlformats.org/officeDocument/2006/relationships/hyperlink" Target="https://cinea.ec.europa.eu/news-events/news/transition-towards-greener-future-western-macedonia-first-project-supported-european-unions-public-2023-11-07_en" TargetMode="External"/><Relationship Id="rId7" Type="http://schemas.openxmlformats.org/officeDocument/2006/relationships/hyperlink" Target="https://www.youtube.com/watch?v=ElSRjJXfYQM" TargetMode="External"/><Relationship Id="rId12" Type="http://schemas.openxmlformats.org/officeDocument/2006/relationships/hyperlink" Target="https://commission.europa.eu/funding-tenders/find-funding/eu-funding-programmes/cohesion-fund-cf_en" TargetMode="External"/><Relationship Id="rId17" Type="http://schemas.openxmlformats.org/officeDocument/2006/relationships/hyperlink" Target="https://dashboard.tech.ec.europa.eu/qs_digit_dashboard_mt/public/sense/app/3744499f-670f-42f8-9ef3-0d98f6cd586f/sheet/4c9ea8df-f0f9-4c0d-b26b-99fc0218d9d9/state/analysis" TargetMode="External"/><Relationship Id="rId2" Type="http://schemas.openxmlformats.org/officeDocument/2006/relationships/hyperlink" Target="https://ec.europa.eu/info/funding-tenders/opportunities/docs/2021-2027/jtm/wp-call/2022/call-fiche_jtm-2022-2025-pslf_en.pdf" TargetMode="External"/><Relationship Id="rId16" Type="http://schemas.openxmlformats.org/officeDocument/2006/relationships/hyperlink" Target="https://ec.europa.eu/regional_policy/funding/just-transition-fund/just-transition-platform/supportground_en" TargetMode="External"/><Relationship Id="rId1" Type="http://schemas.openxmlformats.org/officeDocument/2006/relationships/hyperlink" Target="https://ec.europa.eu/info/funding-tenders/opportunities/docs/2021-2027/jtm/wp-call/2022/call-fiche_jtm-2022-2025-pslf_en.pdf" TargetMode="External"/><Relationship Id="rId6" Type="http://schemas.openxmlformats.org/officeDocument/2006/relationships/hyperlink" Target="https://cinea.ec.europa.eu/news-events/news/construction-ostrava-concert-hall-czechia-receives-european-support-worth-eur-105-million-2024-07-19_en" TargetMode="External"/><Relationship Id="rId11" Type="http://schemas.openxmlformats.org/officeDocument/2006/relationships/hyperlink" Target="https://commission.europa.eu/funding-tenders/find-funding/eu-funding-programmes/european-regional-development-fund-erdf_en" TargetMode="External"/><Relationship Id="rId5" Type="http://schemas.openxmlformats.org/officeDocument/2006/relationships/hyperlink" Target="https://cinea.ec.europa.eu/news-events/news/sustainable-and-affordable-housing-support-green-growth-sweden-2024-04-24_en" TargetMode="External"/><Relationship Id="rId15" Type="http://schemas.openxmlformats.org/officeDocument/2006/relationships/hyperlink" Target="https://commission.europa.eu/funding-tenders/find-funding/eu-funding-programmes/technical-support-instrument/technical-support-instrument-tsi_en" TargetMode="External"/><Relationship Id="rId10" Type="http://schemas.openxmlformats.org/officeDocument/2006/relationships/hyperlink" Target="https://dashboard.tech.ec.europa.eu/qs_digit_dashboard_mt/public/sense/app/3744499f-670f-42f8-9ef3-0d98f6cd586f/sheet/4c9ea8df-f0f9-4c0d-b26b-99fc0218d9d9/state/analysis" TargetMode="External"/><Relationship Id="rId4" Type="http://schemas.openxmlformats.org/officeDocument/2006/relationships/hyperlink" Target="https://cinea.ec.europa.eu/news-events/news/green-mobility-nantes-receives-boost-thanks-eu-support-2024-04-11_en" TargetMode="External"/><Relationship Id="rId9" Type="http://schemas.openxmlformats.org/officeDocument/2006/relationships/hyperlink" Target="https://dashboard.tech.ec.europa.eu/qs_digit_dashboard_mt/public/sense/app/3744499f-670f-42f8-9ef3-0d98f6cd586f/sheet/4c9ea8df-f0f9-4c0d-b26b-99fc0218d9d9/state/analysis" TargetMode="External"/><Relationship Id="rId14" Type="http://schemas.openxmlformats.org/officeDocument/2006/relationships/hyperlink" Target="https://ec.europa.eu/regional_policy/funding/just-transition-fun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Author AuthorRoleName="Writer" AuthorRoleId="a4fbaff4-b07c-48b4-a21e-e7b9eedf3796">
  <Id>c719b8ee-7eb8-4111-a9d9-f2b2571a127c</Id>
  <Names>
    <Latin>
      <FirstName>Clement</FirstName>
      <LastName>GERTHOFFERT</LastName>
    </Latin>
    <Greek>
      <FirstName/>
      <LastName/>
    </Greek>
    <Cyrillic>
      <FirstName/>
      <LastName/>
    </Cyrillic>
    <DocumentScript>
      <FirstName>Clement</FirstName>
      <LastName>GERTHOFFERT</LastName>
      <FullName>Clement GERTHOFFERT</FullName>
    </DocumentScript>
  </Names>
  <Initials>CG</Initials>
  <Gender>m</Gender>
  <Email>Clement.GERTHOFFERT@ec.europa.eu</Email>
  <Service>REGIO.DDG.F</Service>
  <Function ADCode="" ShowInSignature="true" ShowInHeader="false" HeaderText=""/>
  <WebAddress/>
  <InheritedWebAddress>WebAddress</InheritedWebAddress>
  <OrgaEntity1>
    <Id>4dc35747-c691-429e-8d45-7d224e35618c</Id>
    <LogicalLevel>1</LogicalLevel>
    <Name>REGIO</Name>
    <HeadLine1>DIRECTORATE-GENERAL</HeadLine1>
    <HeadLine2>REGIONAL AND URBAN POLICY</HeadLine2>
    <PrimaryAddressId>f03b5801-04c9-4931-aa17-c6d6c70bc579</PrimaryAddressId>
    <SecondaryAddressId/>
    <WebAddress>WebAddress</WebAddress>
    <InheritedWebAddress>WebAddress</InheritedWebAddress>
    <ShowInHeader>true</ShowInHeader>
  </OrgaEntity1>
  <OrgaEntity2>
    <Id>53f05142-d858-4e89-907a-cdf9a328c901</Id>
    <LogicalLevel>2</LogicalLevel>
    <Name>REGIO.DDG.F</Name>
    <HeadLine1>Better Implementation, Closure and Programme Implementation III</HeadLine1>
    <HeadLine2/>
    <PrimaryAddressId>f03b5801-04c9-4931-aa17-c6d6c70bc579</PrimaryAddressId>
    <SecondaryAddressId/>
    <WebAddress/>
    <InheritedWebAddress>WebAddress</InheritedWebAddress>
    <ShowInHeader>true</ShowInHeader>
  </OrgaEntity2>
  <OrgaEntity3>
    <Id>6a295943-1fd0-4c03-b3e8-89df95fea12f</Id>
    <LogicalLevel>3</LogicalLevel>
    <Name>REGIO.DDG.F.1</Name>
    <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8db67e60-1e43-45e3-adb1-30a530a86d95</Id>
      <Name>Petten</Name>
      <PhoneNumberPrefix>+31 224 56 </PhoneNumberPrefix>
      <TranslatedName/>
      <Location>Petten,</Location>
      <Footer>Westerduinweg 3, Postbus Nr. 2, 1755 ZG Petten (N.-H.) - Netherlands. Telephone: +31 224 56 5656</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1264fb81-f6bb-475e-9f9d-a937d3be6ee2</AddressId>
    <Fax/>
    <Phone>+352 4301-54898</Phone>
    <Office>BU-1 01/105</Office>
  </MainWorkplace>
  <Workplaces>
    <Workplace IsMain="false">
      <AddressId>8db67e60-1e43-45e3-adb1-30a530a86d95</AddressId>
      <Fax/>
      <Phone/>
      <Office/>
    </Workplace>
    <Workplace IsMain="true">
      <AddressId>1264fb81-f6bb-475e-9f9d-a937d3be6ee2</AddressId>
      <Fax/>
      <Phone>+352 4301-54898</Phone>
      <Office>BU-1 01/105</Office>
    </Workplace>
  </Workplaces>
</Author>
</file>

<file path=customXml/item3.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6" ma:contentTypeDescription="Create a new document." ma:contentTypeScope="" ma:versionID="fc46edefa434efdd29e0129592dd2a32">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c3c333a3a070f3aaa4b307556ccbb5d4"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|https://myintracomm.ec.europa.eu/corp/security/EN/newDS3/SensitiveInformation/Pages/SPECIAL-HANDLING-INFORMATION-DG-COMP.aspx?ln=en}</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|https://myintracomm.ec.europa.eu/corp/security/EN/newDS3/SensitiveInformation/Pages/SPECIAL-HANDLING-INFORMATION-DG-CLIMA.aspx?ln=en}</CLIMAfootnotetext>
  <SensitiveHandling>Distribution only on a 'Need to know' basis -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ecurityEtsSensitive>ETS</SecurityEtsSensitive>
  <NoteHead>Note for the attention of</NoteHead>
  <SecurityEtsCritical>ETS Critical</SecurityEtsCritical>
  <SecurityCompSpecial>COMP</SecurityCompSpecial>
  <EmbargoUnlimited>Embargo (Unlimited)</EmbargoUnlimited>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Year> ({field: DATE \@ "yyyy" })</Year>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6.xml><?xml version="1.0" encoding="utf-8"?>
<Author Role="Creator" AuthorRoleName="Signatory" AuthorRoleId="dd422d74-d41f-4095-8cb8-8304a90a6b0c">
  <Id>c719b8ee-7eb8-4111-a9d9-f2b2571a127c</Id>
  <Names>
    <Latin>
      <FirstName>Clement</FirstName>
      <LastName>GERTHOFFERT</LastName>
    </Latin>
    <Greek>
      <FirstName/>
      <LastName/>
    </Greek>
    <Cyrillic>
      <FirstName/>
      <LastName/>
    </Cyrillic>
    <DocumentScript>
      <FirstName>Clement</FirstName>
      <LastName>GERTHOFFERT</LastName>
      <FullName>Clement GERTHOFFERT</FullName>
    </DocumentScript>
  </Names>
  <Initials>CG</Initials>
  <Gender>m</Gender>
  <Email>Clement.GERTHOFFERT@ec.europa.eu</Email>
  <Service>REGIO.DDG.F.1</Service>
  <Function ADCode="" ShowInSignature="true" ShowInHeader="false" HeaderText=""/>
  <WebAddress/>
  <InheritedWebAddress>WebAddress</InheritedWebAddress>
  <OrgaEntity1>
    <Id>4dc35747-c691-429e-8d45-7d224e35618c</Id>
    <LogicalLevel>1</LogicalLevel>
    <Name>REGIO</Name>
    <HeadLine1>DIRECTORATE-GENERAL</HeadLine1>
    <HeadLine2>REGIONAL AND URBAN POLICY</HeadLine2>
    <PrimaryAddressId>f03b5801-04c9-4931-aa17-c6d6c70bc579</PrimaryAddressId>
    <SecondaryAddressId/>
    <WebAddress>WebAddress</WebAddress>
    <InheritedWebAddress>WebAddress</InheritedWebAddress>
    <ShowInHeader>true</ShowInHeader>
  </OrgaEntity1>
  <OrgaEntity2>
    <Id>53f05142-d858-4e89-907a-cdf9a328c901</Id>
    <LogicalLevel>2</LogicalLevel>
    <Name>REGIO.DDG.F</Name>
    <HeadLine1>Closure, Major Projects and Programme Implementation III</HeadLine1>
    <HeadLine2/>
    <PrimaryAddressId>f03b5801-04c9-4931-aa17-c6d6c70bc579</PrimaryAddressId>
    <SecondaryAddressId/>
    <WebAddress/>
    <InheritedWebAddress>WebAddress</InheritedWebAddress>
    <ShowInHeader>true</ShowInHeader>
  </OrgaEntity2>
  <OrgaEntity3>
    <Id>6a295943-1fd0-4c03-b3e8-89df95fea12f</Id>
    <LogicalLevel>3</LogicalLevel>
    <Name>REGIO.DDG.F.1</Name>
    <HeadLine1>Closure and Major Projects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8db67e60-1e43-45e3-adb1-30a530a86d95</Id>
      <Name>Petten</Name>
      <PhoneNumberPrefix>+31 224 56 </PhoneNumberPrefix>
      <TranslatedName/>
      <Location>Petten,</Location>
      <Footer>Westerduinweg 3, Postbus Nr. 2, 1755 ZG Petten (N.-H.) - Netherlands. Telephone: +31 224 56 5656</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1264fb81-f6bb-475e-9f9d-a937d3be6ee2</AddressId>
    <Fax/>
    <Phone>+352 4301-54898</Phone>
    <Office>BU-1 01/105</Office>
  </MainWorkplace>
  <Workplaces>
    <Workplace IsMain="false">
      <AddressId>8db67e60-1e43-45e3-adb1-30a530a86d95</AddressId>
      <Fax/>
      <Phone/>
      <Office/>
    </Workplace>
    <Workplace IsMain="true">
      <AddressId>1264fb81-f6bb-475e-9f9d-a937d3be6ee2</AddressId>
      <Fax/>
      <Phone>+352 4301-54898</Phone>
      <Office>BU-1 01/105</Office>
    </Workplace>
  </Workplaces>
</Author>
</file>

<file path=customXml/item7.xml><?xml version="1.0" encoding="utf-8"?>
<EurolookProperties>
  <ProductCustomizationId>EC</ProductCustomizationId>
  <Created>
    <Version>10.0.40769.0</Version>
    <Date>2020-09-03T09:54:34</Date>
    <Language>EN</Language>
    <Note/>
  </Created>
  <Edited>
    <Version>10.0.42447.0</Version>
    <Date>2022-02-17T09:23:42</Date>
  </Edited>
  <DocumentModel>
    <Id>0b054141-88b1-4efb-8c91-2905cb0bed6c</Id>
    <Name>Note</Name>
  </DocumentModel>
  <DocumentDate>2020-09-03T09:54:34</DocumentDate>
  <DocumentVersion>0.1</DocumentVersion>
  <CompatibilityMode>Eurolook10</CompatibilityMode>
</Eurolook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FF829-DD9B-4C96-9949-F3815DEE7C76}">
  <ds:schemaRefs>
    <ds:schemaRef ds:uri="http://schemas.microsoft.com/sharepoint/v3/contenttype/forms"/>
  </ds:schemaRefs>
</ds:datastoreItem>
</file>

<file path=customXml/itemProps2.xml><?xml version="1.0" encoding="utf-8"?>
<ds:datastoreItem xmlns:ds="http://schemas.openxmlformats.org/officeDocument/2006/customXml" ds:itemID="{4CC14091-3C38-447B-8B25-C0922BCBD1A7}">
  <ds:schemaRefs/>
</ds:datastoreItem>
</file>

<file path=customXml/itemProps3.xml><?xml version="1.0" encoding="utf-8"?>
<ds:datastoreItem xmlns:ds="http://schemas.openxmlformats.org/officeDocument/2006/customXml" ds:itemID="{C253CC68-970F-48B4-921A-818ADF98C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028C47-EAE9-4DD6-A4DF-1C19991CA8FC}">
  <ds:schemaRefs>
    <ds:schemaRef ds:uri="541a8a8b-b856-4d35-a5c7-7f2c0ec3d499"/>
    <ds:schemaRef ds:uri="http://www.w3.org/XML/1998/namespace"/>
    <ds:schemaRef ds:uri="e0757b53-df10-4b98-9811-094c4c3e23a8"/>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921F28C1-052D-4020-BDA7-1510DA8B0624}">
  <ds:schemaRefs/>
</ds:datastoreItem>
</file>

<file path=customXml/itemProps7.xml><?xml version="1.0" encoding="utf-8"?>
<ds:datastoreItem xmlns:ds="http://schemas.openxmlformats.org/officeDocument/2006/customXml" ds:itemID="{D3EA5527-7367-4268-9D83-5125C98D0ED2}">
  <ds:schemaRefs/>
</ds:datastoreItem>
</file>

<file path=customXml/itemProps8.xml><?xml version="1.0" encoding="utf-8"?>
<ds:datastoreItem xmlns:ds="http://schemas.openxmlformats.org/officeDocument/2006/customXml" ds:itemID="{65C3AE7B-289E-4C12-A438-AF1935DF2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5483</Words>
  <Characters>31257</Characters>
  <Application>Microsoft Office Word</Application>
  <DocSecurity>0</DocSecurity>
  <PresentationFormat>Microsoft Word 14.0</PresentationFormat>
  <Lines>260</Lines>
  <Paragraphs>73</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2024-08-30T13:11:00Z</dcterms:created>
  <dcterms:modified xsi:type="dcterms:W3CDTF">2024-09-24T09:24:00Z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2024-07-19T14:11:21Z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28a0a0f9-862f-4719-a668-2d0dc151745f</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_LW_INVALIDATED_EurolookVersion">
    <vt:lpwstr>10.0</vt:lpwstr>
  </property>
  <property fmtid="{D5CDD505-2E9C-101B-9397-08002B2CF9AE}" pid="11" name="_LW_INVALIDATED_ELDocType">
    <vt:lpwstr>not.dot</vt:lpwstr>
  </property>
  <property fmtid="{D5CDD505-2E9C-101B-9397-08002B2CF9AE}" pid="12" name="Part">
    <vt:lpwstr>1</vt:lpwstr>
  </property>
  <property fmtid="{D5CDD505-2E9C-101B-9397-08002B2CF9AE}" pid="13" name="Total parts">
    <vt:lpwstr>1</vt:lpwstr>
  </property>
  <property fmtid="{D5CDD505-2E9C-101B-9397-08002B2CF9AE}" pid="14" name="DocStatus">
    <vt:lpwstr>Green</vt:lpwstr>
  </property>
  <property fmtid="{D5CDD505-2E9C-101B-9397-08002B2CF9AE}" pid="15" name="CPTemplateID">
    <vt:lpwstr>CP-006</vt:lpwstr>
  </property>
  <property fmtid="{D5CDD505-2E9C-101B-9397-08002B2CF9AE}" pid="16" name="Last edited using">
    <vt:lpwstr>LW 9.0, Build 20230317</vt:lpwstr>
  </property>
  <property fmtid="{D5CDD505-2E9C-101B-9397-08002B2CF9AE}" pid="17" name="Created using">
    <vt:lpwstr>LW 8.1, Build 20220902</vt:lpwstr>
  </property>
  <property fmtid="{D5CDD505-2E9C-101B-9397-08002B2CF9AE}" pid="18" name="ContentTypeId">
    <vt:lpwstr>0x010100087E4EC354ADFB40AC5D4FC129E379BA</vt:lpwstr>
  </property>
  <property fmtid="{D5CDD505-2E9C-101B-9397-08002B2CF9AE}" pid="19" name="ClassificationContentMarkingHeaderShapeIds">
    <vt:lpwstr>2,5,6</vt:lpwstr>
  </property>
  <property fmtid="{D5CDD505-2E9C-101B-9397-08002B2CF9AE}" pid="20" name="ClassificationContentMarkingHeaderFontProps">
    <vt:lpwstr>#808080,10,Calibri</vt:lpwstr>
  </property>
  <property fmtid="{D5CDD505-2E9C-101B-9397-08002B2CF9AE}" pid="21" name="ClassificationContentMarkingHeaderText">
    <vt:lpwstr>Corporate Use</vt:lpwstr>
  </property>
  <property fmtid="{D5CDD505-2E9C-101B-9397-08002B2CF9AE}" pid="22" name="MSIP_Label_9b5154d6-21c1-415b-b061-7427a4708b37_Enabled">
    <vt:lpwstr>true</vt:lpwstr>
  </property>
  <property fmtid="{D5CDD505-2E9C-101B-9397-08002B2CF9AE}" pid="23" name="MSIP_Label_9b5154d6-21c1-415b-b061-7427a4708b37_SetDate">
    <vt:lpwstr>2024-06-06T14:35:47Z</vt:lpwstr>
  </property>
  <property fmtid="{D5CDD505-2E9C-101B-9397-08002B2CF9AE}" pid="24" name="MSIP_Label_9b5154d6-21c1-415b-b061-7427a4708b37_Method">
    <vt:lpwstr>Privileged</vt:lpwstr>
  </property>
  <property fmtid="{D5CDD505-2E9C-101B-9397-08002B2CF9AE}" pid="25" name="MSIP_Label_9b5154d6-21c1-415b-b061-7427a4708b37_Name">
    <vt:lpwstr>Default Corporate Use</vt:lpwstr>
  </property>
  <property fmtid="{D5CDD505-2E9C-101B-9397-08002B2CF9AE}" pid="26" name="MSIP_Label_9b5154d6-21c1-415b-b061-7427a4708b37_SiteId">
    <vt:lpwstr>0b96d5d2-d153-4370-a2c7-8a926f24c8a1</vt:lpwstr>
  </property>
  <property fmtid="{D5CDD505-2E9C-101B-9397-08002B2CF9AE}" pid="27" name="MSIP_Label_9b5154d6-21c1-415b-b061-7427a4708b37_ActionId">
    <vt:lpwstr>25867382-c9ab-49c3-9bca-f00f02886e55</vt:lpwstr>
  </property>
  <property fmtid="{D5CDD505-2E9C-101B-9397-08002B2CF9AE}" pid="28" name="MSIP_Label_9b5154d6-21c1-415b-b061-7427a4708b37_ContentBits">
    <vt:lpwstr>1</vt:lpwstr>
  </property>
</Properties>
</file>