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E0441" w14:textId="63B06139" w:rsidR="00497577" w:rsidRPr="001019C9" w:rsidRDefault="00DF6FB4" w:rsidP="00DF6FB4">
      <w:pPr>
        <w:pStyle w:val="Pagedecouverture"/>
        <w:rPr>
          <w:noProof/>
        </w:rPr>
      </w:pPr>
      <w:bookmarkStart w:id="0" w:name="_Hlk172550630"/>
      <w:bookmarkStart w:id="1" w:name="LW_BM_COVERPAGE"/>
      <w:r>
        <w:rPr>
          <w:noProof/>
        </w:rPr>
        <w:pict w14:anchorId="2846D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2A991B0-EBAA-4237-A2FD-6C8A8BB186C9" style="width:455.25pt;height:378.75pt">
            <v:imagedata r:id="rId7" o:title=""/>
          </v:shape>
        </w:pict>
      </w:r>
    </w:p>
    <w:bookmarkEnd w:id="1"/>
    <w:p w14:paraId="7A90DC29" w14:textId="77777777" w:rsidR="00497577" w:rsidRPr="001019C9" w:rsidRDefault="00497577" w:rsidP="000F35AF">
      <w:pPr>
        <w:spacing w:before="240" w:after="120" w:line="240" w:lineRule="auto"/>
        <w:jc w:val="both"/>
        <w:rPr>
          <w:noProof/>
        </w:rPr>
        <w:sectPr w:rsidR="00497577" w:rsidRPr="001019C9" w:rsidSect="00DF6FB4">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1"/>
          <w:cols w:space="720"/>
          <w:docGrid w:linePitch="360"/>
        </w:sectPr>
      </w:pPr>
    </w:p>
    <w:p w14:paraId="1015B058" w14:textId="6B054D29" w:rsidR="006B0007" w:rsidRPr="001019C9" w:rsidRDefault="008212A4" w:rsidP="006B0007">
      <w:pPr>
        <w:spacing w:before="240" w:after="120" w:line="240" w:lineRule="auto"/>
        <w:jc w:val="center"/>
        <w:rPr>
          <w:rFonts w:ascii="Times New Roman" w:hAnsi="Times New Roman" w:cs="Times New Roman"/>
          <w:b/>
          <w:bCs/>
          <w:noProof/>
          <w:sz w:val="24"/>
          <w:szCs w:val="24"/>
        </w:rPr>
      </w:pPr>
      <w:bookmarkStart w:id="2" w:name="_GoBack"/>
      <w:bookmarkEnd w:id="2"/>
      <w:r>
        <w:rPr>
          <w:rFonts w:ascii="Times New Roman" w:hAnsi="Times New Roman"/>
          <w:b/>
          <w:noProof/>
          <w:sz w:val="24"/>
        </w:rPr>
        <w:lastRenderedPageBreak/>
        <w:t>ΕΚΘΕΣΗ ΤΗΣ ΕΠΙΤΡΟΠΗΣ</w:t>
      </w:r>
    </w:p>
    <w:p w14:paraId="4921907E" w14:textId="19954F73" w:rsidR="006B0007" w:rsidRPr="001019C9" w:rsidRDefault="008212A4" w:rsidP="006B0007">
      <w:pPr>
        <w:spacing w:before="240" w:after="120" w:line="240" w:lineRule="auto"/>
        <w:jc w:val="center"/>
        <w:rPr>
          <w:rFonts w:ascii="Times New Roman" w:hAnsi="Times New Roman" w:cs="Times New Roman"/>
          <w:b/>
          <w:bCs/>
          <w:noProof/>
          <w:sz w:val="24"/>
          <w:szCs w:val="24"/>
        </w:rPr>
      </w:pPr>
      <w:r>
        <w:rPr>
          <w:rFonts w:ascii="Times New Roman" w:hAnsi="Times New Roman"/>
          <w:b/>
          <w:noProof/>
          <w:sz w:val="24"/>
        </w:rPr>
        <w:t>ΠΡΟΣ ΤΟ ΕΥΡΩΠΑΪΚΟ ΚΟΙΝΟΒΟΥΛΙΟ ΚΑΙ ΤΟ ΣΥΜΒΟΥΛΙΟ</w:t>
      </w:r>
    </w:p>
    <w:p w14:paraId="65B19427" w14:textId="456E0D9D" w:rsidR="008212A4" w:rsidRPr="001019C9" w:rsidRDefault="008212A4" w:rsidP="006B0007">
      <w:pPr>
        <w:spacing w:before="240" w:after="120" w:line="240" w:lineRule="auto"/>
        <w:jc w:val="center"/>
        <w:rPr>
          <w:rFonts w:ascii="Times New Roman" w:hAnsi="Times New Roman" w:cs="Times New Roman"/>
          <w:b/>
          <w:bCs/>
          <w:noProof/>
          <w:sz w:val="24"/>
          <w:szCs w:val="24"/>
        </w:rPr>
      </w:pPr>
      <w:r>
        <w:rPr>
          <w:rFonts w:ascii="Times New Roman" w:hAnsi="Times New Roman"/>
          <w:b/>
          <w:noProof/>
          <w:sz w:val="24"/>
        </w:rPr>
        <w:t>για την άσκηση της εξουσιοδότησης που έχει ανατεθεί στην Επιτροπή σύμφωνα με τον κανονισμό (ΕΕ) 2020/741 του Ευρωπαϊκού Κοινοβουλίου και του Συμβουλίου, της 25ης Μαΐου 2020, σχετικά με τις ελάχιστες απαιτήσεις για την επαναχρησιμοποίηση των υδάτων (κανονισμός για την επαναχρησιμοποίηση των υδάτων)</w:t>
      </w:r>
    </w:p>
    <w:p w14:paraId="1ADD23E3" w14:textId="7AA4F9CA" w:rsidR="008212A4" w:rsidRPr="001019C9" w:rsidRDefault="008212A4" w:rsidP="000F35AF">
      <w:pPr>
        <w:pStyle w:val="Heading1"/>
        <w:spacing w:after="120" w:line="240" w:lineRule="auto"/>
        <w:jc w:val="both"/>
        <w:rPr>
          <w:rFonts w:ascii="Times New Roman" w:hAnsi="Times New Roman" w:cs="Times New Roman"/>
          <w:b/>
          <w:bCs/>
          <w:noProof/>
          <w:color w:val="auto"/>
          <w:sz w:val="24"/>
          <w:szCs w:val="24"/>
        </w:rPr>
      </w:pPr>
      <w:r>
        <w:rPr>
          <w:rFonts w:ascii="Times New Roman" w:hAnsi="Times New Roman"/>
          <w:b/>
          <w:noProof/>
          <w:color w:val="auto"/>
          <w:sz w:val="24"/>
        </w:rPr>
        <w:t>1. ΕΙΣΑΓΩΓΗ</w:t>
      </w:r>
    </w:p>
    <w:p w14:paraId="133F32FB" w14:textId="1F25861B" w:rsidR="001C6CB6" w:rsidRPr="001019C9" w:rsidRDefault="001C6CB6" w:rsidP="000F35AF">
      <w:pPr>
        <w:spacing w:before="240" w:after="120" w:line="240" w:lineRule="auto"/>
        <w:jc w:val="both"/>
        <w:rPr>
          <w:rFonts w:ascii="Times New Roman" w:hAnsi="Times New Roman" w:cs="Times New Roman"/>
          <w:noProof/>
          <w:sz w:val="24"/>
          <w:szCs w:val="24"/>
        </w:rPr>
      </w:pPr>
      <w:r>
        <w:rPr>
          <w:rFonts w:ascii="Times New Roman" w:hAnsi="Times New Roman"/>
          <w:noProof/>
          <w:sz w:val="24"/>
        </w:rPr>
        <w:t>Ο κανονισμός (ΕΕ) 2020/741 σχετικά με τις ελάχιστες απαιτήσεις για την επαναχρησιμοποίηση των υδάτων</w:t>
      </w:r>
      <w:r>
        <w:rPr>
          <w:rStyle w:val="FootnoteReference"/>
          <w:rFonts w:ascii="Times New Roman" w:hAnsi="Times New Roman" w:cs="Times New Roman"/>
          <w:noProof/>
          <w:sz w:val="24"/>
          <w:szCs w:val="24"/>
        </w:rPr>
        <w:footnoteReference w:id="1"/>
      </w:r>
      <w:r>
        <w:rPr>
          <w:rFonts w:ascii="Times New Roman" w:hAnsi="Times New Roman"/>
          <w:noProof/>
          <w:sz w:val="24"/>
        </w:rPr>
        <w:t xml:space="preserve"> (στο εξής: κανονισμός για την επαναχρησιμοποίηση των υδάτων) καθορίζει εναρμονισμένες ελάχιστες απαιτήσεις για την ποιότητα των υδάτων με στόχο την ασφαλή επαναχρησιμοποίηση των επεξεργασμένων αστικών λυμάτων για γεωργική άρδευση. Επιπλέον, καθορίζει ελάχιστες απαιτήσεις παρακολούθησης, διατάξεις διαχείρισης κινδύνου, απαιτήσεις αδειοδότησης και διατάξεις σχετικά με τη διαφάνεια, οι οποίες ορίζουν ότι οι βασικές πληροφορίες σχετικά με τα έργα επαναχρησιμοποίησης των υδάτων πρέπει να διατίθενται στο κοινό.</w:t>
      </w:r>
    </w:p>
    <w:p w14:paraId="00E01990" w14:textId="12E41454" w:rsidR="006B0007" w:rsidRPr="001019C9" w:rsidRDefault="001C6CB6" w:rsidP="000F35AF">
      <w:pPr>
        <w:spacing w:before="240" w:after="120" w:line="240" w:lineRule="auto"/>
        <w:jc w:val="both"/>
        <w:rPr>
          <w:rFonts w:ascii="Times New Roman" w:hAnsi="Times New Roman" w:cs="Times New Roman"/>
          <w:noProof/>
          <w:sz w:val="24"/>
          <w:szCs w:val="24"/>
        </w:rPr>
      </w:pPr>
      <w:r>
        <w:rPr>
          <w:rFonts w:ascii="Times New Roman" w:hAnsi="Times New Roman"/>
          <w:noProof/>
          <w:sz w:val="24"/>
        </w:rPr>
        <w:t>Βάσει του κανονισμού για την επαναχρησιμοποίηση των υδάτων, απαιτείται άδεια για την παραγωγή και παροχή ανακτημένου νερού. Η άδεια πρέπει να βασίζεται σε διεξοδικό σχέδιο διαχείρισης κινδύνου που να καλύπτει όλα τα βασικά στοιχεία που ορίζονται στο παράρτημα ΙΙ του κανονισμού. Κατόπιν ανάλυσης με γνώμονα τα βασικά στοιχεία του παραρτήματος ΙΙ, ένα σχέδιο διαχείρισης κινδύνου θα πρέπει να προσδιορίζει τυχόν πρόσθετες απαιτήσεις για την ποιότητα των υδάτων που είναι αναγκαίες για τη διασφάλιση της επαρκούς προστασίας της υγείας του ανθρώπου και των ζώων, καθώς και του περιβάλλοντος.</w:t>
      </w:r>
    </w:p>
    <w:p w14:paraId="282F7547" w14:textId="179FB9A4" w:rsidR="001C6CB6" w:rsidRPr="001019C9" w:rsidRDefault="001C6CB6" w:rsidP="000F35AF">
      <w:pPr>
        <w:spacing w:before="240" w:after="120" w:line="240" w:lineRule="auto"/>
        <w:jc w:val="both"/>
        <w:rPr>
          <w:rFonts w:ascii="Times New Roman" w:hAnsi="Times New Roman" w:cs="Times New Roman"/>
          <w:noProof/>
          <w:sz w:val="24"/>
          <w:szCs w:val="24"/>
        </w:rPr>
      </w:pPr>
      <w:r>
        <w:rPr>
          <w:rFonts w:ascii="Times New Roman" w:hAnsi="Times New Roman"/>
          <w:noProof/>
          <w:sz w:val="24"/>
        </w:rPr>
        <w:t>Αναγνωρίζοντας ότι η διαχείριση κινδύνου έχει καίρια σημασία για τη διαφύλαξη της ασφάλειας της επαναχρησιμοποίησης των υδάτων, ο κανονισμός για την επαναχρησιμοποίηση των υδάτων εξουσιοδοτεί την Επιτροπή να εκδίδει κατ’ εξουσιοδότηση πράξεις για την τροποποίηση του κανονισμού με σκοπό την προσαρμογή των βασικών στοιχείων διαχείρισης κινδύνου που ορίζονται στο παράρτημα II στην τεχνική και επιστημονική πρόοδο. Η Επιτροπή μπορεί επίσης να εκδίδει κατ’ εξουσιοδότηση πράξεις για τη συμπλήρωση του κανονισμού με τεχνικές προδιαγραφές αυτών των βασικών στοιχείων.</w:t>
      </w:r>
    </w:p>
    <w:p w14:paraId="146EECD8" w14:textId="5CD3CFC0" w:rsidR="001C6CB6" w:rsidRPr="001019C9" w:rsidRDefault="001C6CB6" w:rsidP="000F35AF">
      <w:pPr>
        <w:spacing w:before="240" w:after="120" w:line="240" w:lineRule="auto"/>
        <w:jc w:val="both"/>
        <w:rPr>
          <w:rFonts w:ascii="Times New Roman" w:hAnsi="Times New Roman" w:cs="Times New Roman"/>
          <w:noProof/>
          <w:sz w:val="24"/>
          <w:szCs w:val="24"/>
        </w:rPr>
      </w:pPr>
      <w:r>
        <w:rPr>
          <w:rFonts w:ascii="Times New Roman" w:hAnsi="Times New Roman"/>
          <w:noProof/>
          <w:sz w:val="24"/>
        </w:rPr>
        <w:t>Ο κανονισμός για την επαναχρησιμοποίηση των υδάτων απαιτεί από την Επιτροπή να συντάξει έκθεση σχετικά με τον τρόπο με τον οποίο χρησιμοποίησε αυτή την εξουσιοδότηση. Η παρούσα έκθεση επικεντρώνεται στον κατ’ εξουσιοδότηση κανονισμό (ΕΕ) 2024/1765, που συμπληρώνει τον κανονισμό (ΕΕ) 2020/741, όσον αφορά τις τεχνικές προδιαγραφές των βασικών στοιχείων της διαχείρισης κινδύνου</w:t>
      </w:r>
      <w:r>
        <w:rPr>
          <w:rStyle w:val="FootnoteReference"/>
          <w:rFonts w:ascii="Times New Roman" w:hAnsi="Times New Roman" w:cs="Times New Roman"/>
          <w:noProof/>
          <w:sz w:val="24"/>
          <w:szCs w:val="24"/>
        </w:rPr>
        <w:footnoteReference w:id="2"/>
      </w:r>
      <w:r>
        <w:rPr>
          <w:rFonts w:ascii="Times New Roman" w:hAnsi="Times New Roman"/>
          <w:noProof/>
          <w:sz w:val="24"/>
        </w:rPr>
        <w:t>.</w:t>
      </w:r>
    </w:p>
    <w:p w14:paraId="58E7E2F8" w14:textId="57C46097" w:rsidR="008212A4" w:rsidRPr="001019C9" w:rsidRDefault="008212A4" w:rsidP="000F35AF">
      <w:pPr>
        <w:pStyle w:val="Heading1"/>
        <w:spacing w:after="120" w:line="240" w:lineRule="auto"/>
        <w:jc w:val="both"/>
        <w:rPr>
          <w:rFonts w:ascii="Times New Roman" w:hAnsi="Times New Roman" w:cs="Times New Roman"/>
          <w:b/>
          <w:bCs/>
          <w:noProof/>
          <w:color w:val="auto"/>
          <w:sz w:val="24"/>
          <w:szCs w:val="24"/>
        </w:rPr>
      </w:pPr>
      <w:r>
        <w:rPr>
          <w:rFonts w:ascii="Times New Roman" w:hAnsi="Times New Roman"/>
          <w:b/>
          <w:noProof/>
          <w:color w:val="auto"/>
          <w:sz w:val="24"/>
        </w:rPr>
        <w:t>2. ΝΟΜΙΚΗ ΒΑΣΗ</w:t>
      </w:r>
    </w:p>
    <w:p w14:paraId="58FA4FCB" w14:textId="06BDAED2" w:rsidR="006B0007" w:rsidRPr="001019C9" w:rsidRDefault="001019C9" w:rsidP="000F35AF">
      <w:pPr>
        <w:spacing w:before="240" w:after="120" w:line="240" w:lineRule="auto"/>
        <w:jc w:val="both"/>
        <w:rPr>
          <w:rFonts w:ascii="Times New Roman" w:hAnsi="Times New Roman" w:cs="Times New Roman"/>
          <w:noProof/>
          <w:sz w:val="24"/>
          <w:szCs w:val="24"/>
        </w:rPr>
      </w:pPr>
      <w:r>
        <w:rPr>
          <w:rFonts w:ascii="Times New Roman" w:hAnsi="Times New Roman"/>
          <w:noProof/>
          <w:sz w:val="24"/>
        </w:rPr>
        <w:t>Σύμφωνα με το άρθρο 13 παράγραφος 2 του κανονισμού για την επαναχρησιμοποίηση των υδάτων, η εξουσιοδότηση ανατίθεται στην Επιτροπή για πέντε έτη, αρχής γενομένης από τις 25 Ιουνίου 2020. Η Επιτροπή έχει την υποχρέωση να υποβάλει έκθεση σχετικά με τις εξουσίες που της έχουν ανατεθεί το αργότερο εννέα μήνες πριν από τη λήξη της περιόδου πέντε ετών, ήτοι πριν από τις 24 Σεπτεμβρίου 2024.</w:t>
      </w:r>
    </w:p>
    <w:p w14:paraId="4AE3B92C" w14:textId="35E85268" w:rsidR="00DA1F35" w:rsidRPr="001019C9" w:rsidRDefault="00124B35" w:rsidP="000F35AF">
      <w:pPr>
        <w:spacing w:before="240" w:after="120" w:line="240" w:lineRule="auto"/>
        <w:jc w:val="both"/>
        <w:rPr>
          <w:rFonts w:ascii="Times New Roman" w:hAnsi="Times New Roman" w:cs="Times New Roman"/>
          <w:noProof/>
          <w:sz w:val="24"/>
          <w:szCs w:val="24"/>
        </w:rPr>
      </w:pPr>
      <w:r>
        <w:rPr>
          <w:rFonts w:ascii="Times New Roman" w:hAnsi="Times New Roman"/>
          <w:noProof/>
          <w:sz w:val="24"/>
        </w:rPr>
        <w:t>Η εξουσιοδότηση αυτή ανανεώνεται αυτομάτως για περιόδους ίδιας διάρκειας, εκτός αν το Ευρωπαϊκό Κοινοβούλιο ή το Συμβούλιο προβάλλουν αντιρρήσεις σύμφωνα με το άρθρο 13 παράγραφος 2.</w:t>
      </w:r>
    </w:p>
    <w:p w14:paraId="750C2F67" w14:textId="2CAE2863" w:rsidR="008212A4" w:rsidRPr="001019C9" w:rsidRDefault="008212A4" w:rsidP="000F35AF">
      <w:pPr>
        <w:pStyle w:val="Heading1"/>
        <w:spacing w:after="120" w:line="240" w:lineRule="auto"/>
        <w:rPr>
          <w:rFonts w:ascii="Times New Roman" w:hAnsi="Times New Roman" w:cs="Times New Roman"/>
          <w:b/>
          <w:bCs/>
          <w:noProof/>
          <w:color w:val="auto"/>
          <w:sz w:val="24"/>
          <w:szCs w:val="24"/>
        </w:rPr>
      </w:pPr>
      <w:r>
        <w:rPr>
          <w:rFonts w:ascii="Times New Roman" w:hAnsi="Times New Roman"/>
          <w:b/>
          <w:noProof/>
          <w:color w:val="auto"/>
          <w:sz w:val="24"/>
        </w:rPr>
        <w:t>3. ΑΣΚΗΣΗ ΤΗΣ ΕΞΟΥΣΙΟΔΟΤΗΣΗΣ</w:t>
      </w:r>
    </w:p>
    <w:p w14:paraId="127B561D" w14:textId="724F06DB" w:rsidR="00614A56" w:rsidRPr="001019C9" w:rsidRDefault="0001629B" w:rsidP="000F35AF">
      <w:pPr>
        <w:spacing w:before="240" w:after="120" w:line="240" w:lineRule="auto"/>
        <w:jc w:val="both"/>
        <w:rPr>
          <w:rFonts w:ascii="Times New Roman" w:hAnsi="Times New Roman" w:cs="Times New Roman"/>
          <w:noProof/>
          <w:sz w:val="24"/>
          <w:szCs w:val="24"/>
        </w:rPr>
      </w:pPr>
      <w:r>
        <w:rPr>
          <w:rFonts w:ascii="Times New Roman" w:hAnsi="Times New Roman"/>
          <w:noProof/>
          <w:sz w:val="24"/>
        </w:rPr>
        <w:t>Σύμφωνα με το άρθρο 5 παράγραφος 5 του κανονισμού για την επαναχρησιμοποίηση των υδάτων, ανατίθεται στην Επιτροπή η εξουσία να εκδίδει κατ’ εξουσιοδότηση πράξεις για την τροποποίηση του εν λόγω κανονισμού προκειμένου να προσαρμόσει τα βασικά στοιχεία διαχείρισης κινδύνου που ορίζονται στο παράρτημα II στην τεχνική και επιστημονική πρόοδο. Από την έναρξη ισχύος του κανονισμού για την επαναχρησιμοποίηση των υδάτων, δεν έχουν προκύψει επιστημονικές ή τεχνικές εξελίξεις που να απαιτούν την επικαιροποίηση του παραρτήματος ΙΙ. Ως εκ τούτου, κατά τη διάρκεια της πενταετούς περιόδου από τις 25 Ιουνίου 2020 η Επιτροπή δεν έχει ασκήσει την ανατεθείσα εξουσιοδότηση τροποποίησης του κανονισμού.</w:t>
      </w:r>
    </w:p>
    <w:p w14:paraId="0CFC8DB0" w14:textId="0EE4D058" w:rsidR="00494385" w:rsidRPr="001019C9" w:rsidRDefault="00494385" w:rsidP="000F35AF">
      <w:pPr>
        <w:spacing w:before="240" w:after="120" w:line="240" w:lineRule="auto"/>
        <w:jc w:val="both"/>
        <w:rPr>
          <w:rFonts w:ascii="Times New Roman" w:hAnsi="Times New Roman" w:cs="Times New Roman"/>
          <w:noProof/>
          <w:sz w:val="24"/>
          <w:szCs w:val="24"/>
        </w:rPr>
      </w:pPr>
      <w:r>
        <w:rPr>
          <w:rFonts w:ascii="Times New Roman" w:hAnsi="Times New Roman"/>
          <w:noProof/>
          <w:sz w:val="24"/>
        </w:rPr>
        <w:t>Σύμφωνα με το ίδιο άρθρο, στο δεύτερο εδάφιο, ανατίθεται στην Επιτροπή η εξουσία να εκδίδει κατ’ εξουσιοδότηση πράξεις για τη συμπλήρωση του εν λόγω κανονισμού, προκειμένου να καθορίσει τις τεχνικές προδιαγραφές των βασικών στοιχείων διαχείρισης κινδύνου που ορίζονται στο παράρτημα II. Η Επιτροπή εξέδωσε μία κατ’ εξουσιοδότηση πράξη, τον κατ’ εξουσιοδότηση κανονισμό (ΕΕ) 2024/1765 της Επιτροπής, της 11ης Μαρτίου 2024, για τη συμπλήρωση του κανονισμού (ΕΕ) 2020/741 του Ευρωπαϊκού Κοινοβουλίου και του Συμβουλίου όσον αφορά τις τεχνικές προδιαγραφές των βασικών στοιχείων διαχείρισης κινδύνου</w:t>
      </w:r>
      <w:r>
        <w:rPr>
          <w:rStyle w:val="FootnoteReference"/>
          <w:rFonts w:ascii="Times New Roman" w:hAnsi="Times New Roman" w:cs="Times New Roman"/>
          <w:noProof/>
          <w:sz w:val="24"/>
          <w:szCs w:val="24"/>
        </w:rPr>
        <w:footnoteReference w:id="3"/>
      </w:r>
      <w:r>
        <w:rPr>
          <w:rFonts w:ascii="Times New Roman" w:hAnsi="Times New Roman"/>
          <w:noProof/>
          <w:sz w:val="24"/>
        </w:rPr>
        <w:t>. Η Επιτροπή άσκησε την εν λόγω εξουσιοδότηση λόγω της ανάγκης να διασφαλίσει ότι τα σχέδια διαχείρισης κινδύνου για την επαναχρησιμοποίηση των υδάτων είναι αξιόπιστα, υψηλής ποιότητας και βασίζονται σε συστηματική προσέγγιση, ιδίως σε περιόδους που απαιτείται μεγαλύτερη ανθεκτικότητα των υδάτων.</w:t>
      </w:r>
    </w:p>
    <w:p w14:paraId="0B2F7123" w14:textId="08739344" w:rsidR="008212A4" w:rsidRPr="001019C9" w:rsidRDefault="008212A4" w:rsidP="000F35AF">
      <w:pPr>
        <w:pStyle w:val="Heading2"/>
        <w:spacing w:before="240" w:after="120" w:line="240" w:lineRule="auto"/>
        <w:rPr>
          <w:rFonts w:ascii="Times New Roman" w:hAnsi="Times New Roman" w:cs="Times New Roman"/>
          <w:b/>
          <w:bCs/>
          <w:noProof/>
          <w:color w:val="auto"/>
          <w:sz w:val="24"/>
          <w:szCs w:val="24"/>
        </w:rPr>
      </w:pPr>
      <w:r>
        <w:rPr>
          <w:rFonts w:ascii="Times New Roman" w:hAnsi="Times New Roman"/>
          <w:b/>
          <w:noProof/>
          <w:color w:val="auto"/>
          <w:sz w:val="24"/>
        </w:rPr>
        <w:t>3.1 Κατ’ εξουσιοδότηση κανονισμός 2024/1765 για τη συμπλήρωση του κανονισμού 2020/741</w:t>
      </w:r>
    </w:p>
    <w:p w14:paraId="219D7E32" w14:textId="2BB53177" w:rsidR="00BC5B97" w:rsidRPr="001019C9" w:rsidRDefault="00BC5B97" w:rsidP="000F35AF">
      <w:pPr>
        <w:spacing w:before="240" w:after="120" w:line="240" w:lineRule="auto"/>
        <w:jc w:val="both"/>
        <w:rPr>
          <w:rFonts w:ascii="Times New Roman" w:hAnsi="Times New Roman" w:cs="Times New Roman"/>
          <w:noProof/>
          <w:sz w:val="24"/>
          <w:szCs w:val="24"/>
        </w:rPr>
      </w:pPr>
      <w:r>
        <w:rPr>
          <w:rFonts w:ascii="Times New Roman" w:hAnsi="Times New Roman"/>
          <w:noProof/>
          <w:sz w:val="24"/>
        </w:rPr>
        <w:t>Η διαχείριση κινδύνου έχει καίρια σημασία για την ασφάλεια της επαναχρησιμοποίησης των υδάτων, αθώς απαιτεί τον προσδιορισμό και τη διαχείριση των κινδύνων με προορατικό τρόπο. Η διαδικασία αυτή μπορεί να είναι πολύπλοκη και απαιτεί πολυτομεακή προσέγγιση με τη συμμετοχή διαφόρων παραγόντων. Για τον λόγο αυτό, καταρτίστηκαν τεχνικές προδιαγραφές ώστε να διασφαλιστεί ότι τα σχέδια διαχείρισης κινδύνου για την επαναχρησιμοποίηση των υδάτων έχουν τη δέουσα ποιότητα και ότι είναι σύμφωνα με τις διεθνείς κατευθυντήριες γραμμές και πρότυπα, όπως αυτά που εκπονήθηκαν από τον Παγκόσμιο Οργανισμό Υγείας και τον Διεθνή Οργανισμό Τυποποίησης.</w:t>
      </w:r>
    </w:p>
    <w:p w14:paraId="01CB8949" w14:textId="599F6262" w:rsidR="006B0007" w:rsidRPr="001019C9" w:rsidRDefault="0049374A" w:rsidP="000F35AF">
      <w:pPr>
        <w:spacing w:before="240" w:after="120" w:line="240" w:lineRule="auto"/>
        <w:jc w:val="both"/>
        <w:rPr>
          <w:rFonts w:ascii="Times New Roman" w:hAnsi="Times New Roman" w:cs="Times New Roman"/>
          <w:noProof/>
          <w:sz w:val="24"/>
          <w:szCs w:val="24"/>
        </w:rPr>
      </w:pPr>
      <w:r>
        <w:rPr>
          <w:rFonts w:ascii="Times New Roman" w:hAnsi="Times New Roman"/>
          <w:noProof/>
          <w:sz w:val="24"/>
        </w:rPr>
        <w:t>Ο κατ’ εξουσιοδότηση κανονισμός καταρτίστηκε με βάση αξιόπιστες τεχνικές μελέτες και με τη συμμετοχή τεχνικών εμπειρογνωμόνων που εκπροσωπούν τις εθνικές αρχές, τις εταιρείες επεξεργασίας υδάτων και άλλα ενδιαφερόμενα μέρη και συνεργάζονται στο πλαίσιο της ομάδας εργασίας για την επαναχρησιμοποίηση των υδάτων</w:t>
      </w:r>
      <w:r>
        <w:rPr>
          <w:rFonts w:ascii="Times New Roman" w:hAnsi="Times New Roman" w:cs="Times New Roman"/>
          <w:noProof/>
          <w:sz w:val="24"/>
          <w:szCs w:val="24"/>
          <w:vertAlign w:val="superscript"/>
        </w:rPr>
        <w:footnoteReference w:id="4"/>
      </w:r>
      <w:r>
        <w:rPr>
          <w:rFonts w:ascii="Times New Roman" w:hAnsi="Times New Roman"/>
          <w:noProof/>
          <w:sz w:val="24"/>
        </w:rPr>
        <w:t>.</w:t>
      </w:r>
    </w:p>
    <w:p w14:paraId="75417C40" w14:textId="7CC10706" w:rsidR="00B45873" w:rsidRPr="001019C9" w:rsidRDefault="00B45873" w:rsidP="000F35AF">
      <w:pPr>
        <w:spacing w:before="240" w:after="120" w:line="240" w:lineRule="auto"/>
        <w:jc w:val="both"/>
        <w:rPr>
          <w:rFonts w:ascii="Times New Roman" w:hAnsi="Times New Roman" w:cs="Times New Roman"/>
          <w:noProof/>
          <w:sz w:val="24"/>
          <w:szCs w:val="24"/>
        </w:rPr>
      </w:pPr>
      <w:r>
        <w:rPr>
          <w:rFonts w:ascii="Times New Roman" w:hAnsi="Times New Roman"/>
          <w:noProof/>
          <w:sz w:val="24"/>
        </w:rPr>
        <w:t>Ο κατ’ εξουσιοδότηση κανονισμός βασίστηκε στις εργασίες που πραγματοποιήθηκαν για την κατάρτιση των κατευθυντήριων γραμμών της Επιτροπής για τη στήριξη της εφαρμογής του κανονισμού 2020/741 σχετικά με τις ελάχιστες απαιτήσεις για την επαναχρησιμοποίηση των υδάτων</w:t>
      </w:r>
      <w:r>
        <w:rPr>
          <w:rStyle w:val="FootnoteReference"/>
          <w:rFonts w:ascii="Times New Roman" w:hAnsi="Times New Roman" w:cs="Times New Roman"/>
          <w:noProof/>
          <w:sz w:val="24"/>
          <w:szCs w:val="24"/>
        </w:rPr>
        <w:footnoteReference w:id="5"/>
      </w:r>
      <w:r>
        <w:rPr>
          <w:rFonts w:ascii="Times New Roman" w:hAnsi="Times New Roman"/>
          <w:noProof/>
          <w:sz w:val="24"/>
        </w:rPr>
        <w:t>.</w:t>
      </w:r>
    </w:p>
    <w:p w14:paraId="18D20998" w14:textId="686E99CE" w:rsidR="006B0007" w:rsidRPr="001019C9" w:rsidRDefault="0049374A" w:rsidP="000F35AF">
      <w:pPr>
        <w:spacing w:before="240" w:after="120" w:line="240" w:lineRule="auto"/>
        <w:jc w:val="both"/>
        <w:rPr>
          <w:rFonts w:ascii="Times New Roman" w:hAnsi="Times New Roman" w:cs="Times New Roman"/>
          <w:noProof/>
          <w:sz w:val="24"/>
          <w:szCs w:val="24"/>
        </w:rPr>
      </w:pPr>
      <w:r>
        <w:rPr>
          <w:rFonts w:ascii="Times New Roman" w:hAnsi="Times New Roman"/>
          <w:noProof/>
          <w:sz w:val="24"/>
        </w:rPr>
        <w:t>Η ομάδα εμπειρογνωμόνων για τα ύδατα και τις πλημμύρες</w:t>
      </w:r>
      <w:r>
        <w:rPr>
          <w:rFonts w:ascii="Times New Roman" w:hAnsi="Times New Roman" w:cs="Times New Roman"/>
          <w:noProof/>
          <w:sz w:val="24"/>
          <w:szCs w:val="24"/>
          <w:vertAlign w:val="superscript"/>
        </w:rPr>
        <w:footnoteReference w:id="6"/>
      </w:r>
      <w:r>
        <w:rPr>
          <w:rFonts w:ascii="Times New Roman" w:hAnsi="Times New Roman"/>
          <w:noProof/>
          <w:sz w:val="24"/>
        </w:rPr>
        <w:t xml:space="preserve"> συμμετείχε επίσης στις συζητήσεις και της δόθηκε η ευκαιρία να υποβάλει παρατηρήσεις για το σχέδιο κατ’ εξουσιοδότηση κανονισμού, Πραγματοποιήθηκαν προπαρασκευαστικές συνεδριάσεις στις 17-18 Νοεμβρίου 2022, στις 13-14 Μαρτίου 2023 (ομάδα εργασίας για την επαναχρησιμοποίηση των υδάτων) και στις 16 Οκτωβρίου 2023 (ομάδα εμπειρογνωμόνων). Η κατ’ εξουσιοδότηση πράξη εκδόθηκε στις 11 Μαρτίου 2024 και κοινοποιήθηκε στο Ευρωπαϊκό Κοινοβούλιο και στο Συμβούλιο.</w:t>
      </w:r>
    </w:p>
    <w:p w14:paraId="362B23FC" w14:textId="3AD094FD" w:rsidR="006B0007" w:rsidRPr="001019C9" w:rsidRDefault="008212A4" w:rsidP="000F35AF">
      <w:pPr>
        <w:spacing w:before="240" w:after="120" w:line="240" w:lineRule="auto"/>
        <w:jc w:val="both"/>
        <w:rPr>
          <w:rFonts w:ascii="Times New Roman" w:hAnsi="Times New Roman" w:cs="Times New Roman"/>
          <w:noProof/>
          <w:sz w:val="24"/>
          <w:szCs w:val="24"/>
        </w:rPr>
      </w:pPr>
      <w:r>
        <w:rPr>
          <w:rFonts w:ascii="Times New Roman" w:hAnsi="Times New Roman"/>
          <w:noProof/>
          <w:sz w:val="24"/>
        </w:rPr>
        <w:t>Δεν διατυπώθηκαν αντιρρήσεις για την κατ’ εξουσιοδότηση πράξη ούτε από το Ευρωπαϊκό Κοινοβούλιο ούτε από το Συμβούλιο εντός της προθεσμίας των 2 μηνών που προβλέπεται στο άρθρο 13 παράγραφος 6 του κανονισμού της ΕΕ για την επαναχρησιμοποίηση των υδάτων.</w:t>
      </w:r>
    </w:p>
    <w:p w14:paraId="1EC305DF" w14:textId="6A4E7358" w:rsidR="006B0007" w:rsidRPr="001019C9" w:rsidRDefault="008212A4" w:rsidP="000F35AF">
      <w:pPr>
        <w:spacing w:before="240" w:after="120" w:line="240" w:lineRule="auto"/>
        <w:jc w:val="both"/>
        <w:rPr>
          <w:rFonts w:ascii="Times New Roman" w:hAnsi="Times New Roman" w:cs="Times New Roman"/>
          <w:noProof/>
          <w:sz w:val="24"/>
          <w:szCs w:val="24"/>
        </w:rPr>
      </w:pPr>
      <w:r>
        <w:rPr>
          <w:rFonts w:ascii="Times New Roman" w:hAnsi="Times New Roman"/>
          <w:noProof/>
          <w:sz w:val="24"/>
        </w:rPr>
        <w:t>Κανένα από τα θεσμικά όργανα δεν κίνησε την παράταση της προθεσμίας των δύο μηνών κατά δύο επιπλέον μήνες σύμφωνα με την ίδια διάταξη.</w:t>
      </w:r>
    </w:p>
    <w:p w14:paraId="4DAAE10C" w14:textId="4616305F" w:rsidR="007B540B" w:rsidRPr="001019C9" w:rsidRDefault="0049374A" w:rsidP="000F35AF">
      <w:pPr>
        <w:spacing w:before="240" w:after="120" w:line="240" w:lineRule="auto"/>
        <w:jc w:val="both"/>
        <w:rPr>
          <w:rFonts w:ascii="Times New Roman" w:hAnsi="Times New Roman" w:cs="Times New Roman"/>
          <w:noProof/>
          <w:sz w:val="24"/>
          <w:szCs w:val="24"/>
        </w:rPr>
      </w:pPr>
      <w:r>
        <w:rPr>
          <w:rFonts w:ascii="Times New Roman" w:hAnsi="Times New Roman"/>
          <w:noProof/>
          <w:sz w:val="24"/>
        </w:rPr>
        <w:t>Ως εκ τούτου, ο κατ’ εξουσιοδότηση κανονισμός δημοσιεύθηκε στην Επίσημη Εφημερίδα της Ευρωπαϊκής Ένωσης και τέθηκε σε ισχύ στις 10 Ιουλίου 2024.</w:t>
      </w:r>
    </w:p>
    <w:p w14:paraId="6F33058C" w14:textId="49446624" w:rsidR="008212A4" w:rsidRPr="001019C9" w:rsidRDefault="008212A4" w:rsidP="008016E7">
      <w:pPr>
        <w:pStyle w:val="Heading1"/>
        <w:rPr>
          <w:rFonts w:ascii="Times New Roman" w:hAnsi="Times New Roman" w:cs="Times New Roman"/>
          <w:b/>
          <w:bCs/>
          <w:noProof/>
          <w:color w:val="auto"/>
          <w:sz w:val="24"/>
          <w:szCs w:val="24"/>
        </w:rPr>
      </w:pPr>
      <w:r>
        <w:rPr>
          <w:rFonts w:ascii="Times New Roman" w:hAnsi="Times New Roman"/>
          <w:b/>
          <w:noProof/>
          <w:color w:val="auto"/>
          <w:sz w:val="24"/>
        </w:rPr>
        <w:t>4. ΣΥΜΠΕΡΑΣΜΑ</w:t>
      </w:r>
    </w:p>
    <w:p w14:paraId="01E50717" w14:textId="600F5981" w:rsidR="00B45873" w:rsidRPr="001019C9" w:rsidRDefault="008212A4" w:rsidP="000F35AF">
      <w:pPr>
        <w:spacing w:before="240" w:after="120" w:line="240" w:lineRule="auto"/>
        <w:jc w:val="both"/>
        <w:rPr>
          <w:rFonts w:ascii="Times New Roman" w:hAnsi="Times New Roman" w:cs="Times New Roman"/>
          <w:noProof/>
          <w:sz w:val="24"/>
          <w:szCs w:val="24"/>
        </w:rPr>
      </w:pPr>
      <w:r>
        <w:rPr>
          <w:rFonts w:ascii="Times New Roman" w:hAnsi="Times New Roman"/>
          <w:noProof/>
          <w:sz w:val="24"/>
        </w:rPr>
        <w:t>Η Επιτροπή άσκησε ορθά τις ανατεθείσες εξουσιοδοτήσεις.</w:t>
      </w:r>
    </w:p>
    <w:p w14:paraId="120F90B6" w14:textId="70BAED46" w:rsidR="006B0007" w:rsidRPr="001019C9" w:rsidRDefault="007B540B" w:rsidP="000F35AF">
      <w:pPr>
        <w:spacing w:before="240" w:after="120" w:line="240" w:lineRule="auto"/>
        <w:jc w:val="both"/>
        <w:rPr>
          <w:rFonts w:ascii="Times New Roman" w:hAnsi="Times New Roman" w:cs="Times New Roman"/>
          <w:noProof/>
          <w:sz w:val="24"/>
          <w:szCs w:val="24"/>
        </w:rPr>
      </w:pPr>
      <w:r>
        <w:rPr>
          <w:rFonts w:ascii="Times New Roman" w:hAnsi="Times New Roman"/>
          <w:noProof/>
          <w:sz w:val="24"/>
        </w:rPr>
        <w:t>Μολονότι δεν έχει ακόμη ασκήσει την ανατεθείσα εξουσιοδότηση για την τροποποίηση του παραρτήματος ΙΙ του κανονισμού για την επαναχρησιμοποίηση των υδάτων, ενδέχεται να χρειαστεί να το πράξει στο μέλλον ωστε να ληφθεί υπόψη η περαιτέρω τεχνολογική και επιστημονική πρόοδο στον τομέα αυτό.</w:t>
      </w:r>
    </w:p>
    <w:p w14:paraId="3244B065" w14:textId="4526C01D" w:rsidR="00B45873" w:rsidRPr="001019C9" w:rsidRDefault="00B45873" w:rsidP="000F35AF">
      <w:pPr>
        <w:spacing w:before="240" w:after="120" w:line="240" w:lineRule="auto"/>
        <w:jc w:val="both"/>
        <w:rPr>
          <w:rFonts w:ascii="Times New Roman" w:hAnsi="Times New Roman" w:cs="Times New Roman"/>
          <w:noProof/>
          <w:sz w:val="24"/>
          <w:szCs w:val="24"/>
        </w:rPr>
      </w:pPr>
      <w:r>
        <w:rPr>
          <w:rFonts w:ascii="Times New Roman" w:hAnsi="Times New Roman"/>
          <w:noProof/>
          <w:sz w:val="24"/>
        </w:rPr>
        <w:t>Ως εκ τούτου, η Επιτροπή εξακολουθεί να θεωρεί αναγκαίες τις εξουσιοδοτήσεις που της έχουν ανατεθεί βάσει του άρθρου 5 παράγραφος 5 του κανονισμού για την επαναχρησιμοποίηση των υδάτων.</w:t>
      </w:r>
    </w:p>
    <w:p w14:paraId="3F337DF1" w14:textId="411E4D57" w:rsidR="00D36F16" w:rsidRPr="001019C9" w:rsidRDefault="00124B35" w:rsidP="000F35AF">
      <w:pPr>
        <w:spacing w:before="240" w:after="120" w:line="240" w:lineRule="auto"/>
        <w:jc w:val="both"/>
        <w:rPr>
          <w:rFonts w:ascii="Times New Roman" w:hAnsi="Times New Roman" w:cs="Times New Roman"/>
          <w:noProof/>
          <w:sz w:val="24"/>
          <w:szCs w:val="24"/>
        </w:rPr>
      </w:pPr>
      <w:r>
        <w:rPr>
          <w:rFonts w:ascii="Times New Roman" w:hAnsi="Times New Roman"/>
          <w:noProof/>
          <w:sz w:val="24"/>
        </w:rPr>
        <w:t>Η Επιτροπή καλεί το Ευρωπαϊκό Κοινοβούλιο και το Συμβούλιο να λάβουν υπόψη την παρούσα έκθεση.</w:t>
      </w:r>
      <w:bookmarkEnd w:id="0"/>
    </w:p>
    <w:sectPr w:rsidR="00D36F16" w:rsidRPr="001019C9" w:rsidSect="0057178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8BA9A" w14:textId="77777777" w:rsidR="00497577" w:rsidRPr="001019C9" w:rsidRDefault="00497577" w:rsidP="00497577">
      <w:pPr>
        <w:spacing w:after="0" w:line="240" w:lineRule="auto"/>
      </w:pPr>
      <w:r>
        <w:separator/>
      </w:r>
    </w:p>
  </w:endnote>
  <w:endnote w:type="continuationSeparator" w:id="0">
    <w:p w14:paraId="10773A58" w14:textId="77777777" w:rsidR="00497577" w:rsidRPr="001019C9" w:rsidRDefault="00497577" w:rsidP="00497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F127F" w14:textId="36FAA204" w:rsidR="00DF6FB4" w:rsidRPr="00DF6FB4" w:rsidRDefault="00DF6FB4" w:rsidP="00DF6FB4">
    <w:pPr>
      <w:pStyle w:val="FooterCoverPage"/>
      <w:rPr>
        <w:rFonts w:ascii="Arial" w:hAnsi="Arial" w:cs="Arial"/>
        <w:b/>
        <w:sz w:val="48"/>
      </w:rPr>
    </w:pPr>
    <w:r w:rsidRPr="00DF6FB4">
      <w:rPr>
        <w:rFonts w:ascii="Arial" w:hAnsi="Arial" w:cs="Arial"/>
        <w:b/>
        <w:sz w:val="48"/>
      </w:rPr>
      <w:t>EL</w:t>
    </w:r>
    <w:r w:rsidRPr="00DF6FB4">
      <w:rPr>
        <w:rFonts w:ascii="Arial" w:hAnsi="Arial" w:cs="Arial"/>
        <w:b/>
        <w:sz w:val="48"/>
      </w:rPr>
      <w:tab/>
    </w:r>
    <w:r w:rsidRPr="00DF6FB4">
      <w:rPr>
        <w:rFonts w:ascii="Arial" w:hAnsi="Arial" w:cs="Arial"/>
        <w:b/>
        <w:sz w:val="48"/>
      </w:rPr>
      <w:tab/>
    </w:r>
    <w:r w:rsidRPr="00DF6FB4">
      <w:tab/>
    </w:r>
    <w:r w:rsidRPr="00DF6FB4">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BA0B6" w14:textId="32E59C33" w:rsidR="00DF6FB4" w:rsidRPr="00DF6FB4" w:rsidRDefault="00DF6FB4" w:rsidP="00DF6FB4">
    <w:pPr>
      <w:pStyle w:val="FooterCoverPage"/>
      <w:rPr>
        <w:rFonts w:ascii="Arial" w:hAnsi="Arial" w:cs="Arial"/>
        <w:b/>
        <w:sz w:val="48"/>
      </w:rPr>
    </w:pPr>
    <w:r w:rsidRPr="00DF6FB4">
      <w:rPr>
        <w:rFonts w:ascii="Arial" w:hAnsi="Arial" w:cs="Arial"/>
        <w:b/>
        <w:sz w:val="48"/>
      </w:rPr>
      <w:t>EL</w:t>
    </w:r>
    <w:r w:rsidRPr="00DF6FB4">
      <w:rPr>
        <w:rFonts w:ascii="Arial" w:hAnsi="Arial" w:cs="Arial"/>
        <w:b/>
        <w:sz w:val="48"/>
      </w:rPr>
      <w:tab/>
    </w:r>
    <w:r w:rsidRPr="00DF6FB4">
      <w:rPr>
        <w:rFonts w:ascii="Arial" w:hAnsi="Arial" w:cs="Arial"/>
        <w:b/>
        <w:sz w:val="48"/>
      </w:rPr>
      <w:tab/>
    </w:r>
    <w:r w:rsidRPr="00DF6FB4">
      <w:tab/>
    </w:r>
    <w:r w:rsidRPr="00DF6FB4">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38CB2" w14:textId="77777777" w:rsidR="00DF6FB4" w:rsidRPr="00DF6FB4" w:rsidRDefault="00DF6FB4" w:rsidP="00DF6FB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3D33B" w14:textId="77777777" w:rsidR="00497577" w:rsidRPr="001019C9" w:rsidRDefault="004975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90957"/>
      <w:docPartObj>
        <w:docPartGallery w:val="Page Numbers (Bottom of Page)"/>
        <w:docPartUnique/>
      </w:docPartObj>
    </w:sdtPr>
    <w:sdtEndPr>
      <w:rPr>
        <w:noProof/>
      </w:rPr>
    </w:sdtEndPr>
    <w:sdtContent>
      <w:p w14:paraId="1AAC4C9E" w14:textId="5FC376E8" w:rsidR="00571784" w:rsidRDefault="00571784">
        <w:pPr>
          <w:pStyle w:val="Footer"/>
          <w:jc w:val="right"/>
        </w:pPr>
        <w:r>
          <w:fldChar w:fldCharType="begin"/>
        </w:r>
        <w:r>
          <w:instrText xml:space="preserve"> PAGE   \* MERGEFORMAT </w:instrText>
        </w:r>
        <w:r>
          <w:fldChar w:fldCharType="separate"/>
        </w:r>
        <w:r w:rsidR="00DF6FB4">
          <w:rPr>
            <w:noProof/>
          </w:rPr>
          <w:t>1</w:t>
        </w:r>
        <w:r>
          <w:fldChar w:fldCharType="end"/>
        </w:r>
      </w:p>
    </w:sdtContent>
  </w:sdt>
  <w:p w14:paraId="71D1DA7F" w14:textId="77777777" w:rsidR="00497577" w:rsidRPr="001019C9" w:rsidRDefault="004975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18DFC" w14:textId="77777777" w:rsidR="00497577" w:rsidRPr="001019C9" w:rsidRDefault="00497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5C585" w14:textId="77777777" w:rsidR="00497577" w:rsidRPr="001019C9" w:rsidRDefault="00497577" w:rsidP="00497577">
      <w:pPr>
        <w:spacing w:after="0" w:line="240" w:lineRule="auto"/>
      </w:pPr>
      <w:r>
        <w:separator/>
      </w:r>
    </w:p>
  </w:footnote>
  <w:footnote w:type="continuationSeparator" w:id="0">
    <w:p w14:paraId="2ADB2299" w14:textId="77777777" w:rsidR="00497577" w:rsidRPr="001019C9" w:rsidRDefault="00497577" w:rsidP="00497577">
      <w:pPr>
        <w:spacing w:after="0" w:line="240" w:lineRule="auto"/>
      </w:pPr>
      <w:r>
        <w:continuationSeparator/>
      </w:r>
    </w:p>
  </w:footnote>
  <w:footnote w:id="1">
    <w:p w14:paraId="18CC2BBB" w14:textId="2E09BC0C" w:rsidR="004E36DB" w:rsidRPr="001019C9" w:rsidRDefault="004E36DB" w:rsidP="0016280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Κανονισμός (ΕΕ) 2020/741 του Ευρωπαϊκού Κοινοβουλίου και του Συμβουλίου, της 25ης Μαΐου 2020, σχετικά με τις ελάχιστες απαιτήσεις για την επαναχρησιμοποίηση των υδάτων (ΕΕ L 177 της 5.6.2020, σ. 32, ELI: </w:t>
      </w:r>
      <w:hyperlink r:id="rId1" w:history="1">
        <w:r>
          <w:rPr>
            <w:rStyle w:val="Hyperlink"/>
            <w:rFonts w:ascii="Times New Roman" w:hAnsi="Times New Roman"/>
          </w:rPr>
          <w:t>http://data.europa.eu/eli/reg/2020/741/oj</w:t>
        </w:r>
      </w:hyperlink>
      <w:r>
        <w:rPr>
          <w:rFonts w:ascii="Times New Roman" w:hAnsi="Times New Roman"/>
        </w:rPr>
        <w:t>).</w:t>
      </w:r>
    </w:p>
  </w:footnote>
  <w:footnote w:id="2">
    <w:p w14:paraId="4E87382D" w14:textId="08C08126" w:rsidR="004E36DB" w:rsidRPr="001019C9" w:rsidRDefault="004E36DB" w:rsidP="0016280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Κατ’ εξουσιοδότηση κανονισμός (ΕΕ) 2024/1765 της Επιτροπής, της 11ης Μαρτίου 2024, για τη συμπλήρωση του κανονισμού (ΕΕ) 2020/741 του Ευρωπαϊκού Κοινοβουλίου και του Συμβουλίου όσον αφορά τις τεχνικές προδιαγραφές των βασικών στοιχείων διαχείρισης κινδύνου (ΕΕ L, 2024/1765, 20.6.2024, ELI:</w:t>
      </w:r>
      <w:r>
        <w:rPr>
          <w:rFonts w:ascii="Roboto" w:hAnsi="Roboto"/>
          <w:i/>
          <w:color w:val="333333"/>
          <w:sz w:val="21"/>
          <w:shd w:val="clear" w:color="auto" w:fill="FFFFFF"/>
        </w:rPr>
        <w:t xml:space="preserve"> </w:t>
      </w:r>
      <w:hyperlink r:id="rId2" w:tgtFrame="_blank" w:tooltip="Gives access to this document through its ELI URI." w:history="1">
        <w:r>
          <w:rPr>
            <w:rStyle w:val="Hyperlink"/>
            <w:rFonts w:ascii="Times New Roman" w:hAnsi="Times New Roman"/>
          </w:rPr>
          <w:t>http://data.europa.eu/eli/reg_del/2024/1765/oj</w:t>
        </w:r>
      </w:hyperlink>
      <w:r>
        <w:rPr>
          <w:rFonts w:ascii="Times New Roman" w:hAnsi="Times New Roman"/>
        </w:rPr>
        <w:t>).</w:t>
      </w:r>
    </w:p>
    <w:p w14:paraId="01798064" w14:textId="7AFEE9A8" w:rsidR="004E36DB" w:rsidRPr="001019C9" w:rsidRDefault="004E36DB" w:rsidP="0016280F">
      <w:pPr>
        <w:pStyle w:val="FootnoteText"/>
        <w:jc w:val="both"/>
        <w:rPr>
          <w:rFonts w:ascii="Times New Roman" w:hAnsi="Times New Roman" w:cs="Times New Roman"/>
        </w:rPr>
      </w:pPr>
    </w:p>
  </w:footnote>
  <w:footnote w:id="3">
    <w:p w14:paraId="3856B92D" w14:textId="467FDF8B" w:rsidR="00206366" w:rsidRPr="001019C9" w:rsidRDefault="00206366" w:rsidP="00206366">
      <w:pPr>
        <w:pStyle w:val="FootnoteText"/>
        <w:jc w:val="both"/>
      </w:pPr>
      <w:r>
        <w:rPr>
          <w:rStyle w:val="FootnoteReference"/>
        </w:rPr>
        <w:footnoteRef/>
      </w:r>
      <w:r>
        <w:rPr>
          <w:rFonts w:ascii="Times New Roman" w:hAnsi="Times New Roman"/>
        </w:rPr>
        <w:t xml:space="preserve"> Κατ’ εξουσιοδότηση κανονισμός (ΕΕ) 2024/1765 της Επιτροπής, της 11ης Μαρτίου 2024, για τη συμπλήρωση του κανονισμού (ΕΕ) 2020/741 του Ευρωπαϊκού Κοινοβουλίου και του Συμβουλίου όσον αφορά τις τεχνικές προδιαγραφές των βασικών στοιχείων διαχείρισης κινδύνου (ΕΕ L, 2024/1765, 20.6.2024, ELI:</w:t>
      </w:r>
      <w:r>
        <w:rPr>
          <w:rFonts w:ascii="Roboto" w:hAnsi="Roboto"/>
          <w:i/>
          <w:color w:val="333333"/>
          <w:sz w:val="21"/>
          <w:shd w:val="clear" w:color="auto" w:fill="FFFFFF"/>
        </w:rPr>
        <w:t xml:space="preserve"> </w:t>
      </w:r>
      <w:hyperlink r:id="rId3" w:tgtFrame="_blank" w:tooltip="Gives access to this document through its ELI URI." w:history="1">
        <w:r>
          <w:rPr>
            <w:rStyle w:val="Hyperlink"/>
            <w:rFonts w:ascii="Times New Roman" w:hAnsi="Times New Roman"/>
          </w:rPr>
          <w:t>http://data.europa.eu/eli/reg_del/2024/1765/oj</w:t>
        </w:r>
      </w:hyperlink>
      <w:r>
        <w:rPr>
          <w:rFonts w:ascii="Times New Roman" w:hAnsi="Times New Roman"/>
        </w:rPr>
        <w:t>).</w:t>
      </w:r>
    </w:p>
  </w:footnote>
  <w:footnote w:id="4">
    <w:p w14:paraId="5710746D" w14:textId="7662BC31" w:rsidR="0049374A" w:rsidRPr="001019C9" w:rsidRDefault="0049374A" w:rsidP="0016280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Ομάδα εργασίας που συστάθηκε στο πλαίσιο της κοινής στρατηγικής για την εφαρμογή της πολιτικής υδάτων της ΕΕ: </w:t>
      </w:r>
      <w:hyperlink r:id="rId4" w:history="1">
        <w:r>
          <w:rPr>
            <w:rStyle w:val="Hyperlink"/>
            <w:rFonts w:ascii="Times New Roman" w:hAnsi="Times New Roman"/>
          </w:rPr>
          <w:t>https://circabc.europa.eu/ui/group/9ab5926d-bed4-4322-9aa7-9964bbe8312d/library/dd9b4484-2935-4ee8-b3ce-72f844f3644c</w:t>
        </w:r>
      </w:hyperlink>
      <w:r>
        <w:rPr>
          <w:rFonts w:ascii="Times New Roman" w:hAnsi="Times New Roman"/>
        </w:rPr>
        <w:t>.</w:t>
      </w:r>
    </w:p>
  </w:footnote>
  <w:footnote w:id="5">
    <w:p w14:paraId="2F3D2C04" w14:textId="1176BBD6" w:rsidR="00A22185" w:rsidRPr="001019C9" w:rsidRDefault="00A22185" w:rsidP="0016280F">
      <w:pPr>
        <w:pStyle w:val="FootnoteText"/>
        <w:jc w:val="both"/>
        <w:rPr>
          <w:rFonts w:ascii="Times New Roman" w:hAnsi="Times New Roman" w:cs="Times New Roman"/>
        </w:rPr>
      </w:pPr>
      <w:r>
        <w:rPr>
          <w:rStyle w:val="FootnoteReference"/>
        </w:rPr>
        <w:footnoteRef/>
      </w:r>
      <w:r>
        <w:rPr>
          <w:rFonts w:ascii="Times New Roman" w:hAnsi="Times New Roman"/>
        </w:rPr>
        <w:t xml:space="preserve"> Κατευθυντήριες γραμμές για τη στήριξη της εφαρμογής του κανονισμού 2020/741 σχετικά με τις ελάχιστες απαιτήσεις για την επαναχρησιμοποίηση των υδάτων 2022/C 298/01, C/2022/5489 (ΕΕ C 298 της 5.8.2022, σ. 1).</w:t>
      </w:r>
    </w:p>
  </w:footnote>
  <w:footnote w:id="6">
    <w:p w14:paraId="2D4F6D5D" w14:textId="73F8594F" w:rsidR="0049374A" w:rsidRPr="001019C9" w:rsidRDefault="0049374A" w:rsidP="0016280F">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Δημοσιεύθηκε στο μητρώο των ομάδων εμπειρογνωμόνων της Επιτροπής και άλλων παρόμοιων οντοτήτων, με κωδικό E03687.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D14C3" w14:textId="77777777" w:rsidR="00DF6FB4" w:rsidRPr="00DF6FB4" w:rsidRDefault="00DF6FB4" w:rsidP="00DF6FB4">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FA1AD" w14:textId="77777777" w:rsidR="00DF6FB4" w:rsidRPr="00DF6FB4" w:rsidRDefault="00DF6FB4" w:rsidP="00DF6FB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08FF2" w14:textId="77777777" w:rsidR="00DF6FB4" w:rsidRPr="00DF6FB4" w:rsidRDefault="00DF6FB4" w:rsidP="00DF6FB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18039" w14:textId="77777777" w:rsidR="00497577" w:rsidRPr="001019C9" w:rsidRDefault="004975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9BE7A" w14:textId="77777777" w:rsidR="00497577" w:rsidRPr="001019C9" w:rsidRDefault="004975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030AD" w14:textId="77777777" w:rsidR="00497577" w:rsidRPr="001019C9" w:rsidRDefault="004975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92A991B0-EBAA-4237-A2FD-6C8A8BB186C9"/>
    <w:docVar w:name="LW_COVERPAGE_TYPE" w:val="1"/>
    <w:docVar w:name="LW_CROSSREFERENCE" w:val="&lt;UNUSED&gt;"/>
    <w:docVar w:name="LW_DocType" w:val="NORMAL"/>
    <w:docVar w:name="LW_EMISSION" w:val="8.10.2024"/>
    <w:docVar w:name="LW_EMISSION_ISODATE" w:val="2024-10-08"/>
    <w:docVar w:name="LW_EMISSION_LOCATION" w:val="BRX"/>
    <w:docVar w:name="LW_EMISSION_PREFIX" w:val="\u914?\u961?\u965?\u958?\u941?\u955?\u955?\u949?\u962?, "/>
    <w:docVar w:name="LW_EMISSION_SUFFIX" w:val=" "/>
    <w:docVar w:name="LW_ID_DOCTYPE_NONLW" w:val="CP-006"/>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24) 44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u947?\u953?\u945? \u964?\u951?\u957? \u940?\u963?\u954?\u951?\u963?\u951? \u964?\u951?\u962? \u949?\u958?\u959?\u965?\u963?\u953?\u959?\u948?\u972?\u964?\u951?\u963?\u951?\u962? \u960?\u959?\u965? \u941?\u967?\u949?\u953? \u945?\u957?\u945?\u964?\u949?\u952?\u949?\u943? \u963?\u964?\u951?\u957? \u917?\u960?\u953?\u964?\u961?\u959?\u960?\u942? \u963?\u973?\u956?\u966?\u969?\u957?\u945? \u956?\u949? \u964?\u959?\u957? \u954?\u945?\u957?\u959?\u957?\u953?\u963?\u956?\u972? (\u917?\u917?) 2020/741 \u964?\u959?\u965? \u917?\u965?\u961?\u969?\u960?\u945?\u970?\u954?\u959?\u973? \u922?\u959?\u953?\u957?\u959?\u946?\u959?\u965?\u955?\u943?\u959?\u965? \u954?\u945?\u953? \u964?\u959?\u965? \u931?\u965?\u956?\u946?\u959?\u965?\u955?\u943?\u959?\u965?, \u964?\u951?\u962? 25\u951?\u962? \u924?\u945?\u912?\u959?\u965? 2020, \u963?\u967?\u949?\u964?\u953?\u954?\u940? \u956?\u949? \u964?\u953?\u962? \u949?\u955?\u940?\u967?\u953?\u963?\u964?\u949?\u962? \u945?\u960?\u945?\u953?\u964?\u942?\u963?\u949?\u953?\u962? \u947?\u953?\u945? \u964?\u951?\u957? \u949?\u960?\u945?\u957?\u945?\u967?\u961?\u951?\u963?\u953?\u956?\u959?\u960?\u959?\u943?\u951?\u963?\u951? \u964?\u969?\u957? \u965?\u948?\u940?\u964?\u969?\u957? (\u954?\u945?\u957?\u959?\u957?\u953?\u963?\u956?\u972?\u962? \u947?\u953?\u945? \u964?\u951?\u957? \u949?\u960?\u945?\u957?\u945?\u967?\u961?\u951?\u963?\u953?\u956?\u959?\u960?\u959?\u943?\u951?\u963?\u951? \u964?\u969?\u957? \u965?\u948?\u940?\u964?\u969?\u957?)&lt;/FMT&gt;_x000b__x000d__x000d__x000d__x000b_"/>
    <w:docVar w:name="LW_TYPE.DOC.CP" w:val="\u917?\u922?\u920?\u917?\u931?\u919? \u932?\u919?\u931? \u917?\u928?\u921?\u932?\u929?\u927?\u928?\u919?\u931? \u928?\u929?\u927?\u931? \u932?\u927? \u917?\u933?\u929?\u937?\u928?\u913?\u938?\u922?\u927? \u922?\u927?\u921?\u925?\u927?\u914?\u927?\u933?\u923?\u921?\u927? \u922?\u913?\u921? \u932?\u927? \u931?\u933?\u924?\u914?\u927?\u933?\u923?\u921?\u927?"/>
    <w:docVar w:name="LwApiVersions" w:val="LW4CoDe 1.24.5.0; LW 9.0, Build 20240221"/>
    <w:docVar w:name="Stamp" w:val="\\dossiers.dgt.cec.eu.int\dossiers\ENV\ENV-2024-01009\ENV-2024-01009-00-00-EN-EDT-00.202407221212451263849.DOCX"/>
  </w:docVars>
  <w:rsids>
    <w:rsidRoot w:val="008212A4"/>
    <w:rsid w:val="0001629B"/>
    <w:rsid w:val="00052A04"/>
    <w:rsid w:val="00054F1E"/>
    <w:rsid w:val="000B4C54"/>
    <w:rsid w:val="000F35AF"/>
    <w:rsid w:val="001019C9"/>
    <w:rsid w:val="00124B35"/>
    <w:rsid w:val="00143592"/>
    <w:rsid w:val="001508D8"/>
    <w:rsid w:val="0016280F"/>
    <w:rsid w:val="001A1F28"/>
    <w:rsid w:val="001C6CB6"/>
    <w:rsid w:val="00201435"/>
    <w:rsid w:val="00205BF3"/>
    <w:rsid w:val="00206366"/>
    <w:rsid w:val="00217885"/>
    <w:rsid w:val="00251916"/>
    <w:rsid w:val="00361644"/>
    <w:rsid w:val="003815EE"/>
    <w:rsid w:val="003C494B"/>
    <w:rsid w:val="00481EE9"/>
    <w:rsid w:val="0049374A"/>
    <w:rsid w:val="00494385"/>
    <w:rsid w:val="00497577"/>
    <w:rsid w:val="004E36DB"/>
    <w:rsid w:val="004F40DD"/>
    <w:rsid w:val="00571784"/>
    <w:rsid w:val="00572FAC"/>
    <w:rsid w:val="005812B1"/>
    <w:rsid w:val="00594660"/>
    <w:rsid w:val="005E30E8"/>
    <w:rsid w:val="00614A56"/>
    <w:rsid w:val="006A4675"/>
    <w:rsid w:val="006B0007"/>
    <w:rsid w:val="006C0029"/>
    <w:rsid w:val="007560FF"/>
    <w:rsid w:val="00771390"/>
    <w:rsid w:val="00787748"/>
    <w:rsid w:val="007B0DD9"/>
    <w:rsid w:val="007B540B"/>
    <w:rsid w:val="007E2A81"/>
    <w:rsid w:val="007F7E87"/>
    <w:rsid w:val="008016E7"/>
    <w:rsid w:val="00814C59"/>
    <w:rsid w:val="008212A4"/>
    <w:rsid w:val="0082469B"/>
    <w:rsid w:val="00831A24"/>
    <w:rsid w:val="008930B4"/>
    <w:rsid w:val="00896E2D"/>
    <w:rsid w:val="008B033A"/>
    <w:rsid w:val="008B0A18"/>
    <w:rsid w:val="0097050E"/>
    <w:rsid w:val="009B6521"/>
    <w:rsid w:val="00A22185"/>
    <w:rsid w:val="00AA52A4"/>
    <w:rsid w:val="00B43D5A"/>
    <w:rsid w:val="00B45873"/>
    <w:rsid w:val="00B76858"/>
    <w:rsid w:val="00BB068A"/>
    <w:rsid w:val="00BC5B97"/>
    <w:rsid w:val="00C1465B"/>
    <w:rsid w:val="00C44FAA"/>
    <w:rsid w:val="00C522B8"/>
    <w:rsid w:val="00C930E7"/>
    <w:rsid w:val="00CD4836"/>
    <w:rsid w:val="00D36F16"/>
    <w:rsid w:val="00DA1F35"/>
    <w:rsid w:val="00DC3D94"/>
    <w:rsid w:val="00DC733F"/>
    <w:rsid w:val="00DF6FB4"/>
    <w:rsid w:val="00DF7C53"/>
    <w:rsid w:val="00E30D20"/>
    <w:rsid w:val="00E563A1"/>
    <w:rsid w:val="00E804A8"/>
    <w:rsid w:val="00EC6D2D"/>
    <w:rsid w:val="00F716D4"/>
    <w:rsid w:val="00FD08BC"/>
    <w:rsid w:val="00FE3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A6F499A"/>
  <w15:chartTrackingRefBased/>
  <w15:docId w15:val="{38D9AFC6-0E78-45A6-A77D-96E0D634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12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5B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2A4"/>
    <w:rPr>
      <w:rFonts w:asciiTheme="majorHAnsi" w:eastAsiaTheme="majorEastAsia" w:hAnsiTheme="majorHAnsi" w:cstheme="majorBidi"/>
      <w:color w:val="2F5496" w:themeColor="accent1" w:themeShade="BF"/>
      <w:sz w:val="32"/>
      <w:szCs w:val="32"/>
    </w:rPr>
  </w:style>
  <w:style w:type="character" w:customStyle="1" w:styleId="Marker">
    <w:name w:val="Marker"/>
    <w:basedOn w:val="DefaultParagraphFont"/>
    <w:rsid w:val="00497577"/>
    <w:rPr>
      <w:color w:val="0000FF"/>
      <w:shd w:val="clear" w:color="auto" w:fill="auto"/>
    </w:rPr>
  </w:style>
  <w:style w:type="paragraph" w:styleId="Header">
    <w:name w:val="header"/>
    <w:basedOn w:val="Normal"/>
    <w:link w:val="HeaderChar"/>
    <w:uiPriority w:val="99"/>
    <w:unhideWhenUsed/>
    <w:rsid w:val="00497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577"/>
  </w:style>
  <w:style w:type="paragraph" w:styleId="Footer">
    <w:name w:val="footer"/>
    <w:basedOn w:val="Normal"/>
    <w:link w:val="FooterChar"/>
    <w:uiPriority w:val="99"/>
    <w:unhideWhenUsed/>
    <w:rsid w:val="00497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577"/>
  </w:style>
  <w:style w:type="paragraph" w:customStyle="1" w:styleId="Pagedecouverture">
    <w:name w:val="Page de couverture"/>
    <w:basedOn w:val="Normal"/>
    <w:next w:val="Normal"/>
    <w:rsid w:val="00497577"/>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49757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497577"/>
    <w:rPr>
      <w:rFonts w:ascii="Times New Roman" w:hAnsi="Times New Roman" w:cs="Times New Roman"/>
      <w:sz w:val="24"/>
    </w:rPr>
  </w:style>
  <w:style w:type="paragraph" w:customStyle="1" w:styleId="FooterSensitivity">
    <w:name w:val="Footer Sensitivity"/>
    <w:basedOn w:val="Normal"/>
    <w:link w:val="FooterSensitivityChar"/>
    <w:rsid w:val="0049757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497577"/>
    <w:rPr>
      <w:rFonts w:ascii="Times New Roman" w:hAnsi="Times New Roman" w:cs="Times New Roman"/>
      <w:b/>
      <w:sz w:val="32"/>
    </w:rPr>
  </w:style>
  <w:style w:type="paragraph" w:customStyle="1" w:styleId="HeaderCoverPage">
    <w:name w:val="Header Cover Page"/>
    <w:basedOn w:val="Normal"/>
    <w:link w:val="HeaderCoverPageChar"/>
    <w:rsid w:val="0049757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497577"/>
    <w:rPr>
      <w:rFonts w:ascii="Times New Roman" w:hAnsi="Times New Roman" w:cs="Times New Roman"/>
      <w:sz w:val="24"/>
    </w:rPr>
  </w:style>
  <w:style w:type="paragraph" w:customStyle="1" w:styleId="HeaderSensitivity">
    <w:name w:val="Header Sensitivity"/>
    <w:basedOn w:val="Normal"/>
    <w:link w:val="HeaderSensitivityChar"/>
    <w:rsid w:val="0049757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497577"/>
    <w:rPr>
      <w:rFonts w:ascii="Times New Roman" w:hAnsi="Times New Roman" w:cs="Times New Roman"/>
      <w:b/>
      <w:sz w:val="32"/>
    </w:rPr>
  </w:style>
  <w:style w:type="paragraph" w:customStyle="1" w:styleId="HeaderSensitivityRight">
    <w:name w:val="Header Sensitivity Right"/>
    <w:basedOn w:val="Normal"/>
    <w:link w:val="HeaderSensitivityRightChar"/>
    <w:rsid w:val="00497577"/>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497577"/>
    <w:rPr>
      <w:rFonts w:ascii="Times New Roman" w:hAnsi="Times New Roman" w:cs="Times New Roman"/>
      <w:sz w:val="28"/>
    </w:rPr>
  </w:style>
  <w:style w:type="paragraph" w:styleId="FootnoteText">
    <w:name w:val="footnote text"/>
    <w:basedOn w:val="Normal"/>
    <w:link w:val="FootnoteTextChar"/>
    <w:uiPriority w:val="99"/>
    <w:semiHidden/>
    <w:unhideWhenUsed/>
    <w:rsid w:val="004E36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6DB"/>
    <w:rPr>
      <w:sz w:val="20"/>
      <w:szCs w:val="20"/>
    </w:rPr>
  </w:style>
  <w:style w:type="character" w:styleId="FootnoteReference">
    <w:name w:val="footnote reference"/>
    <w:basedOn w:val="DefaultParagraphFont"/>
    <w:uiPriority w:val="99"/>
    <w:semiHidden/>
    <w:unhideWhenUsed/>
    <w:rsid w:val="004E36DB"/>
    <w:rPr>
      <w:vertAlign w:val="superscript"/>
    </w:rPr>
  </w:style>
  <w:style w:type="character" w:styleId="Hyperlink">
    <w:name w:val="Hyperlink"/>
    <w:basedOn w:val="DefaultParagraphFont"/>
    <w:uiPriority w:val="99"/>
    <w:unhideWhenUsed/>
    <w:rsid w:val="004E36DB"/>
    <w:rPr>
      <w:color w:val="0563C1" w:themeColor="hyperlink"/>
      <w:u w:val="single"/>
    </w:rPr>
  </w:style>
  <w:style w:type="character" w:customStyle="1" w:styleId="UnresolvedMention">
    <w:name w:val="Unresolved Mention"/>
    <w:basedOn w:val="DefaultParagraphFont"/>
    <w:uiPriority w:val="99"/>
    <w:semiHidden/>
    <w:unhideWhenUsed/>
    <w:rsid w:val="00DC733F"/>
    <w:rPr>
      <w:color w:val="605E5C"/>
      <w:shd w:val="clear" w:color="auto" w:fill="E1DFDD"/>
    </w:rPr>
  </w:style>
  <w:style w:type="character" w:customStyle="1" w:styleId="Heading2Char">
    <w:name w:val="Heading 2 Char"/>
    <w:basedOn w:val="DefaultParagraphFont"/>
    <w:link w:val="Heading2"/>
    <w:uiPriority w:val="9"/>
    <w:rsid w:val="00BC5B97"/>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B45873"/>
    <w:pPr>
      <w:spacing w:after="0" w:line="240" w:lineRule="auto"/>
    </w:pPr>
  </w:style>
  <w:style w:type="character" w:styleId="CommentReference">
    <w:name w:val="annotation reference"/>
    <w:basedOn w:val="DefaultParagraphFont"/>
    <w:uiPriority w:val="99"/>
    <w:semiHidden/>
    <w:unhideWhenUsed/>
    <w:rsid w:val="00572FAC"/>
    <w:rPr>
      <w:sz w:val="16"/>
      <w:szCs w:val="16"/>
    </w:rPr>
  </w:style>
  <w:style w:type="paragraph" w:styleId="CommentText">
    <w:name w:val="annotation text"/>
    <w:basedOn w:val="Normal"/>
    <w:link w:val="CommentTextChar"/>
    <w:uiPriority w:val="99"/>
    <w:unhideWhenUsed/>
    <w:rsid w:val="00572FAC"/>
    <w:pPr>
      <w:spacing w:line="240" w:lineRule="auto"/>
    </w:pPr>
    <w:rPr>
      <w:sz w:val="20"/>
      <w:szCs w:val="20"/>
    </w:rPr>
  </w:style>
  <w:style w:type="character" w:customStyle="1" w:styleId="CommentTextChar">
    <w:name w:val="Comment Text Char"/>
    <w:basedOn w:val="DefaultParagraphFont"/>
    <w:link w:val="CommentText"/>
    <w:uiPriority w:val="99"/>
    <w:rsid w:val="00572FAC"/>
    <w:rPr>
      <w:sz w:val="20"/>
      <w:szCs w:val="20"/>
    </w:rPr>
  </w:style>
  <w:style w:type="paragraph" w:styleId="CommentSubject">
    <w:name w:val="annotation subject"/>
    <w:basedOn w:val="CommentText"/>
    <w:next w:val="CommentText"/>
    <w:link w:val="CommentSubjectChar"/>
    <w:uiPriority w:val="99"/>
    <w:semiHidden/>
    <w:unhideWhenUsed/>
    <w:rsid w:val="00572FAC"/>
    <w:rPr>
      <w:b/>
      <w:bCs/>
    </w:rPr>
  </w:style>
  <w:style w:type="character" w:customStyle="1" w:styleId="CommentSubjectChar">
    <w:name w:val="Comment Subject Char"/>
    <w:basedOn w:val="CommentTextChar"/>
    <w:link w:val="CommentSubject"/>
    <w:uiPriority w:val="99"/>
    <w:semiHidden/>
    <w:rsid w:val="00572FAC"/>
    <w:rPr>
      <w:b/>
      <w:bCs/>
      <w:sz w:val="20"/>
      <w:szCs w:val="20"/>
    </w:rPr>
  </w:style>
  <w:style w:type="character" w:styleId="FollowedHyperlink">
    <w:name w:val="FollowedHyperlink"/>
    <w:basedOn w:val="DefaultParagraphFont"/>
    <w:uiPriority w:val="99"/>
    <w:semiHidden/>
    <w:unhideWhenUsed/>
    <w:rsid w:val="008B0A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del/2024/1765/oj" TargetMode="External"/><Relationship Id="rId2" Type="http://schemas.openxmlformats.org/officeDocument/2006/relationships/hyperlink" Target="http://data.europa.eu/eli/reg_del/2024/1765/oj" TargetMode="External"/><Relationship Id="rId1" Type="http://schemas.openxmlformats.org/officeDocument/2006/relationships/hyperlink" Target="http://data.europa.eu/eli/reg/2020/741/oj" TargetMode="External"/><Relationship Id="rId4" Type="http://schemas.openxmlformats.org/officeDocument/2006/relationships/hyperlink" Target="https://circabc.europa.eu/ui/group/9ab5926d-bed4-4322-9aa7-9964bbe8312d/library/dd9b4484-2935-4ee8-b3ce-72f844f3644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A595A-A4CB-4769-9657-E3B88660C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11</cp:revision>
  <dcterms:created xsi:type="dcterms:W3CDTF">2024-08-20T14:09:00Z</dcterms:created>
  <dcterms:modified xsi:type="dcterms:W3CDTF">2024-10-01T07:12:00Z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9.0, Build 20230317</vt:lpwstr>
  </property>
  <property fmtid="{D5CDD505-2E9C-101B-9397-08002B2CF9AE}" pid="8" name="Created using">
    <vt:lpwstr>LW 9.0, Build 20230317</vt:lpwstr>
  </property>
  <property fmtid="{D5CDD505-2E9C-101B-9397-08002B2CF9AE}" pid="9" name="MSIP_Label_6bd9ddd1-4d20-43f6-abfa-fc3c07406f94_Enabled">
    <vt:lpwstr>true</vt:lpwstr>
  </property>
  <property fmtid="{D5CDD505-2E9C-101B-9397-08002B2CF9AE}" pid="10" name="MSIP_Label_6bd9ddd1-4d20-43f6-abfa-fc3c07406f94_SetDate">
    <vt:lpwstr>2024-06-27T15:54:54Z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6c16ccf1-a247-46d2-830c-f25ea8246be8</vt:lpwstr>
  </property>
  <property fmtid="{D5CDD505-2E9C-101B-9397-08002B2CF9AE}" pid="15" name="MSIP_Label_6bd9ddd1-4d20-43f6-abfa-fc3c07406f94_ContentBits">
    <vt:lpwstr>0</vt:lpwstr>
  </property>
</Properties>
</file>