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A0A2" w14:textId="40F257C5" w:rsidR="00A91CF6" w:rsidRDefault="00F56755" w:rsidP="00F56755">
      <w:pPr>
        <w:pStyle w:val="Pagedecouverture"/>
        <w:rPr>
          <w:noProof/>
        </w:rPr>
      </w:pPr>
      <w:bookmarkStart w:id="0" w:name="LW_BM_COVERPAGE"/>
      <w:r>
        <w:rPr>
          <w:noProof/>
        </w:rPr>
        <w:pict w14:anchorId="7DC06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C819B09-516F-40C9-9674-F4B77464317D" style="width:455.25pt;height:410.25pt">
            <v:imagedata r:id="rId8" o:title=""/>
          </v:shape>
        </w:pict>
      </w:r>
    </w:p>
    <w:bookmarkEnd w:id="0"/>
    <w:p w14:paraId="79180515" w14:textId="77777777" w:rsidR="00A91CF6" w:rsidRDefault="00A91CF6" w:rsidP="00A91CF6">
      <w:pPr>
        <w:rPr>
          <w:noProof/>
        </w:rPr>
        <w:sectPr w:rsidR="00A91CF6" w:rsidSect="00F5675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7CC4474" w14:textId="77777777" w:rsidR="00C55629" w:rsidRPr="00792A09" w:rsidRDefault="00C55629" w:rsidP="00792A09">
      <w:pPr>
        <w:tabs>
          <w:tab w:val="num" w:pos="1004"/>
        </w:tabs>
        <w:spacing w:before="120" w:after="120" w:line="240" w:lineRule="auto"/>
        <w:ind w:left="850" w:hanging="850"/>
        <w:jc w:val="both"/>
        <w:rPr>
          <w:rFonts w:ascii="Times New Roman" w:eastAsia="Times New Roman" w:hAnsi="Times New Roman" w:cs="Times New Roman"/>
          <w:noProof/>
          <w:kern w:val="0"/>
          <w:sz w:val="24"/>
          <w:szCs w:val="24"/>
          <w:lang w:val="en-GB" w:eastAsia="de-DE"/>
          <w14:ligatures w14:val="none"/>
        </w:rPr>
      </w:pPr>
      <w:bookmarkStart w:id="1" w:name="_GoBack"/>
      <w:bookmarkEnd w:id="1"/>
      <w:r w:rsidRPr="00792A09">
        <w:rPr>
          <w:rFonts w:ascii="Times New Roman" w:eastAsia="Times New Roman" w:hAnsi="Times New Roman" w:cs="Times New Roman"/>
          <w:noProof/>
          <w:kern w:val="0"/>
          <w:sz w:val="24"/>
          <w:szCs w:val="24"/>
          <w:lang w:val="en-GB" w:eastAsia="de-DE"/>
          <w14:ligatures w14:val="none"/>
        </w:rPr>
        <w:lastRenderedPageBreak/>
        <w:t>Having regard to:</w:t>
      </w:r>
    </w:p>
    <w:p w14:paraId="426ACCB0" w14:textId="77777777" w:rsidR="00C55629" w:rsidRPr="00C55629" w:rsidRDefault="00C55629" w:rsidP="00792A09">
      <w:pPr>
        <w:pStyle w:val="Tiret0"/>
        <w:numPr>
          <w:ilvl w:val="0"/>
          <w:numId w:val="26"/>
        </w:numPr>
        <w:ind w:left="851" w:hanging="851"/>
        <w:rPr>
          <w:noProof/>
        </w:rPr>
      </w:pPr>
      <w:r w:rsidRPr="00C55629">
        <w:rPr>
          <w:noProof/>
        </w:rPr>
        <w:t>the Treaty on the Functioning of the European Union, and in particular Article 314 thereof, in conjunction with the Treaty establishing the European Atomic Energy Community, and in particular Article 106a thereof,</w:t>
      </w:r>
    </w:p>
    <w:p w14:paraId="163B5EC5" w14:textId="77777777" w:rsidR="00C55629" w:rsidRPr="00C55629" w:rsidRDefault="00C55629" w:rsidP="00792A09">
      <w:pPr>
        <w:pStyle w:val="Tiret0"/>
        <w:numPr>
          <w:ilvl w:val="0"/>
          <w:numId w:val="26"/>
        </w:numPr>
        <w:ind w:left="851" w:hanging="851"/>
        <w:rPr>
          <w:noProof/>
        </w:rPr>
      </w:pPr>
      <w:r w:rsidRPr="00C55629">
        <w:rPr>
          <w:noProof/>
        </w:rPr>
        <w:t>Council Decision (EU, Euratom) 2020/2053 of 14 December 2020 on the system of own resources of the European Union</w:t>
      </w:r>
      <w:r w:rsidRPr="00C55629">
        <w:rPr>
          <w:noProof/>
          <w:vertAlign w:val="superscript"/>
        </w:rPr>
        <w:footnoteReference w:id="1"/>
      </w:r>
      <w:r w:rsidRPr="00C55629">
        <w:rPr>
          <w:noProof/>
        </w:rPr>
        <w:t>, entered into force on 1 June 2021,</w:t>
      </w:r>
    </w:p>
    <w:p w14:paraId="7EAF7571" w14:textId="77777777" w:rsidR="00C55629" w:rsidRPr="00C55629" w:rsidRDefault="00C55629" w:rsidP="00792A09">
      <w:pPr>
        <w:pStyle w:val="Tiret0"/>
        <w:numPr>
          <w:ilvl w:val="0"/>
          <w:numId w:val="26"/>
        </w:numPr>
        <w:ind w:left="851" w:hanging="851"/>
        <w:rPr>
          <w:rFonts w:cs="Arial"/>
          <w:noProof/>
        </w:rPr>
      </w:pPr>
      <w:r w:rsidRPr="00C55629">
        <w:rPr>
          <w:noProof/>
        </w:rPr>
        <w:t>Regulation (EU, Euratom) 2024/2509 of the European Parliament and of the Council of 23 September 2024 on the financial rules applicable to the general budget of the Union (recast)</w:t>
      </w:r>
      <w:r w:rsidRPr="00C55629">
        <w:rPr>
          <w:noProof/>
          <w:vertAlign w:val="superscript"/>
        </w:rPr>
        <w:footnoteReference w:id="2"/>
      </w:r>
      <w:r w:rsidRPr="00C55629">
        <w:rPr>
          <w:noProof/>
        </w:rPr>
        <w:t>, and in particular Article 42 thereof,</w:t>
      </w:r>
    </w:p>
    <w:p w14:paraId="2C397400" w14:textId="77777777" w:rsidR="00C55629" w:rsidRPr="00C55629" w:rsidRDefault="00C55629" w:rsidP="00792A09">
      <w:pPr>
        <w:pStyle w:val="Tiret0"/>
        <w:numPr>
          <w:ilvl w:val="0"/>
          <w:numId w:val="26"/>
        </w:numPr>
        <w:ind w:left="851" w:hanging="851"/>
        <w:rPr>
          <w:noProof/>
        </w:rPr>
      </w:pPr>
      <w:r w:rsidRPr="00C55629">
        <w:rPr>
          <w:noProof/>
        </w:rPr>
        <w:t>the draft general budget of the European Union for the financial year 2025, as adopted by the Commission on 12 July 2024</w:t>
      </w:r>
      <w:r w:rsidRPr="00C55629">
        <w:rPr>
          <w:noProof/>
          <w:vertAlign w:val="superscript"/>
        </w:rPr>
        <w:footnoteReference w:id="3"/>
      </w:r>
      <w:r w:rsidRPr="00C55629">
        <w:rPr>
          <w:noProof/>
        </w:rPr>
        <w:t>,</w:t>
      </w:r>
    </w:p>
    <w:p w14:paraId="3323F8E5" w14:textId="77777777" w:rsidR="00C55629" w:rsidRPr="00C55629" w:rsidRDefault="00C55629" w:rsidP="00CA47B3">
      <w:pPr>
        <w:spacing w:after="600"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European Commission hereby presents to the European Parliament and to the Council Amending Letter No 1 to the draft general budget of the European Union for the financial year 2025, for the reasons set out in the explanatory memorandum.</w:t>
      </w:r>
    </w:p>
    <w:p w14:paraId="06103B51" w14:textId="77777777" w:rsidR="00C55629" w:rsidRPr="00C55629" w:rsidRDefault="00C55629" w:rsidP="00C55629">
      <w:pPr>
        <w:spacing w:after="240" w:line="240" w:lineRule="auto"/>
        <w:jc w:val="both"/>
        <w:rPr>
          <w:rFonts w:ascii="Times New Roman" w:eastAsia="Times New Roman" w:hAnsi="Times New Roman" w:cs="Times New Roman"/>
          <w:b/>
          <w:noProof/>
          <w:kern w:val="0"/>
          <w:sz w:val="24"/>
          <w:szCs w:val="24"/>
          <w:u w:val="single"/>
          <w:lang w:val="en-GB" w:eastAsia="ko-KR"/>
          <w14:ligatures w14:val="none"/>
        </w:rPr>
      </w:pPr>
      <w:r w:rsidRPr="00C55629">
        <w:rPr>
          <w:rFonts w:ascii="Times New Roman" w:eastAsia="Times New Roman" w:hAnsi="Times New Roman" w:cs="Times New Roman"/>
          <w:b/>
          <w:noProof/>
          <w:kern w:val="0"/>
          <w:sz w:val="24"/>
          <w:szCs w:val="24"/>
          <w:u w:val="single"/>
          <w:lang w:val="en-GB" w:eastAsia="ko-KR"/>
          <w14:ligatures w14:val="none"/>
        </w:rPr>
        <w:t>CHANGES TO THE STATEMENT OF REVENUE AND EXPENDITURE BY SECTION</w:t>
      </w:r>
    </w:p>
    <w:p w14:paraId="37C048E6" w14:textId="2217ED7F" w:rsidR="00C55629" w:rsidRPr="00C55629" w:rsidRDefault="00C55629" w:rsidP="00C97E3E">
      <w:pPr>
        <w:spacing w:after="0" w:line="240" w:lineRule="auto"/>
        <w:jc w:val="both"/>
        <w:rPr>
          <w:rFonts w:ascii="Times New Roman" w:eastAsia="Times New Roman" w:hAnsi="Times New Roman" w:cs="Times New Roman"/>
          <w:noProof/>
          <w:kern w:val="0"/>
          <w:sz w:val="24"/>
          <w:szCs w:val="24"/>
          <w:lang w:val="en-GB" w:eastAsia="ko-KR"/>
          <w14:ligatures w14:val="none"/>
        </w:rPr>
      </w:pPr>
      <w:r w:rsidRPr="00C55629">
        <w:rPr>
          <w:rFonts w:ascii="Times New Roman" w:eastAsia="Times New Roman" w:hAnsi="Times New Roman" w:cs="Times New Roman"/>
          <w:noProof/>
          <w:kern w:val="0"/>
          <w:sz w:val="24"/>
          <w:szCs w:val="24"/>
          <w:lang w:val="en-GB" w:eastAsia="en-GB"/>
          <w14:ligatures w14:val="none"/>
        </w:rPr>
        <w:t>The changes to the general statement of expenditure and revenue as well to the statements of revenue and expenditure by section are available on EUR-Lex (</w:t>
      </w:r>
      <w:hyperlink r:id="rId15" w:history="1">
        <w:r w:rsidRPr="00C55629">
          <w:rPr>
            <w:rFonts w:ascii="Times New Roman" w:eastAsia="Times New Roman" w:hAnsi="Times New Roman" w:cs="Times New Roman"/>
            <w:noProof/>
            <w:kern w:val="0"/>
            <w:sz w:val="24"/>
            <w:szCs w:val="24"/>
            <w:u w:val="single"/>
            <w:lang w:val="en-GB" w:eastAsia="en-GB"/>
            <w14:ligatures w14:val="none"/>
          </w:rPr>
          <w:t>https://eur-lex.europa.eu/budget/www/index-en.htm</w:t>
        </w:r>
      </w:hyperlink>
      <w:r w:rsidRPr="00C55629">
        <w:rPr>
          <w:rFonts w:ascii="Times New Roman" w:eastAsia="Times New Roman" w:hAnsi="Times New Roman" w:cs="Times New Roman"/>
          <w:noProof/>
          <w:kern w:val="0"/>
          <w:sz w:val="24"/>
          <w:szCs w:val="24"/>
          <w:lang w:val="en-GB" w:eastAsia="en-GB"/>
          <w14:ligatures w14:val="none"/>
        </w:rPr>
        <w:t xml:space="preserve">). An English version of the changes to this </w:t>
      </w:r>
      <w:r w:rsidR="00C97E3E">
        <w:rPr>
          <w:rFonts w:ascii="Times New Roman" w:eastAsia="Times New Roman" w:hAnsi="Times New Roman" w:cs="Times New Roman"/>
          <w:noProof/>
          <w:kern w:val="0"/>
          <w:sz w:val="24"/>
          <w:szCs w:val="24"/>
          <w:lang w:val="en-GB" w:eastAsia="en-GB"/>
          <w14:ligatures w14:val="none"/>
        </w:rPr>
        <w:t>s</w:t>
      </w:r>
      <w:r w:rsidRPr="00C55629">
        <w:rPr>
          <w:rFonts w:ascii="Times New Roman" w:eastAsia="Times New Roman" w:hAnsi="Times New Roman" w:cs="Times New Roman"/>
          <w:noProof/>
          <w:kern w:val="0"/>
          <w:sz w:val="24"/>
          <w:szCs w:val="24"/>
          <w:lang w:val="en-GB" w:eastAsia="en-GB"/>
          <w14:ligatures w14:val="none"/>
        </w:rPr>
        <w:t>tatement is attached for information as a budgetary annex.</w:t>
      </w:r>
    </w:p>
    <w:p w14:paraId="66B97B6A" w14:textId="77777777" w:rsidR="00C55629" w:rsidRPr="00C55629" w:rsidRDefault="00C55629" w:rsidP="00C55629">
      <w:pPr>
        <w:spacing w:after="0" w:line="240" w:lineRule="auto"/>
        <w:jc w:val="both"/>
        <w:rPr>
          <w:rFonts w:ascii="Times New Roman" w:eastAsia="Times New Roman" w:hAnsi="Times New Roman" w:cs="Times New Roman"/>
          <w:noProof/>
          <w:kern w:val="0"/>
          <w:sz w:val="24"/>
          <w:szCs w:val="24"/>
          <w:lang w:val="en-GB" w:eastAsia="en-GB"/>
          <w14:ligatures w14:val="none"/>
        </w:rPr>
        <w:sectPr w:rsidR="00C55629" w:rsidRPr="00C55629" w:rsidSect="00C97E3E">
          <w:headerReference w:type="even" r:id="rId16"/>
          <w:headerReference w:type="default" r:id="rId17"/>
          <w:footerReference w:type="even" r:id="rId18"/>
          <w:footerReference w:type="default" r:id="rId19"/>
          <w:headerReference w:type="first" r:id="rId20"/>
          <w:footerReference w:type="first" r:id="rId21"/>
          <w:pgSz w:w="11907" w:h="16839"/>
          <w:pgMar w:top="1418" w:right="1418" w:bottom="1418" w:left="1418" w:header="709" w:footer="591" w:gutter="0"/>
          <w:cols w:space="720"/>
          <w:docGrid w:linePitch="360"/>
        </w:sectPr>
      </w:pPr>
    </w:p>
    <w:p w14:paraId="74C085DE" w14:textId="77777777" w:rsidR="00C55629" w:rsidRPr="00C55629" w:rsidRDefault="00C55629" w:rsidP="00792A09">
      <w:pPr>
        <w:pStyle w:val="ManualHeading1"/>
        <w:rPr>
          <w:noProof/>
        </w:rPr>
      </w:pPr>
      <w:bookmarkStart w:id="2" w:name="_Toc462410042"/>
      <w:bookmarkStart w:id="3" w:name="_Toc526753779"/>
      <w:bookmarkStart w:id="4" w:name="_Toc54770308"/>
      <w:bookmarkStart w:id="5" w:name="_Toc55807118"/>
      <w:bookmarkStart w:id="6" w:name="_Toc114838626"/>
      <w:bookmarkStart w:id="7" w:name="_Toc145922819"/>
      <w:bookmarkStart w:id="8" w:name="_Toc294675429"/>
      <w:bookmarkStart w:id="9" w:name="_Toc272133653"/>
      <w:bookmarkStart w:id="10" w:name="_Toc294673202"/>
      <w:bookmarkStart w:id="11" w:name="_Toc318365572"/>
      <w:bookmarkStart w:id="12" w:name="_Toc361649893"/>
      <w:bookmarkStart w:id="13" w:name="_Toc387301589"/>
      <w:bookmarkStart w:id="14" w:name="_Toc385506031"/>
      <w:bookmarkStart w:id="15" w:name="_Toc430865946"/>
      <w:bookmarkStart w:id="16" w:name="_Toc430867524"/>
      <w:bookmarkStart w:id="17" w:name="_Toc463264162"/>
      <w:bookmarkStart w:id="18" w:name="_Toc351469332"/>
      <w:bookmarkStart w:id="19" w:name="_Toc361649879"/>
      <w:r w:rsidRPr="00C55629">
        <w:rPr>
          <w:noProof/>
        </w:rPr>
        <w:t>1.</w:t>
      </w:r>
      <w:r w:rsidRPr="00C55629">
        <w:rPr>
          <w:noProof/>
        </w:rPr>
        <w:tab/>
      </w:r>
      <w:bookmarkEnd w:id="2"/>
      <w:bookmarkEnd w:id="3"/>
      <w:bookmarkEnd w:id="4"/>
      <w:bookmarkEnd w:id="5"/>
      <w:r w:rsidRPr="00C55629">
        <w:rPr>
          <w:noProof/>
        </w:rPr>
        <w:t>Introduction</w:t>
      </w:r>
      <w:bookmarkEnd w:id="6"/>
      <w:bookmarkEnd w:id="7"/>
    </w:p>
    <w:bookmarkEnd w:id="8"/>
    <w:bookmarkEnd w:id="9"/>
    <w:bookmarkEnd w:id="10"/>
    <w:bookmarkEnd w:id="11"/>
    <w:bookmarkEnd w:id="12"/>
    <w:bookmarkEnd w:id="13"/>
    <w:bookmarkEnd w:id="14"/>
    <w:bookmarkEnd w:id="15"/>
    <w:bookmarkEnd w:id="16"/>
    <w:bookmarkEnd w:id="17"/>
    <w:bookmarkEnd w:id="18"/>
    <w:bookmarkEnd w:id="19"/>
    <w:p w14:paraId="18DC993A" w14:textId="77777777" w:rsidR="00C55629" w:rsidRPr="00C55629" w:rsidRDefault="00C55629" w:rsidP="00C55629">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Amending Letter No 1 (AL 1/2025) to the draft budget for the year 2025 (DB 2025) covers the following elements:</w:t>
      </w:r>
    </w:p>
    <w:p w14:paraId="61EEF80C" w14:textId="77777777" w:rsidR="00C55629" w:rsidRPr="00C55629" w:rsidRDefault="00C55629" w:rsidP="00792A09">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Increase of payment appropriations in relation to the additional flexibilities and support for an indicative amount of EUR 10 billion from cohesion funds to the Member States affected by the natural disasters in Europe;</w:t>
      </w:r>
    </w:p>
    <w:p w14:paraId="27AEC41F" w14:textId="77777777" w:rsidR="00C55629" w:rsidRPr="00C55629" w:rsidRDefault="00C55629" w:rsidP="00792A09">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Update of the needs for the interest line for NextGenerationEU, against the backdrop of a lower level of NextGenerationEU disbursements until end September 2024 than previously estimated;</w:t>
      </w:r>
    </w:p>
    <w:p w14:paraId="76A691FB" w14:textId="77777777" w:rsidR="00C55629" w:rsidRPr="00C55629" w:rsidRDefault="00C55629" w:rsidP="00792A09">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Update of the estimated needs, assigned revenue and appropriations for agricultural expenditure. In addition to changing market factors, AL 1/2025 also incorporates the impact of decisions in the agricultural sector since the DB 2025 was adopted in July 2024, as well as other proposals expected to have a significant effect during the financial year;</w:t>
      </w:r>
    </w:p>
    <w:p w14:paraId="6F3B3747"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Update of the estimated needs for the Sustainable Fisheries Partnership Agreements (SFPAs), taking into account the new protocols with the Republic of Cabo Verde (2024-2029) and with the Republic of Guinea-Bissau (2024-2029);</w:t>
      </w:r>
    </w:p>
    <w:p w14:paraId="4DC48A9D"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Adjustments to heading 7 “European Public Administration”:</w:t>
      </w:r>
    </w:p>
    <w:p w14:paraId="08069190"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eastAsia="Times New Roman" w:hAnsi="Times New Roman"/>
          <w:noProof/>
          <w:sz w:val="24"/>
          <w:szCs w:val="24"/>
          <w:lang w:val="en-GB" w:eastAsia="en-GB"/>
        </w:rPr>
        <w:t>to incorporate the impact of the higher salary adjustment for 2024 on the administrative expenditure of the institutions and on pensions following updated estimates for purchasing power and inflation, compared to the parameters used when preparing the DB 2025;</w:t>
      </w:r>
    </w:p>
    <w:p w14:paraId="7F0B03B2"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eastAsia="Times New Roman" w:hAnsi="Times New Roman"/>
          <w:noProof/>
          <w:sz w:val="24"/>
          <w:szCs w:val="24"/>
          <w:lang w:val="en-GB" w:eastAsia="en-GB"/>
        </w:rPr>
        <w:t>to reinforce the Computer Emergency Response Team for the EU institutions, bodies and agencies (CERT-EU) through the transfer of posts and appropriations from other Institutions, following the agreement on the Cybersecurity Regulation;</w:t>
      </w:r>
    </w:p>
    <w:p w14:paraId="6499C151"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eastAsia="Times New Roman" w:hAnsi="Times New Roman"/>
          <w:noProof/>
          <w:sz w:val="24"/>
          <w:szCs w:val="24"/>
          <w:lang w:val="en-GB" w:eastAsia="en-GB"/>
        </w:rPr>
        <w:t>to incorporate a technical correction to the European Ombudsman section.</w:t>
      </w:r>
    </w:p>
    <w:p w14:paraId="799A31CA"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Adjustments to the level of appropriations for administrative expenditure outside of heading 7, including for some decentralised agencies, linked to the 2024 salary update;</w:t>
      </w:r>
    </w:p>
    <w:p w14:paraId="2B750BC5"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Further adjustments of the EU contribution of several decentralised agencies, as follows:</w:t>
      </w:r>
    </w:p>
    <w:p w14:paraId="445141EF"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eastAsia="Times New Roman" w:hAnsi="Times New Roman"/>
          <w:noProof/>
          <w:sz w:val="24"/>
          <w:szCs w:val="24"/>
          <w:lang w:val="en-GB" w:eastAsia="en-GB"/>
        </w:rPr>
        <w:t>a reinforcement of the European Public Prosecutor’s Office (EPPO) to cater for the proposed introduction of a housing allowance for staff at the lower grades in Luxembourg and to further strengthen the IT independence of the EPPO;</w:t>
      </w:r>
    </w:p>
    <w:p w14:paraId="7C5B3E98"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hAnsi="Times New Roman"/>
          <w:noProof/>
          <w:sz w:val="24"/>
          <w:szCs w:val="24"/>
          <w:lang w:val="en-GB"/>
        </w:rPr>
        <w:t xml:space="preserve">an </w:t>
      </w:r>
      <w:r w:rsidRPr="00C55629">
        <w:rPr>
          <w:rFonts w:ascii="Times New Roman" w:eastAsia="Times New Roman" w:hAnsi="Times New Roman"/>
          <w:noProof/>
          <w:sz w:val="24"/>
          <w:szCs w:val="24"/>
          <w:lang w:val="en-GB" w:eastAsia="en-GB"/>
        </w:rPr>
        <w:t>adjustment</w:t>
      </w:r>
      <w:r w:rsidRPr="00C55629">
        <w:rPr>
          <w:rFonts w:ascii="Times New Roman" w:hAnsi="Times New Roman"/>
          <w:noProof/>
          <w:sz w:val="24"/>
          <w:szCs w:val="24"/>
          <w:lang w:val="en-GB"/>
        </w:rPr>
        <w:t xml:space="preserve"> of t</w:t>
      </w:r>
      <w:r w:rsidRPr="00C55629">
        <w:rPr>
          <w:rFonts w:ascii="Times New Roman" w:eastAsia="Times New Roman" w:hAnsi="Times New Roman"/>
          <w:noProof/>
          <w:sz w:val="24"/>
          <w:szCs w:val="24"/>
          <w:lang w:val="en-GB" w:eastAsia="en-GB"/>
        </w:rPr>
        <w:t>he EU contribution to the European Union Agency for Law Enforcement Training (CEPOL) to reinforce its cybersecurity and a reinforcement of the establishment plan with one establishment plan post;</w:t>
      </w:r>
    </w:p>
    <w:p w14:paraId="537D4614" w14:textId="77777777" w:rsidR="00C55629" w:rsidRPr="00C55629" w:rsidRDefault="00C55629" w:rsidP="00CA47B3">
      <w:pPr>
        <w:pStyle w:val="ListParagraph"/>
        <w:numPr>
          <w:ilvl w:val="0"/>
          <w:numId w:val="25"/>
        </w:numPr>
        <w:spacing w:after="120"/>
        <w:contextualSpacing w:val="0"/>
        <w:jc w:val="both"/>
        <w:rPr>
          <w:rFonts w:ascii="Times New Roman" w:eastAsia="Times New Roman" w:hAnsi="Times New Roman"/>
          <w:noProof/>
          <w:sz w:val="24"/>
          <w:szCs w:val="24"/>
          <w:lang w:val="en-GB" w:eastAsia="en-GB"/>
        </w:rPr>
      </w:pPr>
      <w:r w:rsidRPr="00C55629">
        <w:rPr>
          <w:rFonts w:ascii="Times New Roman" w:eastAsia="Times New Roman" w:hAnsi="Times New Roman"/>
          <w:noProof/>
          <w:sz w:val="24"/>
          <w:szCs w:val="24"/>
          <w:lang w:val="en-GB" w:eastAsia="en-GB"/>
        </w:rPr>
        <w:t>an adjustment of the grading in the establishment plans of the European Union Agency for Law Enforcement Cooperation (Europol) and the European Union Agency for Criminal Justice Cooperation (Eurojust), allowing for suitable promotion and progression of careers;</w:t>
      </w:r>
    </w:p>
    <w:p w14:paraId="07F646A9"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bookmarkStart w:id="20" w:name="_Toc463264163"/>
      <w:r w:rsidRPr="00C55629">
        <w:rPr>
          <w:rFonts w:ascii="Times New Roman" w:hAnsi="Times New Roman"/>
          <w:noProof/>
          <w:sz w:val="24"/>
          <w:szCs w:val="24"/>
          <w:lang w:val="en-GB"/>
        </w:rPr>
        <w:t>Adjustment of the budgetary nomenclature and remarks following the adoption of the proposal for the Ukraine Loan Cooperation Mechanism (ULCM) Regulation</w:t>
      </w:r>
      <w:r w:rsidRPr="00C55629">
        <w:rPr>
          <w:rFonts w:ascii="Times New Roman" w:hAnsi="Times New Roman"/>
          <w:noProof/>
          <w:sz w:val="24"/>
          <w:szCs w:val="24"/>
          <w:vertAlign w:val="superscript"/>
          <w:lang w:val="en-GB"/>
        </w:rPr>
        <w:footnoteReference w:id="4"/>
      </w:r>
      <w:r w:rsidRPr="00C55629">
        <w:rPr>
          <w:rFonts w:ascii="Times New Roman" w:hAnsi="Times New Roman"/>
          <w:noProof/>
          <w:sz w:val="24"/>
          <w:szCs w:val="24"/>
          <w:lang w:val="en-GB"/>
        </w:rPr>
        <w:t>;</w:t>
      </w:r>
    </w:p>
    <w:p w14:paraId="0E016942" w14:textId="77777777" w:rsidR="00C55629" w:rsidRPr="00C55629" w:rsidRDefault="00C55629" w:rsidP="00CA47B3">
      <w:pPr>
        <w:pStyle w:val="ListParagraph"/>
        <w:numPr>
          <w:ilvl w:val="0"/>
          <w:numId w:val="10"/>
        </w:numPr>
        <w:spacing w:after="120"/>
        <w:ind w:left="357" w:hanging="357"/>
        <w:contextualSpacing w:val="0"/>
        <w:jc w:val="both"/>
        <w:rPr>
          <w:rFonts w:ascii="Times New Roman" w:hAnsi="Times New Roman"/>
          <w:noProof/>
          <w:sz w:val="24"/>
          <w:szCs w:val="24"/>
          <w:lang w:val="en-GB"/>
        </w:rPr>
      </w:pPr>
      <w:r w:rsidRPr="00C55629">
        <w:rPr>
          <w:rFonts w:ascii="Times New Roman" w:hAnsi="Times New Roman"/>
          <w:noProof/>
          <w:sz w:val="24"/>
          <w:szCs w:val="24"/>
          <w:lang w:val="en-GB"/>
        </w:rPr>
        <w:t>Adjustment of the budgetary nomenclature following specific Member States’ requests to transfer resources pursuant to Article 26 of the Common Provisions Regulation (CPR)</w:t>
      </w:r>
      <w:r w:rsidRPr="00C55629">
        <w:rPr>
          <w:rFonts w:ascii="Times New Roman" w:hAnsi="Times New Roman"/>
          <w:noProof/>
          <w:sz w:val="24"/>
          <w:szCs w:val="24"/>
          <w:vertAlign w:val="superscript"/>
          <w:lang w:val="en-GB"/>
        </w:rPr>
        <w:footnoteReference w:id="5"/>
      </w:r>
      <w:r w:rsidRPr="00C55629">
        <w:rPr>
          <w:rFonts w:ascii="Times New Roman" w:hAnsi="Times New Roman"/>
          <w:noProof/>
          <w:sz w:val="24"/>
          <w:szCs w:val="24"/>
          <w:lang w:val="en-GB"/>
        </w:rPr>
        <w:t>;</w:t>
      </w:r>
    </w:p>
    <w:p w14:paraId="672FD4BA" w14:textId="77777777" w:rsidR="00C55629" w:rsidRPr="00C55629" w:rsidRDefault="00C55629" w:rsidP="00CA47B3">
      <w:pPr>
        <w:pStyle w:val="ListParagraph"/>
        <w:numPr>
          <w:ilvl w:val="0"/>
          <w:numId w:val="10"/>
        </w:numPr>
        <w:spacing w:after="120"/>
        <w:ind w:left="357" w:hanging="357"/>
        <w:contextualSpacing w:val="0"/>
        <w:jc w:val="both"/>
        <w:rPr>
          <w:rFonts w:ascii="Times New Roman" w:eastAsia="Times New Roman" w:hAnsi="Times New Roman"/>
          <w:noProof/>
          <w:sz w:val="24"/>
          <w:szCs w:val="24"/>
          <w:lang w:val="en-GB" w:eastAsia="en-GB"/>
        </w:rPr>
      </w:pPr>
      <w:r w:rsidRPr="00C55629">
        <w:rPr>
          <w:rFonts w:ascii="Times New Roman" w:hAnsi="Times New Roman"/>
          <w:noProof/>
          <w:sz w:val="24"/>
          <w:szCs w:val="24"/>
          <w:lang w:val="en-GB"/>
        </w:rPr>
        <w:t>Technical</w:t>
      </w:r>
      <w:r w:rsidRPr="00C55629">
        <w:rPr>
          <w:rFonts w:ascii="Times New Roman" w:eastAsia="Times New Roman" w:hAnsi="Times New Roman"/>
          <w:noProof/>
          <w:sz w:val="24"/>
          <w:szCs w:val="24"/>
          <w:lang w:val="en-GB" w:eastAsia="en-GB"/>
        </w:rPr>
        <w:t xml:space="preserve"> corrections in the relevant budget remarks in relation to references to decommitments made in relation to appropriations made available again in accordance with Article 15(3) of the Financial Regulation.</w:t>
      </w:r>
    </w:p>
    <w:p w14:paraId="3100D5EA" w14:textId="77777777" w:rsidR="00C55629" w:rsidRPr="00C55629" w:rsidRDefault="00C55629" w:rsidP="00CA47B3">
      <w:pPr>
        <w:pStyle w:val="ListParagraph"/>
        <w:numPr>
          <w:ilvl w:val="0"/>
          <w:numId w:val="10"/>
        </w:numPr>
        <w:spacing w:after="120"/>
        <w:ind w:left="357" w:hanging="357"/>
        <w:contextualSpacing w:val="0"/>
        <w:jc w:val="both"/>
        <w:rPr>
          <w:rFonts w:ascii="Times New Roman" w:eastAsia="Times New Roman" w:hAnsi="Times New Roman"/>
          <w:noProof/>
          <w:sz w:val="24"/>
          <w:szCs w:val="24"/>
          <w:lang w:val="en-GB" w:eastAsia="en-GB"/>
        </w:rPr>
      </w:pPr>
      <w:r w:rsidRPr="00C55629">
        <w:rPr>
          <w:rFonts w:ascii="Times New Roman" w:hAnsi="Times New Roman"/>
          <w:noProof/>
          <w:sz w:val="24"/>
          <w:szCs w:val="24"/>
          <w:lang w:val="en-GB"/>
        </w:rPr>
        <w:t>Updating</w:t>
      </w:r>
      <w:r w:rsidRPr="00C55629">
        <w:rPr>
          <w:rFonts w:ascii="Times New Roman" w:eastAsia="Times New Roman" w:hAnsi="Times New Roman"/>
          <w:noProof/>
          <w:sz w:val="24"/>
          <w:szCs w:val="24"/>
          <w:lang w:val="en-GB" w:eastAsia="en-GB"/>
        </w:rPr>
        <w:t xml:space="preserve"> the revenue side of the budget as regards the revised UK contribution and adjustment of the budget nomenclature and remarks following the adoption of the proposal for the ULCM.</w:t>
      </w:r>
    </w:p>
    <w:p w14:paraId="081B2C88" w14:textId="77777777" w:rsidR="00C55629" w:rsidRPr="00C55629" w:rsidRDefault="00C55629" w:rsidP="00C55629">
      <w:pPr>
        <w:spacing w:before="120" w:after="120" w:line="240" w:lineRule="auto"/>
        <w:jc w:val="both"/>
        <w:rPr>
          <w:rFonts w:ascii="Times New Roman" w:eastAsia="Times New Roman" w:hAnsi="Times New Roman" w:cs="Times New Roman"/>
          <w:noProof/>
          <w:kern w:val="0"/>
          <w:sz w:val="24"/>
          <w:szCs w:val="20"/>
          <w:lang w:val="en-GB" w:eastAsia="de-DE"/>
          <w14:ligatures w14:val="none"/>
        </w:rPr>
      </w:pPr>
      <w:r w:rsidRPr="00C55629">
        <w:rPr>
          <w:rFonts w:ascii="Times New Roman" w:eastAsia="Times New Roman" w:hAnsi="Times New Roman" w:cs="Times New Roman"/>
          <w:noProof/>
          <w:kern w:val="0"/>
          <w:sz w:val="24"/>
          <w:szCs w:val="20"/>
          <w:lang w:val="en-GB" w:eastAsia="de-DE"/>
          <w14:ligatures w14:val="none"/>
        </w:rPr>
        <w:t>Overall, the net impact of AL 1/2025 on expenditure in the DB 2025 is a decrease of EUR 303,0 million in commitment appropriations and an increase of EUR 2 657,0 million in payment appropriations.</w:t>
      </w:r>
    </w:p>
    <w:tbl>
      <w:tblPr>
        <w:tblW w:w="9840" w:type="dxa"/>
        <w:tblInd w:w="108" w:type="dxa"/>
        <w:tblLook w:val="04A0" w:firstRow="1" w:lastRow="0" w:firstColumn="1" w:lastColumn="0" w:noHBand="0" w:noVBand="1"/>
      </w:tblPr>
      <w:tblGrid>
        <w:gridCol w:w="6360"/>
        <w:gridCol w:w="1780"/>
        <w:gridCol w:w="1700"/>
      </w:tblGrid>
      <w:tr w:rsidR="00C55629" w:rsidRPr="00C55629" w14:paraId="2721E19F" w14:textId="77777777" w:rsidTr="0028479A">
        <w:trPr>
          <w:trHeight w:val="300"/>
          <w:tblHeader/>
        </w:trPr>
        <w:tc>
          <w:tcPr>
            <w:tcW w:w="6360" w:type="dxa"/>
            <w:tcBorders>
              <w:top w:val="nil"/>
              <w:left w:val="nil"/>
              <w:bottom w:val="single" w:sz="4" w:space="0" w:color="auto"/>
              <w:right w:val="nil"/>
            </w:tcBorders>
            <w:shd w:val="clear" w:color="auto" w:fill="auto"/>
            <w:noWrap/>
            <w:vAlign w:val="center"/>
            <w:hideMark/>
          </w:tcPr>
          <w:p w14:paraId="15880B91"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14:ligatures w14:val="none"/>
              </w:rPr>
            </w:pPr>
          </w:p>
        </w:tc>
        <w:tc>
          <w:tcPr>
            <w:tcW w:w="1780" w:type="dxa"/>
            <w:tcBorders>
              <w:top w:val="nil"/>
              <w:left w:val="nil"/>
              <w:bottom w:val="single" w:sz="4" w:space="0" w:color="auto"/>
              <w:right w:val="nil"/>
            </w:tcBorders>
            <w:shd w:val="clear" w:color="auto" w:fill="auto"/>
            <w:noWrap/>
            <w:vAlign w:val="center"/>
            <w:hideMark/>
          </w:tcPr>
          <w:p w14:paraId="1F3068F5"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14:ligatures w14:val="none"/>
              </w:rPr>
            </w:pPr>
          </w:p>
        </w:tc>
        <w:tc>
          <w:tcPr>
            <w:tcW w:w="1700" w:type="dxa"/>
            <w:tcBorders>
              <w:top w:val="nil"/>
              <w:left w:val="nil"/>
              <w:bottom w:val="single" w:sz="4" w:space="0" w:color="auto"/>
              <w:right w:val="nil"/>
            </w:tcBorders>
            <w:shd w:val="clear" w:color="auto" w:fill="auto"/>
            <w:noWrap/>
            <w:vAlign w:val="center"/>
            <w:hideMark/>
          </w:tcPr>
          <w:p w14:paraId="1F374A16" w14:textId="77777777" w:rsidR="00C55629" w:rsidRPr="00C55629" w:rsidRDefault="00C55629" w:rsidP="00C55629">
            <w:pPr>
              <w:spacing w:after="0" w:line="240" w:lineRule="auto"/>
              <w:jc w:val="right"/>
              <w:rPr>
                <w:rFonts w:ascii="Times New Roman" w:eastAsia="Times New Roman" w:hAnsi="Times New Roman" w:cs="Times New Roman"/>
                <w:i/>
                <w:iCs/>
                <w:noProof/>
                <w:color w:val="000000"/>
                <w:kern w:val="0"/>
                <w:sz w:val="20"/>
                <w:szCs w:val="20"/>
                <w:lang w:val="en-GB"/>
                <w14:ligatures w14:val="none"/>
              </w:rPr>
            </w:pPr>
            <w:r w:rsidRPr="00C55629">
              <w:rPr>
                <w:rFonts w:ascii="Times New Roman" w:eastAsia="Times New Roman" w:hAnsi="Times New Roman" w:cs="Times New Roman"/>
                <w:i/>
                <w:iCs/>
                <w:noProof/>
                <w:color w:val="000000"/>
                <w:kern w:val="0"/>
                <w:sz w:val="20"/>
                <w:szCs w:val="20"/>
                <w:lang w:val="en-GB"/>
                <w14:ligatures w14:val="none"/>
              </w:rPr>
              <w:t>(In EUR million)</w:t>
            </w:r>
          </w:p>
        </w:tc>
      </w:tr>
      <w:tr w:rsidR="00C55629" w:rsidRPr="00C55629" w14:paraId="6CF6588D" w14:textId="77777777" w:rsidTr="0028479A">
        <w:trPr>
          <w:trHeight w:val="300"/>
          <w:tblHeader/>
        </w:trPr>
        <w:tc>
          <w:tcPr>
            <w:tcW w:w="6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D94A01"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Programme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FF8FFDF"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Commitment appropriations</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0E7D035A"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Payment appropriations</w:t>
            </w:r>
          </w:p>
        </w:tc>
      </w:tr>
      <w:tr w:rsidR="00C55629" w:rsidRPr="00C55629" w14:paraId="25D71F03" w14:textId="77777777" w:rsidTr="0028479A">
        <w:trPr>
          <w:trHeight w:val="266"/>
        </w:trPr>
        <w:tc>
          <w:tcPr>
            <w:tcW w:w="6360" w:type="dxa"/>
            <w:tcBorders>
              <w:top w:val="nil"/>
              <w:left w:val="single" w:sz="4" w:space="0" w:color="auto"/>
              <w:bottom w:val="nil"/>
              <w:right w:val="single" w:sz="4" w:space="0" w:color="auto"/>
            </w:tcBorders>
            <w:shd w:val="clear" w:color="auto" w:fill="auto"/>
            <w:vAlign w:val="center"/>
          </w:tcPr>
          <w:p w14:paraId="41B016A7"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European Regional Development Fund (ERDF)</w:t>
            </w:r>
          </w:p>
        </w:tc>
        <w:tc>
          <w:tcPr>
            <w:tcW w:w="1780" w:type="dxa"/>
            <w:tcBorders>
              <w:top w:val="nil"/>
              <w:left w:val="nil"/>
              <w:bottom w:val="nil"/>
              <w:right w:val="single" w:sz="4" w:space="0" w:color="auto"/>
            </w:tcBorders>
            <w:shd w:val="clear" w:color="auto" w:fill="auto"/>
            <w:noWrap/>
            <w:vAlign w:val="center"/>
          </w:tcPr>
          <w:p w14:paraId="1B61E135"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0,0</w:t>
            </w:r>
          </w:p>
        </w:tc>
        <w:tc>
          <w:tcPr>
            <w:tcW w:w="1700" w:type="dxa"/>
            <w:tcBorders>
              <w:top w:val="nil"/>
              <w:left w:val="nil"/>
              <w:bottom w:val="nil"/>
              <w:right w:val="single" w:sz="4" w:space="0" w:color="auto"/>
            </w:tcBorders>
            <w:shd w:val="clear" w:color="auto" w:fill="auto"/>
            <w:noWrap/>
            <w:vAlign w:val="center"/>
          </w:tcPr>
          <w:p w14:paraId="15096E3F"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3 000,0</w:t>
            </w:r>
          </w:p>
        </w:tc>
      </w:tr>
      <w:tr w:rsidR="00C55629" w:rsidRPr="00C55629" w14:paraId="5DA06880" w14:textId="77777777" w:rsidTr="0028479A">
        <w:trPr>
          <w:trHeight w:val="266"/>
        </w:trPr>
        <w:tc>
          <w:tcPr>
            <w:tcW w:w="6360" w:type="dxa"/>
            <w:tcBorders>
              <w:top w:val="nil"/>
              <w:left w:val="single" w:sz="4" w:space="0" w:color="auto"/>
              <w:bottom w:val="nil"/>
              <w:right w:val="single" w:sz="4" w:space="0" w:color="auto"/>
            </w:tcBorders>
            <w:shd w:val="clear" w:color="auto" w:fill="auto"/>
            <w:vAlign w:val="center"/>
          </w:tcPr>
          <w:p w14:paraId="48CD6B70"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EURI interest line</w:t>
            </w:r>
          </w:p>
        </w:tc>
        <w:tc>
          <w:tcPr>
            <w:tcW w:w="1780" w:type="dxa"/>
            <w:tcBorders>
              <w:top w:val="nil"/>
              <w:left w:val="nil"/>
              <w:bottom w:val="nil"/>
              <w:right w:val="single" w:sz="4" w:space="0" w:color="auto"/>
            </w:tcBorders>
            <w:shd w:val="clear" w:color="auto" w:fill="auto"/>
            <w:noWrap/>
            <w:vAlign w:val="center"/>
          </w:tcPr>
          <w:p w14:paraId="0B9F8E1E"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-195,0</w:t>
            </w:r>
          </w:p>
        </w:tc>
        <w:tc>
          <w:tcPr>
            <w:tcW w:w="1700" w:type="dxa"/>
            <w:tcBorders>
              <w:top w:val="nil"/>
              <w:left w:val="nil"/>
              <w:bottom w:val="nil"/>
              <w:right w:val="single" w:sz="4" w:space="0" w:color="auto"/>
            </w:tcBorders>
            <w:shd w:val="clear" w:color="auto" w:fill="auto"/>
            <w:noWrap/>
            <w:vAlign w:val="center"/>
          </w:tcPr>
          <w:p w14:paraId="031BD3FE"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-195,0</w:t>
            </w:r>
          </w:p>
        </w:tc>
      </w:tr>
      <w:tr w:rsidR="00C55629" w:rsidRPr="00C55629" w14:paraId="4ADC348D" w14:textId="77777777" w:rsidTr="0028479A">
        <w:trPr>
          <w:trHeight w:val="300"/>
        </w:trPr>
        <w:tc>
          <w:tcPr>
            <w:tcW w:w="6360" w:type="dxa"/>
            <w:tcBorders>
              <w:top w:val="nil"/>
              <w:left w:val="single" w:sz="4" w:space="0" w:color="auto"/>
              <w:bottom w:val="nil"/>
              <w:right w:val="single" w:sz="4" w:space="0" w:color="auto"/>
            </w:tcBorders>
            <w:shd w:val="clear" w:color="auto" w:fill="auto"/>
            <w:vAlign w:val="center"/>
          </w:tcPr>
          <w:p w14:paraId="6DD5DD4D"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European Agricultural Guarantee Fund (EAGF)</w:t>
            </w:r>
          </w:p>
        </w:tc>
        <w:tc>
          <w:tcPr>
            <w:tcW w:w="1780" w:type="dxa"/>
            <w:tcBorders>
              <w:top w:val="nil"/>
              <w:left w:val="nil"/>
              <w:bottom w:val="nil"/>
              <w:right w:val="single" w:sz="4" w:space="0" w:color="auto"/>
            </w:tcBorders>
            <w:shd w:val="clear" w:color="auto" w:fill="auto"/>
            <w:noWrap/>
            <w:vAlign w:val="center"/>
          </w:tcPr>
          <w:p w14:paraId="4097CBE8"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-351,9</w:t>
            </w:r>
          </w:p>
        </w:tc>
        <w:tc>
          <w:tcPr>
            <w:tcW w:w="1700" w:type="dxa"/>
            <w:tcBorders>
              <w:top w:val="nil"/>
              <w:left w:val="nil"/>
              <w:bottom w:val="nil"/>
              <w:right w:val="single" w:sz="4" w:space="0" w:color="auto"/>
            </w:tcBorders>
            <w:shd w:val="clear" w:color="auto" w:fill="auto"/>
            <w:noWrap/>
            <w:vAlign w:val="center"/>
          </w:tcPr>
          <w:p w14:paraId="1A7663B7"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-391,9</w:t>
            </w:r>
          </w:p>
        </w:tc>
      </w:tr>
      <w:tr w:rsidR="00C55629" w:rsidRPr="00C55629" w14:paraId="568BEE78" w14:textId="77777777" w:rsidTr="0028479A">
        <w:trPr>
          <w:trHeight w:val="300"/>
        </w:trPr>
        <w:tc>
          <w:tcPr>
            <w:tcW w:w="6360" w:type="dxa"/>
            <w:tcBorders>
              <w:top w:val="nil"/>
              <w:left w:val="single" w:sz="4" w:space="0" w:color="auto"/>
              <w:bottom w:val="nil"/>
              <w:right w:val="single" w:sz="4" w:space="0" w:color="auto"/>
            </w:tcBorders>
            <w:shd w:val="clear" w:color="auto" w:fill="auto"/>
            <w:vAlign w:val="center"/>
          </w:tcPr>
          <w:p w14:paraId="7CD8F397"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SFPAs</w:t>
            </w:r>
          </w:p>
        </w:tc>
        <w:tc>
          <w:tcPr>
            <w:tcW w:w="1780" w:type="dxa"/>
            <w:tcBorders>
              <w:top w:val="nil"/>
              <w:left w:val="nil"/>
              <w:bottom w:val="nil"/>
              <w:right w:val="single" w:sz="4" w:space="0" w:color="auto"/>
            </w:tcBorders>
            <w:shd w:val="clear" w:color="auto" w:fill="auto"/>
            <w:noWrap/>
            <w:vAlign w:val="center"/>
          </w:tcPr>
          <w:p w14:paraId="2A05D70D"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0,0</w:t>
            </w:r>
          </w:p>
        </w:tc>
        <w:tc>
          <w:tcPr>
            <w:tcW w:w="1700" w:type="dxa"/>
            <w:tcBorders>
              <w:top w:val="nil"/>
              <w:left w:val="nil"/>
              <w:bottom w:val="nil"/>
              <w:right w:val="single" w:sz="4" w:space="0" w:color="auto"/>
            </w:tcBorders>
            <w:shd w:val="clear" w:color="auto" w:fill="auto"/>
            <w:noWrap/>
            <w:vAlign w:val="center"/>
          </w:tcPr>
          <w:p w14:paraId="3D17D67B"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0,0</w:t>
            </w:r>
          </w:p>
        </w:tc>
      </w:tr>
      <w:tr w:rsidR="00C55629" w:rsidRPr="00C55629" w14:paraId="73577EA5" w14:textId="77777777" w:rsidTr="0028479A">
        <w:trPr>
          <w:trHeight w:val="300"/>
        </w:trPr>
        <w:tc>
          <w:tcPr>
            <w:tcW w:w="6360" w:type="dxa"/>
            <w:tcBorders>
              <w:top w:val="nil"/>
              <w:left w:val="single" w:sz="4" w:space="0" w:color="auto"/>
              <w:right w:val="single" w:sz="4" w:space="0" w:color="auto"/>
            </w:tcBorders>
            <w:shd w:val="clear" w:color="auto" w:fill="auto"/>
            <w:vAlign w:val="center"/>
            <w:hideMark/>
          </w:tcPr>
          <w:p w14:paraId="51485DDD"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Revised salary update - adjustments under heading 7</w:t>
            </w:r>
          </w:p>
        </w:tc>
        <w:tc>
          <w:tcPr>
            <w:tcW w:w="1780" w:type="dxa"/>
            <w:tcBorders>
              <w:top w:val="nil"/>
              <w:left w:val="nil"/>
              <w:right w:val="single" w:sz="4" w:space="0" w:color="auto"/>
            </w:tcBorders>
            <w:shd w:val="clear" w:color="auto" w:fill="auto"/>
            <w:noWrap/>
            <w:vAlign w:val="center"/>
            <w:hideMark/>
          </w:tcPr>
          <w:p w14:paraId="6045D32E"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219,9</w:t>
            </w:r>
          </w:p>
        </w:tc>
        <w:tc>
          <w:tcPr>
            <w:tcW w:w="1700" w:type="dxa"/>
            <w:tcBorders>
              <w:top w:val="nil"/>
              <w:left w:val="nil"/>
              <w:right w:val="single" w:sz="4" w:space="0" w:color="auto"/>
            </w:tcBorders>
            <w:shd w:val="clear" w:color="auto" w:fill="auto"/>
            <w:noWrap/>
            <w:vAlign w:val="center"/>
            <w:hideMark/>
          </w:tcPr>
          <w:p w14:paraId="71C37B20"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219,9</w:t>
            </w:r>
          </w:p>
        </w:tc>
      </w:tr>
      <w:tr w:rsidR="00C55629" w:rsidRPr="00C55629" w14:paraId="6897B3C2" w14:textId="77777777" w:rsidTr="0028479A">
        <w:trPr>
          <w:trHeight w:val="300"/>
        </w:trPr>
        <w:tc>
          <w:tcPr>
            <w:tcW w:w="6360" w:type="dxa"/>
            <w:tcBorders>
              <w:top w:val="nil"/>
              <w:left w:val="single" w:sz="4" w:space="0" w:color="auto"/>
              <w:right w:val="single" w:sz="4" w:space="0" w:color="auto"/>
            </w:tcBorders>
            <w:shd w:val="clear" w:color="auto" w:fill="auto"/>
            <w:vAlign w:val="center"/>
          </w:tcPr>
          <w:p w14:paraId="7EA2823D"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CERT-EU</w:t>
            </w:r>
          </w:p>
        </w:tc>
        <w:tc>
          <w:tcPr>
            <w:tcW w:w="1780" w:type="dxa"/>
            <w:tcBorders>
              <w:top w:val="nil"/>
              <w:left w:val="nil"/>
              <w:right w:val="single" w:sz="4" w:space="0" w:color="auto"/>
            </w:tcBorders>
            <w:shd w:val="clear" w:color="auto" w:fill="auto"/>
            <w:noWrap/>
            <w:vAlign w:val="center"/>
          </w:tcPr>
          <w:p w14:paraId="3B6B5991"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0,0</w:t>
            </w:r>
          </w:p>
        </w:tc>
        <w:tc>
          <w:tcPr>
            <w:tcW w:w="1700" w:type="dxa"/>
            <w:tcBorders>
              <w:top w:val="nil"/>
              <w:left w:val="nil"/>
              <w:right w:val="single" w:sz="4" w:space="0" w:color="auto"/>
            </w:tcBorders>
            <w:shd w:val="clear" w:color="auto" w:fill="auto"/>
            <w:noWrap/>
            <w:vAlign w:val="center"/>
          </w:tcPr>
          <w:p w14:paraId="2057EFD0"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0,0</w:t>
            </w:r>
          </w:p>
        </w:tc>
      </w:tr>
      <w:tr w:rsidR="00C55629" w:rsidRPr="00C55629" w14:paraId="5B820859" w14:textId="77777777" w:rsidTr="0028479A">
        <w:trPr>
          <w:trHeight w:val="300"/>
        </w:trPr>
        <w:tc>
          <w:tcPr>
            <w:tcW w:w="6360" w:type="dxa"/>
            <w:tcBorders>
              <w:top w:val="nil"/>
              <w:left w:val="single" w:sz="4" w:space="0" w:color="auto"/>
              <w:right w:val="single" w:sz="4" w:space="0" w:color="auto"/>
            </w:tcBorders>
            <w:shd w:val="clear" w:color="auto" w:fill="auto"/>
            <w:vAlign w:val="center"/>
          </w:tcPr>
          <w:p w14:paraId="1ED81855"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Revised salary update - adjustments under heading 1-6</w:t>
            </w:r>
          </w:p>
        </w:tc>
        <w:tc>
          <w:tcPr>
            <w:tcW w:w="1780" w:type="dxa"/>
            <w:tcBorders>
              <w:top w:val="nil"/>
              <w:left w:val="nil"/>
              <w:right w:val="single" w:sz="4" w:space="0" w:color="auto"/>
            </w:tcBorders>
            <w:shd w:val="clear" w:color="auto" w:fill="auto"/>
            <w:noWrap/>
            <w:vAlign w:val="center"/>
          </w:tcPr>
          <w:p w14:paraId="632A3C35"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19,6</w:t>
            </w:r>
          </w:p>
        </w:tc>
        <w:tc>
          <w:tcPr>
            <w:tcW w:w="1700" w:type="dxa"/>
            <w:tcBorders>
              <w:top w:val="nil"/>
              <w:left w:val="nil"/>
              <w:right w:val="single" w:sz="4" w:space="0" w:color="auto"/>
            </w:tcBorders>
            <w:shd w:val="clear" w:color="auto" w:fill="auto"/>
            <w:noWrap/>
            <w:vAlign w:val="center"/>
          </w:tcPr>
          <w:p w14:paraId="6654BA75"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19,6</w:t>
            </w:r>
          </w:p>
        </w:tc>
      </w:tr>
      <w:tr w:rsidR="00C55629" w:rsidRPr="00C55629" w14:paraId="7F7CD20F" w14:textId="77777777" w:rsidTr="0028479A">
        <w:trPr>
          <w:trHeight w:val="300"/>
        </w:trPr>
        <w:tc>
          <w:tcPr>
            <w:tcW w:w="6360" w:type="dxa"/>
            <w:tcBorders>
              <w:top w:val="nil"/>
              <w:left w:val="single" w:sz="4" w:space="0" w:color="auto"/>
              <w:bottom w:val="single" w:sz="4" w:space="0" w:color="auto"/>
              <w:right w:val="single" w:sz="4" w:space="0" w:color="auto"/>
            </w:tcBorders>
            <w:shd w:val="clear" w:color="auto" w:fill="auto"/>
            <w:vAlign w:val="center"/>
          </w:tcPr>
          <w:p w14:paraId="2687231D" w14:textId="77777777" w:rsidR="00C55629" w:rsidRPr="00C55629" w:rsidRDefault="00C55629" w:rsidP="00C55629">
            <w:pPr>
              <w:spacing w:after="0" w:line="240" w:lineRule="auto"/>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Other adjustments to some decentralised agencies</w:t>
            </w:r>
          </w:p>
        </w:tc>
        <w:tc>
          <w:tcPr>
            <w:tcW w:w="1780" w:type="dxa"/>
            <w:tcBorders>
              <w:top w:val="nil"/>
              <w:left w:val="nil"/>
              <w:bottom w:val="single" w:sz="4" w:space="0" w:color="auto"/>
              <w:right w:val="single" w:sz="4" w:space="0" w:color="auto"/>
            </w:tcBorders>
            <w:shd w:val="clear" w:color="auto" w:fill="auto"/>
            <w:noWrap/>
            <w:vAlign w:val="center"/>
          </w:tcPr>
          <w:p w14:paraId="295ACEC7"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4,4</w:t>
            </w:r>
          </w:p>
        </w:tc>
        <w:tc>
          <w:tcPr>
            <w:tcW w:w="1700" w:type="dxa"/>
            <w:tcBorders>
              <w:top w:val="nil"/>
              <w:left w:val="nil"/>
              <w:bottom w:val="single" w:sz="4" w:space="0" w:color="auto"/>
              <w:right w:val="single" w:sz="4" w:space="0" w:color="auto"/>
            </w:tcBorders>
            <w:shd w:val="clear" w:color="auto" w:fill="auto"/>
            <w:noWrap/>
            <w:vAlign w:val="center"/>
          </w:tcPr>
          <w:p w14:paraId="1BBB6776"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20"/>
                <w:szCs w:val="20"/>
                <w:lang w:val="en-GB"/>
                <w14:ligatures w14:val="none"/>
              </w:rPr>
            </w:pPr>
            <w:r w:rsidRPr="00C55629">
              <w:rPr>
                <w:rFonts w:ascii="Times New Roman" w:eastAsia="Times New Roman" w:hAnsi="Times New Roman" w:cs="Times New Roman"/>
                <w:noProof/>
                <w:color w:val="000000"/>
                <w:kern w:val="0"/>
                <w:sz w:val="20"/>
                <w:szCs w:val="20"/>
                <w:lang w:val="en-GB"/>
                <w14:ligatures w14:val="none"/>
              </w:rPr>
              <w:t>4,4</w:t>
            </w:r>
          </w:p>
        </w:tc>
      </w:tr>
      <w:tr w:rsidR="00C55629" w:rsidRPr="00C55629" w14:paraId="12B4A58D" w14:textId="77777777" w:rsidTr="00C55629">
        <w:trPr>
          <w:trHeight w:val="300"/>
        </w:trPr>
        <w:tc>
          <w:tcPr>
            <w:tcW w:w="6360" w:type="dxa"/>
            <w:tcBorders>
              <w:top w:val="single" w:sz="4" w:space="0" w:color="auto"/>
              <w:left w:val="single" w:sz="4" w:space="0" w:color="auto"/>
              <w:bottom w:val="single" w:sz="4" w:space="0" w:color="auto"/>
              <w:right w:val="nil"/>
            </w:tcBorders>
            <w:shd w:val="clear" w:color="auto" w:fill="BFBFBF"/>
            <w:noWrap/>
            <w:vAlign w:val="center"/>
            <w:hideMark/>
          </w:tcPr>
          <w:p w14:paraId="7293927E" w14:textId="77777777" w:rsidR="00C55629" w:rsidRPr="00C55629" w:rsidRDefault="00C55629" w:rsidP="00C55629">
            <w:pPr>
              <w:spacing w:after="0" w:line="240" w:lineRule="auto"/>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Total</w:t>
            </w:r>
          </w:p>
        </w:tc>
        <w:tc>
          <w:tcPr>
            <w:tcW w:w="17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67CE28"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-303,0</w:t>
            </w:r>
          </w:p>
        </w:tc>
        <w:tc>
          <w:tcPr>
            <w:tcW w:w="1700" w:type="dxa"/>
            <w:tcBorders>
              <w:top w:val="single" w:sz="4" w:space="0" w:color="auto"/>
              <w:left w:val="nil"/>
              <w:bottom w:val="single" w:sz="4" w:space="0" w:color="auto"/>
              <w:right w:val="single" w:sz="4" w:space="0" w:color="auto"/>
            </w:tcBorders>
            <w:shd w:val="clear" w:color="auto" w:fill="BFBFBF"/>
            <w:noWrap/>
            <w:vAlign w:val="center"/>
            <w:hideMark/>
          </w:tcPr>
          <w:p w14:paraId="035C9B0B"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20"/>
                <w:szCs w:val="20"/>
                <w:lang w:val="en-GB"/>
                <w14:ligatures w14:val="none"/>
              </w:rPr>
            </w:pPr>
            <w:r w:rsidRPr="00C55629">
              <w:rPr>
                <w:rFonts w:ascii="Times New Roman" w:eastAsia="Times New Roman" w:hAnsi="Times New Roman" w:cs="Times New Roman"/>
                <w:b/>
                <w:bCs/>
                <w:noProof/>
                <w:color w:val="000000"/>
                <w:kern w:val="0"/>
                <w:sz w:val="20"/>
                <w:szCs w:val="20"/>
                <w:lang w:val="en-GB"/>
                <w14:ligatures w14:val="none"/>
              </w:rPr>
              <w:t>2 657,0</w:t>
            </w:r>
          </w:p>
        </w:tc>
      </w:tr>
    </w:tbl>
    <w:p w14:paraId="373FE0AC"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0"/>
          <w:lang w:val="en-GB" w:eastAsia="de-DE"/>
          <w14:ligatures w14:val="none"/>
        </w:rPr>
      </w:pPr>
      <w:bookmarkStart w:id="21" w:name="_Toc526753780"/>
      <w:r w:rsidRPr="00C55629">
        <w:rPr>
          <w:rFonts w:ascii="Times New Roman" w:eastAsia="Times New Roman" w:hAnsi="Times New Roman" w:cs="Times New Roman"/>
          <w:noProof/>
          <w:kern w:val="0"/>
          <w:sz w:val="24"/>
          <w:szCs w:val="20"/>
          <w:lang w:val="en-GB" w:eastAsia="de-DE"/>
          <w14:ligatures w14:val="none"/>
        </w:rPr>
        <w:t xml:space="preserve">More information on each component is provided in the following sections. </w:t>
      </w:r>
    </w:p>
    <w:p w14:paraId="289B0725"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The relevant budget lines are detailed in the budgetary annex, together with the update of the revenue resulting from the expenditure changes included in this amending letter.</w:t>
      </w:r>
    </w:p>
    <w:p w14:paraId="5E6DD60E" w14:textId="58F69B20" w:rsidR="00C55629" w:rsidRPr="00C55629" w:rsidRDefault="00C55629" w:rsidP="00CA47B3">
      <w:pPr>
        <w:pStyle w:val="ManualHeading1"/>
        <w:rPr>
          <w:noProof/>
        </w:rPr>
      </w:pPr>
      <w:r w:rsidRPr="00C55629">
        <w:rPr>
          <w:noProof/>
        </w:rPr>
        <w:t>2.</w:t>
      </w:r>
      <w:r w:rsidRPr="00C55629">
        <w:rPr>
          <w:noProof/>
        </w:rPr>
        <w:tab/>
        <w:t>Increase of payment appropriations in relation to recent natural disasters</w:t>
      </w:r>
    </w:p>
    <w:p w14:paraId="36B9B918"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Following the recent floods in Central Europe, the cohesion policy programmes will be mobilised to assist Member States in recovering from the damages. The flexibilities that the Commission intends to propose in the cohesion policy will allow the affected Member States to amend their programmes in order to respond to climate change and natural disasters while benefiting from additional liquidity from the EU budget. It is proposed to include an additional EUR 3 billion in payment appropriations above the level already proposed in the DB 2025. These payment appropriations will be used to address urgent needs and provide swift support to the disaster-stricken countries.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C55629" w:rsidRPr="00C55629" w14:paraId="7B0D8609" w14:textId="77777777" w:rsidTr="0028479A">
        <w:trPr>
          <w:jc w:val="center"/>
        </w:trPr>
        <w:tc>
          <w:tcPr>
            <w:tcW w:w="9810" w:type="dxa"/>
            <w:gridSpan w:val="4"/>
            <w:tcBorders>
              <w:top w:val="nil"/>
              <w:left w:val="nil"/>
              <w:bottom w:val="single" w:sz="4" w:space="0" w:color="auto"/>
              <w:right w:val="nil"/>
            </w:tcBorders>
            <w:shd w:val="clear" w:color="auto" w:fill="auto"/>
            <w:vAlign w:val="center"/>
          </w:tcPr>
          <w:p w14:paraId="0DFE97AD"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i/>
                <w:noProof/>
                <w:kern w:val="0"/>
                <w:sz w:val="20"/>
                <w:szCs w:val="20"/>
                <w:lang w:val="en-GB" w:eastAsia="en-GB"/>
                <w14:ligatures w14:val="none"/>
              </w:rPr>
            </w:pPr>
            <w:r w:rsidRPr="00C55629">
              <w:rPr>
                <w:rFonts w:ascii="Times New Roman" w:eastAsia="Times New Roman" w:hAnsi="Times New Roman" w:cs="Times New Roman"/>
                <w:i/>
                <w:noProof/>
                <w:kern w:val="0"/>
                <w:sz w:val="20"/>
                <w:szCs w:val="20"/>
                <w:lang w:val="en-GB" w:eastAsia="en-GB"/>
                <w14:ligatures w14:val="none"/>
              </w:rPr>
              <w:t>EUR</w:t>
            </w:r>
          </w:p>
        </w:tc>
      </w:tr>
      <w:tr w:rsidR="00C55629" w:rsidRPr="00C55629" w14:paraId="093DC4AC" w14:textId="77777777" w:rsidTr="00C55629">
        <w:trPr>
          <w:jc w:val="center"/>
        </w:trPr>
        <w:tc>
          <w:tcPr>
            <w:tcW w:w="1276" w:type="dxa"/>
            <w:tcBorders>
              <w:top w:val="single" w:sz="4" w:space="0" w:color="auto"/>
            </w:tcBorders>
            <w:shd w:val="clear" w:color="auto" w:fill="D9D9D9"/>
            <w:vAlign w:val="center"/>
          </w:tcPr>
          <w:p w14:paraId="50DBFE54" w14:textId="77777777" w:rsidR="00C55629" w:rsidRPr="00C55629" w:rsidRDefault="00C55629" w:rsidP="00C55629">
            <w:pPr>
              <w:keepNext/>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Budget line</w:t>
            </w:r>
          </w:p>
        </w:tc>
        <w:tc>
          <w:tcPr>
            <w:tcW w:w="5132" w:type="dxa"/>
            <w:tcBorders>
              <w:top w:val="single" w:sz="4" w:space="0" w:color="auto"/>
            </w:tcBorders>
            <w:shd w:val="clear" w:color="auto" w:fill="D9D9D9"/>
            <w:vAlign w:val="center"/>
          </w:tcPr>
          <w:p w14:paraId="22B8CE7C"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Name</w:t>
            </w:r>
          </w:p>
        </w:tc>
        <w:tc>
          <w:tcPr>
            <w:tcW w:w="1701" w:type="dxa"/>
            <w:tcBorders>
              <w:top w:val="single" w:sz="4" w:space="0" w:color="auto"/>
            </w:tcBorders>
            <w:shd w:val="clear" w:color="auto" w:fill="D9D9D9"/>
            <w:vAlign w:val="center"/>
          </w:tcPr>
          <w:p w14:paraId="26D62917"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Commitment appropriations</w:t>
            </w:r>
          </w:p>
        </w:tc>
        <w:tc>
          <w:tcPr>
            <w:tcW w:w="1701" w:type="dxa"/>
            <w:tcBorders>
              <w:top w:val="single" w:sz="4" w:space="0" w:color="auto"/>
            </w:tcBorders>
            <w:shd w:val="clear" w:color="auto" w:fill="D9D9D9"/>
            <w:vAlign w:val="center"/>
          </w:tcPr>
          <w:p w14:paraId="00F31A1F"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Payment appropriations</w:t>
            </w:r>
          </w:p>
        </w:tc>
      </w:tr>
      <w:tr w:rsidR="00C55629" w:rsidRPr="00C55629" w14:paraId="67D1CD9D" w14:textId="77777777" w:rsidTr="0028479A">
        <w:trPr>
          <w:jc w:val="center"/>
        </w:trPr>
        <w:tc>
          <w:tcPr>
            <w:tcW w:w="1276" w:type="dxa"/>
          </w:tcPr>
          <w:p w14:paraId="21AEB0D0" w14:textId="77777777" w:rsidR="00C55629" w:rsidRPr="00C55629" w:rsidRDefault="00C55629" w:rsidP="00C55629">
            <w:pPr>
              <w:widowControl w:val="0"/>
              <w:spacing w:before="15" w:after="15" w:line="240"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05 02 01</w:t>
            </w:r>
          </w:p>
        </w:tc>
        <w:tc>
          <w:tcPr>
            <w:tcW w:w="5132" w:type="dxa"/>
          </w:tcPr>
          <w:p w14:paraId="45C1CEA0" w14:textId="77777777" w:rsidR="00C55629" w:rsidRPr="00C55629" w:rsidRDefault="00C55629" w:rsidP="00C55629">
            <w:pPr>
              <w:widowControl w:val="0"/>
              <w:tabs>
                <w:tab w:val="left" w:pos="1350"/>
              </w:tabs>
              <w:spacing w:before="15" w:after="15" w:line="240" w:lineRule="auto"/>
              <w:jc w:val="both"/>
              <w:rPr>
                <w:rFonts w:ascii="Times New Roman" w:eastAsia="Times New Roman" w:hAnsi="Times New Roman" w:cs="Times New Roman"/>
                <w:i/>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ERDF — Operational expenditure</w:t>
            </w:r>
          </w:p>
        </w:tc>
        <w:tc>
          <w:tcPr>
            <w:tcW w:w="1701" w:type="dxa"/>
          </w:tcPr>
          <w:p w14:paraId="3720B504"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w:t>
            </w:r>
          </w:p>
        </w:tc>
        <w:tc>
          <w:tcPr>
            <w:tcW w:w="1701" w:type="dxa"/>
          </w:tcPr>
          <w:p w14:paraId="7CCD375C"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3 000 000 000</w:t>
            </w:r>
          </w:p>
        </w:tc>
      </w:tr>
      <w:tr w:rsidR="00C55629" w:rsidRPr="00C55629" w14:paraId="4B69398C" w14:textId="77777777" w:rsidTr="00C55629">
        <w:trPr>
          <w:jc w:val="center"/>
        </w:trPr>
        <w:tc>
          <w:tcPr>
            <w:tcW w:w="6408" w:type="dxa"/>
            <w:gridSpan w:val="2"/>
            <w:shd w:val="clear" w:color="auto" w:fill="D9D9D9"/>
          </w:tcPr>
          <w:p w14:paraId="76C9F05A" w14:textId="77777777" w:rsidR="00C55629" w:rsidRPr="00C55629" w:rsidRDefault="00C55629" w:rsidP="00C55629">
            <w:pPr>
              <w:widowControl w:val="0"/>
              <w:spacing w:before="15" w:after="15" w:line="240" w:lineRule="auto"/>
              <w:ind w:right="-113"/>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Total</w:t>
            </w:r>
            <w:r w:rsidRPr="00C55629">
              <w:rPr>
                <w:rFonts w:ascii="Times New Roman" w:eastAsia="Times New Roman" w:hAnsi="Times New Roman" w:cs="Times New Roman"/>
                <w:b/>
                <w:noProof/>
                <w:kern w:val="0"/>
                <w:sz w:val="20"/>
                <w:szCs w:val="20"/>
                <w:lang w:val="en-GB" w:eastAsia="en-GB"/>
                <w14:ligatures w14:val="none"/>
              </w:rPr>
              <w:tab/>
            </w:r>
          </w:p>
        </w:tc>
        <w:tc>
          <w:tcPr>
            <w:tcW w:w="1701" w:type="dxa"/>
            <w:shd w:val="clear" w:color="auto" w:fill="D9D9D9"/>
          </w:tcPr>
          <w:p w14:paraId="3C169140"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0</w:t>
            </w:r>
          </w:p>
        </w:tc>
        <w:tc>
          <w:tcPr>
            <w:tcW w:w="1701" w:type="dxa"/>
            <w:shd w:val="clear" w:color="auto" w:fill="D9D9D9"/>
          </w:tcPr>
          <w:p w14:paraId="48CF1519"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3 000 000 000</w:t>
            </w:r>
          </w:p>
        </w:tc>
      </w:tr>
    </w:tbl>
    <w:p w14:paraId="1ED1850E" w14:textId="77777777" w:rsidR="00C55629" w:rsidRPr="00C55629" w:rsidRDefault="00C55629" w:rsidP="00CA47B3">
      <w:pPr>
        <w:pStyle w:val="ManualHeading1"/>
        <w:rPr>
          <w:noProof/>
        </w:rPr>
      </w:pPr>
      <w:bookmarkStart w:id="22" w:name="_Toc54770319"/>
      <w:bookmarkStart w:id="23" w:name="_Toc55807129"/>
      <w:bookmarkStart w:id="24" w:name="_Toc114838628"/>
      <w:bookmarkStart w:id="25" w:name="_Toc145922820"/>
      <w:bookmarkStart w:id="26" w:name="_Hlk111642919"/>
      <w:bookmarkStart w:id="27" w:name="_Hlk109912676"/>
      <w:r w:rsidRPr="00C55629">
        <w:rPr>
          <w:noProof/>
        </w:rPr>
        <w:t>3.</w:t>
      </w:r>
      <w:r w:rsidRPr="00C55629">
        <w:rPr>
          <w:noProof/>
        </w:rPr>
        <w:tab/>
      </w:r>
      <w:bookmarkEnd w:id="22"/>
      <w:bookmarkEnd w:id="23"/>
      <w:r w:rsidRPr="00C55629">
        <w:rPr>
          <w:noProof/>
        </w:rPr>
        <w:t>Funding costs NextGenerationEU</w:t>
      </w:r>
      <w:bookmarkEnd w:id="24"/>
      <w:bookmarkEnd w:id="25"/>
    </w:p>
    <w:p w14:paraId="66EA31B7"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bookmarkStart w:id="28" w:name="_Hlk115359835"/>
      <w:r w:rsidRPr="00C55629">
        <w:rPr>
          <w:rFonts w:ascii="Times New Roman" w:eastAsia="Times New Roman" w:hAnsi="Times New Roman" w:cs="Times New Roman"/>
          <w:noProof/>
          <w:kern w:val="0"/>
          <w:sz w:val="24"/>
          <w:szCs w:val="24"/>
          <w:lang w:val="en-GB" w:eastAsia="de-DE"/>
          <w14:ligatures w14:val="none"/>
        </w:rPr>
        <w:t>In the context of the DB 2025, the Commission proposed a reinforcement of the EURI interest line by EUR 2 478,2 million as compared to the financial programming for 2025 to a total amount of EUR 5 156 million, based on projections of NGEU disbursements and interest rates until the end of the third quarter 2024. As of 30 September 2024, all executed transactions by the third quarter of 2024 amount to a total of NGEU disbursements to EUR 49,8 billion, or EUR 5,4 billion lower than at the time of establishing the Draft Budget 2025.</w:t>
      </w:r>
    </w:p>
    <w:p w14:paraId="41822C32"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The final estimated cost of funding for the 2025 budget is therefore EUR 4 961 million i.e. a cost overrun of EUR 2 283,2 million. This amount is final, in line with the revised approach providing that, as of the 2025 budget, the Commission will base the budgeting of the EURI interest line on the volume of disbursements which is confirmed by the end of the third quarter of the previous year. This provides a stable basis for the application of the ‘cascade mechanism’ by the time of the amending letter to the draft budget.</w:t>
      </w:r>
    </w:p>
    <w:p w14:paraId="39E65787"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The final cost for the interest line is thus reduced by EUR 195 million compared to the DB 2025. The Commission proposes to decrease the level of commitment and payment appropriations of the EURI interest line accordingly.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C55629" w:rsidRPr="00C55629" w14:paraId="485DAF85" w14:textId="77777777" w:rsidTr="0028479A">
        <w:trPr>
          <w:jc w:val="center"/>
        </w:trPr>
        <w:tc>
          <w:tcPr>
            <w:tcW w:w="9810" w:type="dxa"/>
            <w:gridSpan w:val="4"/>
            <w:tcBorders>
              <w:top w:val="nil"/>
              <w:left w:val="nil"/>
              <w:bottom w:val="single" w:sz="4" w:space="0" w:color="auto"/>
              <w:right w:val="nil"/>
            </w:tcBorders>
            <w:shd w:val="clear" w:color="auto" w:fill="auto"/>
            <w:vAlign w:val="center"/>
          </w:tcPr>
          <w:p w14:paraId="54B895F5"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i/>
                <w:noProof/>
                <w:kern w:val="0"/>
                <w:sz w:val="20"/>
                <w:szCs w:val="20"/>
                <w:lang w:val="en-GB" w:eastAsia="en-GB"/>
                <w14:ligatures w14:val="none"/>
              </w:rPr>
            </w:pPr>
            <w:bookmarkStart w:id="29" w:name="_Hlk111646182"/>
            <w:r w:rsidRPr="00C55629">
              <w:rPr>
                <w:rFonts w:ascii="Times New Roman" w:eastAsia="Times New Roman" w:hAnsi="Times New Roman" w:cs="Times New Roman"/>
                <w:i/>
                <w:noProof/>
                <w:kern w:val="0"/>
                <w:sz w:val="20"/>
                <w:szCs w:val="20"/>
                <w:lang w:val="en-GB" w:eastAsia="en-GB"/>
                <w14:ligatures w14:val="none"/>
              </w:rPr>
              <w:t>EUR</w:t>
            </w:r>
          </w:p>
        </w:tc>
      </w:tr>
      <w:tr w:rsidR="00C55629" w:rsidRPr="00C55629" w14:paraId="1F221FE0" w14:textId="77777777" w:rsidTr="00C55629">
        <w:trPr>
          <w:jc w:val="center"/>
        </w:trPr>
        <w:tc>
          <w:tcPr>
            <w:tcW w:w="1276" w:type="dxa"/>
            <w:tcBorders>
              <w:top w:val="single" w:sz="4" w:space="0" w:color="auto"/>
            </w:tcBorders>
            <w:shd w:val="clear" w:color="auto" w:fill="D9D9D9"/>
            <w:vAlign w:val="center"/>
          </w:tcPr>
          <w:p w14:paraId="4D236126" w14:textId="77777777" w:rsidR="00C55629" w:rsidRPr="00C55629" w:rsidRDefault="00C55629" w:rsidP="00C55629">
            <w:pPr>
              <w:keepNext/>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Budget line</w:t>
            </w:r>
          </w:p>
        </w:tc>
        <w:tc>
          <w:tcPr>
            <w:tcW w:w="5132" w:type="dxa"/>
            <w:tcBorders>
              <w:top w:val="single" w:sz="4" w:space="0" w:color="auto"/>
            </w:tcBorders>
            <w:shd w:val="clear" w:color="auto" w:fill="D9D9D9"/>
            <w:vAlign w:val="center"/>
          </w:tcPr>
          <w:p w14:paraId="6152D4DB"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Name</w:t>
            </w:r>
          </w:p>
        </w:tc>
        <w:tc>
          <w:tcPr>
            <w:tcW w:w="1701" w:type="dxa"/>
            <w:tcBorders>
              <w:top w:val="single" w:sz="4" w:space="0" w:color="auto"/>
            </w:tcBorders>
            <w:shd w:val="clear" w:color="auto" w:fill="D9D9D9"/>
            <w:vAlign w:val="center"/>
          </w:tcPr>
          <w:p w14:paraId="41BCBE89"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Commitment appropriations</w:t>
            </w:r>
          </w:p>
        </w:tc>
        <w:tc>
          <w:tcPr>
            <w:tcW w:w="1701" w:type="dxa"/>
            <w:tcBorders>
              <w:top w:val="single" w:sz="4" w:space="0" w:color="auto"/>
            </w:tcBorders>
            <w:shd w:val="clear" w:color="auto" w:fill="D9D9D9"/>
            <w:vAlign w:val="center"/>
          </w:tcPr>
          <w:p w14:paraId="00E6539B"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Payment appropriations</w:t>
            </w:r>
          </w:p>
        </w:tc>
      </w:tr>
      <w:tr w:rsidR="00C55629" w:rsidRPr="00C55629" w14:paraId="1B953334" w14:textId="77777777" w:rsidTr="0028479A">
        <w:trPr>
          <w:jc w:val="center"/>
        </w:trPr>
        <w:tc>
          <w:tcPr>
            <w:tcW w:w="1276" w:type="dxa"/>
          </w:tcPr>
          <w:p w14:paraId="7B2DA18D" w14:textId="77777777" w:rsidR="00C55629" w:rsidRPr="00C55629" w:rsidRDefault="00C55629" w:rsidP="00C55629">
            <w:pPr>
              <w:widowControl w:val="0"/>
              <w:spacing w:before="15" w:after="15" w:line="240"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06 04 01</w:t>
            </w:r>
          </w:p>
        </w:tc>
        <w:tc>
          <w:tcPr>
            <w:tcW w:w="5132" w:type="dxa"/>
          </w:tcPr>
          <w:p w14:paraId="209B8703" w14:textId="77777777" w:rsidR="00C55629" w:rsidRPr="00C55629" w:rsidRDefault="00C55629" w:rsidP="00C55629">
            <w:pPr>
              <w:widowControl w:val="0"/>
              <w:tabs>
                <w:tab w:val="left" w:pos="1350"/>
              </w:tabs>
              <w:spacing w:before="15" w:after="15" w:line="240" w:lineRule="auto"/>
              <w:jc w:val="both"/>
              <w:rPr>
                <w:rFonts w:ascii="Times New Roman" w:eastAsia="Times New Roman" w:hAnsi="Times New Roman" w:cs="Times New Roman"/>
                <w:i/>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European Union Recovery Instrument (EURI) – Payment of periodic coupon and redemption of maturity</w:t>
            </w:r>
          </w:p>
        </w:tc>
        <w:tc>
          <w:tcPr>
            <w:tcW w:w="1701" w:type="dxa"/>
          </w:tcPr>
          <w:p w14:paraId="099745CD"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-195 000 000</w:t>
            </w:r>
          </w:p>
        </w:tc>
        <w:tc>
          <w:tcPr>
            <w:tcW w:w="1701" w:type="dxa"/>
          </w:tcPr>
          <w:p w14:paraId="0B5D766F"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-195 000 000</w:t>
            </w:r>
          </w:p>
        </w:tc>
      </w:tr>
      <w:tr w:rsidR="00C55629" w:rsidRPr="00C55629" w14:paraId="1014591D" w14:textId="77777777" w:rsidTr="00C55629">
        <w:trPr>
          <w:jc w:val="center"/>
        </w:trPr>
        <w:tc>
          <w:tcPr>
            <w:tcW w:w="6408" w:type="dxa"/>
            <w:gridSpan w:val="2"/>
            <w:shd w:val="clear" w:color="auto" w:fill="D9D9D9"/>
          </w:tcPr>
          <w:p w14:paraId="45DA122E" w14:textId="77777777" w:rsidR="00C55629" w:rsidRPr="00C55629" w:rsidRDefault="00C55629" w:rsidP="00C55629">
            <w:pPr>
              <w:widowControl w:val="0"/>
              <w:spacing w:before="15" w:after="15" w:line="240" w:lineRule="auto"/>
              <w:ind w:right="-113"/>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Total</w:t>
            </w:r>
            <w:r w:rsidRPr="00C55629">
              <w:rPr>
                <w:rFonts w:ascii="Times New Roman" w:eastAsia="Times New Roman" w:hAnsi="Times New Roman" w:cs="Times New Roman"/>
                <w:b/>
                <w:noProof/>
                <w:kern w:val="0"/>
                <w:sz w:val="20"/>
                <w:szCs w:val="20"/>
                <w:lang w:val="en-GB" w:eastAsia="en-GB"/>
                <w14:ligatures w14:val="none"/>
              </w:rPr>
              <w:tab/>
            </w:r>
          </w:p>
        </w:tc>
        <w:tc>
          <w:tcPr>
            <w:tcW w:w="1701" w:type="dxa"/>
            <w:shd w:val="clear" w:color="auto" w:fill="D9D9D9"/>
          </w:tcPr>
          <w:p w14:paraId="59F842B4"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-195 000 000</w:t>
            </w:r>
          </w:p>
        </w:tc>
        <w:tc>
          <w:tcPr>
            <w:tcW w:w="1701" w:type="dxa"/>
            <w:shd w:val="clear" w:color="auto" w:fill="D9D9D9"/>
          </w:tcPr>
          <w:p w14:paraId="2423E4FC"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-195 000 000</w:t>
            </w:r>
          </w:p>
        </w:tc>
      </w:tr>
    </w:tbl>
    <w:bookmarkEnd w:id="29"/>
    <w:p w14:paraId="77AB5E89" w14:textId="77777777" w:rsidR="00C55629" w:rsidRPr="00C55629" w:rsidRDefault="00C55629" w:rsidP="00C55629">
      <w:pPr>
        <w:spacing w:before="24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With the proposed reduction, the Commission proposes that the overall needs of EUR 2 283,2 million above the financial programming for 2025 are financed by the remaining margin under sub-Heading 2b of EUR 35,7 million and the mobilisation of EUR 1 105,8 million under the Flexibility Instrument, with a view to con</w:t>
      </w:r>
      <w:bookmarkStart w:id="30" w:name="_Hlk178268942"/>
      <w:r w:rsidRPr="00C55629">
        <w:rPr>
          <w:rFonts w:ascii="Times New Roman" w:eastAsia="Times New Roman" w:hAnsi="Times New Roman" w:cs="Times New Roman"/>
          <w:noProof/>
          <w:kern w:val="0"/>
          <w:sz w:val="24"/>
          <w:szCs w:val="24"/>
          <w:lang w:val="en-GB" w:eastAsia="de-DE"/>
          <w14:ligatures w14:val="none"/>
        </w:rPr>
        <w:t>tinue mobilising an amount in line with the 50 % benchmark of the cost overrun</w:t>
      </w:r>
      <w:bookmarkEnd w:id="30"/>
      <w:r w:rsidRPr="00C55629">
        <w:rPr>
          <w:rFonts w:ascii="Times New Roman" w:eastAsia="Times New Roman" w:hAnsi="Times New Roman" w:cs="Times New Roman"/>
          <w:noProof/>
          <w:kern w:val="0"/>
          <w:sz w:val="24"/>
          <w:szCs w:val="24"/>
          <w:lang w:val="en-GB" w:eastAsia="de-DE"/>
          <w14:ligatures w14:val="none"/>
        </w:rPr>
        <w:t>. On that basis, considering the other adjustments to sub-Heading 2b proposed in this AL 1/2025, the recourse to the Flexibility Instrument under sub-heading 2b will be reduced by EUR 87,0 million to EUR 1 105,8 million, and the amount mobilised under the EURI instrument will be reduced by EUR 97,5 million to EUR 1 141,6 million.</w:t>
      </w:r>
    </w:p>
    <w:p w14:paraId="0456A609" w14:textId="77777777" w:rsidR="00C55629" w:rsidRPr="00C55629" w:rsidRDefault="00C55629" w:rsidP="00CA47B3">
      <w:pPr>
        <w:pStyle w:val="ManualHeading1"/>
        <w:rPr>
          <w:noProof/>
        </w:rPr>
      </w:pPr>
      <w:bookmarkStart w:id="31" w:name="_Toc54770320"/>
      <w:bookmarkStart w:id="32" w:name="_Toc55807130"/>
      <w:bookmarkStart w:id="33" w:name="_Toc114838631"/>
      <w:bookmarkStart w:id="34" w:name="_Toc145922821"/>
      <w:bookmarkEnd w:id="26"/>
      <w:bookmarkEnd w:id="27"/>
      <w:bookmarkEnd w:id="28"/>
      <w:r w:rsidRPr="00C55629">
        <w:rPr>
          <w:noProof/>
        </w:rPr>
        <w:t>4.</w:t>
      </w:r>
      <w:r w:rsidRPr="00C55629">
        <w:rPr>
          <w:noProof/>
        </w:rPr>
        <w:tab/>
        <w:t>European Agricultural Guarantee Fund (EAGF)</w:t>
      </w:r>
      <w:bookmarkEnd w:id="31"/>
      <w:bookmarkEnd w:id="32"/>
      <w:bookmarkEnd w:id="33"/>
      <w:bookmarkEnd w:id="34"/>
    </w:p>
    <w:p w14:paraId="0B2C48EA"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bookmarkStart w:id="35" w:name="_Toc462933829"/>
      <w:bookmarkStart w:id="36" w:name="_Toc462935190"/>
      <w:bookmarkStart w:id="37" w:name="_Toc462935292"/>
      <w:bookmarkStart w:id="38" w:name="_Toc462935340"/>
      <w:bookmarkStart w:id="39" w:name="_Toc462935497"/>
      <w:bookmarkStart w:id="40" w:name="_Toc463004731"/>
      <w:bookmarkStart w:id="41" w:name="_Toc463264164"/>
      <w:bookmarkStart w:id="42" w:name="_Toc463376628"/>
      <w:bookmarkStart w:id="43" w:name="_Toc463438680"/>
      <w:bookmarkStart w:id="44" w:name="_Toc463438848"/>
      <w:bookmarkStart w:id="45" w:name="_Toc463462765"/>
      <w:bookmarkStart w:id="46" w:name="_Toc463974150"/>
      <w:bookmarkStart w:id="47" w:name="_Toc464028191"/>
      <w:bookmarkStart w:id="48" w:name="_Toc462933830"/>
      <w:bookmarkStart w:id="49" w:name="_Toc462935191"/>
      <w:bookmarkStart w:id="50" w:name="_Toc462935293"/>
      <w:bookmarkStart w:id="51" w:name="_Toc462935341"/>
      <w:bookmarkStart w:id="52" w:name="_Toc462935498"/>
      <w:bookmarkStart w:id="53" w:name="_Toc463004732"/>
      <w:bookmarkStart w:id="54" w:name="_Toc463264165"/>
      <w:bookmarkStart w:id="55" w:name="_Toc463376629"/>
      <w:bookmarkStart w:id="56" w:name="_Toc463438681"/>
      <w:bookmarkStart w:id="57" w:name="_Toc463438849"/>
      <w:bookmarkStart w:id="58" w:name="_Toc463462766"/>
      <w:bookmarkStart w:id="59" w:name="_Toc463974151"/>
      <w:bookmarkStart w:id="60" w:name="_Toc464028192"/>
      <w:bookmarkStart w:id="61" w:name="_Toc464028333"/>
      <w:bookmarkStart w:id="62" w:name="_Toc526753782"/>
      <w:bookmarkStart w:id="63" w:name="_Toc52675378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55629">
        <w:rPr>
          <w:rFonts w:ascii="Times New Roman" w:eastAsia="Times New Roman" w:hAnsi="Times New Roman" w:cs="Times New Roman"/>
          <w:noProof/>
          <w:kern w:val="0"/>
          <w:sz w:val="24"/>
          <w:szCs w:val="24"/>
          <w:lang w:val="en-GB" w:eastAsia="en-GB"/>
          <w14:ligatures w14:val="none"/>
        </w:rPr>
        <w:t xml:space="preserve">AL 1/2025 updates the estimates for agricultural expenditure based on the most up-to-date economic data and legislative framework. By September 2024, the Commission had at its disposal a first indication of the level of production for 2024 and the outlook for the agricultural markets as well as actual figures for most of the 2024 budget execution as regards EAGF shared management, which are the basis for the updated estimates of the budgetary needs for 2025. </w:t>
      </w:r>
    </w:p>
    <w:p w14:paraId="3CF601D7" w14:textId="77777777" w:rsidR="00C55629" w:rsidRPr="00C55629" w:rsidRDefault="00C55629" w:rsidP="00C55629">
      <w:pPr>
        <w:spacing w:before="120" w:after="120"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Apart from taking into account market factors, AL 1/2025 also incorporates the impact of legislative decisions in the agricultural sector since the DB 2025 was adopted in June 2024. </w:t>
      </w:r>
    </w:p>
    <w:p w14:paraId="44B15DDC" w14:textId="77777777" w:rsidR="00C55629" w:rsidRPr="00C55629" w:rsidRDefault="00C55629" w:rsidP="00C55629">
      <w:pPr>
        <w:spacing w:before="120" w:after="120"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Overall 2025 </w:t>
      </w:r>
      <w:r w:rsidRPr="00C55629">
        <w:rPr>
          <w:rFonts w:ascii="Times New Roman" w:eastAsia="MS Mincho" w:hAnsi="Times New Roman" w:cs="Times New Roman"/>
          <w:noProof/>
          <w:kern w:val="0"/>
          <w:sz w:val="24"/>
          <w:szCs w:val="24"/>
          <w:lang w:val="en-GB" w:eastAsia="en-GB"/>
          <w14:ligatures w14:val="none"/>
        </w:rPr>
        <w:t>EAGF needs</w:t>
      </w:r>
      <w:r w:rsidRPr="00C55629">
        <w:rPr>
          <w:rFonts w:ascii="Times New Roman" w:eastAsia="Times New Roman" w:hAnsi="Times New Roman" w:cs="Times New Roman"/>
          <w:noProof/>
          <w:kern w:val="0"/>
          <w:sz w:val="24"/>
          <w:szCs w:val="24"/>
          <w:lang w:val="en-GB" w:eastAsia="en-GB"/>
          <w14:ligatures w14:val="none"/>
        </w:rPr>
        <w:t>, including the agricultural reserve, are now estimated at EUR 41 215  million</w:t>
      </w:r>
      <w:r w:rsidRPr="00C55629">
        <w:rPr>
          <w:rFonts w:ascii="Times New Roman" w:eastAsia="Times New Roman" w:hAnsi="Times New Roman" w:cs="Times New Roman"/>
          <w:noProof/>
          <w:kern w:val="0"/>
          <w:sz w:val="24"/>
          <w:szCs w:val="24"/>
          <w:vertAlign w:val="superscript"/>
          <w:lang w:val="en-GB" w:eastAsia="en-GB"/>
          <w14:ligatures w14:val="none"/>
        </w:rPr>
        <w:footnoteReference w:id="6"/>
      </w:r>
      <w:r w:rsidRPr="00C55629">
        <w:rPr>
          <w:rFonts w:ascii="Times New Roman" w:eastAsia="Times New Roman" w:hAnsi="Times New Roman" w:cs="Times New Roman"/>
          <w:noProof/>
          <w:kern w:val="0"/>
          <w:sz w:val="24"/>
          <w:szCs w:val="24"/>
          <w:lang w:val="en-GB" w:eastAsia="en-GB"/>
          <w14:ligatures w14:val="none"/>
        </w:rPr>
        <w:t>. This</w:t>
      </w:r>
      <w:r w:rsidRPr="00C55629">
        <w:rPr>
          <w:rFonts w:ascii="Times New Roman" w:eastAsia="MS Mincho" w:hAnsi="Times New Roman" w:cs="Times New Roman"/>
          <w:noProof/>
          <w:kern w:val="0"/>
          <w:sz w:val="24"/>
          <w:szCs w:val="24"/>
          <w:lang w:val="en-GB" w:eastAsia="en-GB"/>
          <w14:ligatures w14:val="none"/>
        </w:rPr>
        <w:t xml:space="preserve"> is an increase by EUR 344 million compared to the DB 2025, which is due respectively to:</w:t>
      </w:r>
    </w:p>
    <w:p w14:paraId="636AA912" w14:textId="77777777" w:rsidR="00C55629" w:rsidRPr="00C55629" w:rsidRDefault="00C55629" w:rsidP="00C55629">
      <w:pPr>
        <w:numPr>
          <w:ilvl w:val="0"/>
          <w:numId w:val="24"/>
        </w:numPr>
        <w:spacing w:after="120" w:line="257" w:lineRule="auto"/>
        <w:ind w:left="714" w:hanging="357"/>
        <w:jc w:val="both"/>
        <w:rPr>
          <w:rFonts w:ascii="Calibri" w:eastAsia="MS Mincho" w:hAnsi="Calibri" w:cs="Times New Roman"/>
          <w:noProof/>
          <w:kern w:val="0"/>
          <w:szCs w:val="20"/>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additional needs of EUR 120 million for the agricultural reserve for the exceptional measures adopted in 2024 and for which the expenditure will be declared in the agricultural year 2025,</w:t>
      </w:r>
    </w:p>
    <w:p w14:paraId="0DE503D0" w14:textId="77777777" w:rsidR="00C55629" w:rsidRPr="00C55629" w:rsidRDefault="00C55629" w:rsidP="00C55629">
      <w:pPr>
        <w:numPr>
          <w:ilvl w:val="0"/>
          <w:numId w:val="24"/>
        </w:numPr>
        <w:spacing w:after="120" w:line="257" w:lineRule="auto"/>
        <w:ind w:left="714" w:hanging="357"/>
        <w:jc w:val="both"/>
        <w:rPr>
          <w:rFonts w:ascii="Calibri" w:eastAsia="MS Mincho" w:hAnsi="Calibri" w:cs="Times New Roman"/>
          <w:noProof/>
          <w:kern w:val="0"/>
          <w:szCs w:val="20"/>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additional needs for Member States’ market measures and interventions of EUR 94 million, for promotion measures, fruit and vegetables sector and school schemes, following a good implementation in 2024,</w:t>
      </w:r>
    </w:p>
    <w:p w14:paraId="25D00819" w14:textId="77777777" w:rsidR="00C55629" w:rsidRPr="00C55629" w:rsidRDefault="00C55629" w:rsidP="00C55629">
      <w:pPr>
        <w:numPr>
          <w:ilvl w:val="0"/>
          <w:numId w:val="24"/>
        </w:numPr>
        <w:spacing w:after="120" w:line="257" w:lineRule="auto"/>
        <w:ind w:left="714" w:hanging="357"/>
        <w:jc w:val="both"/>
        <w:rPr>
          <w:rFonts w:ascii="Calibri" w:eastAsia="MS Mincho" w:hAnsi="Calibri" w:cs="Times New Roman"/>
          <w:noProof/>
          <w:kern w:val="0"/>
          <w:szCs w:val="20"/>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a relatively minor increase of EUR 30 million for direct payments,  </w:t>
      </w:r>
    </w:p>
    <w:p w14:paraId="38D37023" w14:textId="77777777" w:rsidR="00C55629" w:rsidRPr="00C55629" w:rsidRDefault="00C55629" w:rsidP="00C55629">
      <w:pPr>
        <w:numPr>
          <w:ilvl w:val="0"/>
          <w:numId w:val="24"/>
        </w:numPr>
        <w:spacing w:after="120" w:line="257" w:lineRule="auto"/>
        <w:ind w:left="714" w:hanging="357"/>
        <w:jc w:val="both"/>
        <w:rPr>
          <w:rFonts w:ascii="Calibri" w:eastAsia="MS Mincho" w:hAnsi="Calibri" w:cs="Times New Roman"/>
          <w:noProof/>
          <w:kern w:val="0"/>
          <w:szCs w:val="20"/>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additional needs of EUR 100 million under the article 08 02 06 ‘Policy strategy, coordination and audit’,</w:t>
      </w:r>
    </w:p>
    <w:p w14:paraId="2281CC61" w14:textId="77777777" w:rsidR="00C55629" w:rsidRPr="00C55629" w:rsidRDefault="00C55629" w:rsidP="00C55629">
      <w:pPr>
        <w:numPr>
          <w:ilvl w:val="0"/>
          <w:numId w:val="24"/>
        </w:numPr>
        <w:spacing w:before="120" w:after="120" w:line="257" w:lineRule="auto"/>
        <w:ind w:left="714" w:hanging="357"/>
        <w:jc w:val="both"/>
        <w:rPr>
          <w:rFonts w:ascii="Calibri" w:eastAsia="MS Mincho" w:hAnsi="Calibri" w:cs="Times New Roman"/>
          <w:noProof/>
          <w:kern w:val="0"/>
          <w:szCs w:val="20"/>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a budget-neutral move from the completion of previous programmes line to the ‘old’ direct payments schemes amounting to EUR 30 million.</w:t>
      </w:r>
    </w:p>
    <w:p w14:paraId="688A5AA9" w14:textId="77777777" w:rsidR="00C55629" w:rsidRPr="00C55629" w:rsidRDefault="00C55629" w:rsidP="00C55629">
      <w:pPr>
        <w:spacing w:before="120" w:after="120"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In 2024, exceptional measures under the agricultural reserve were adopted for an amount of EUR 295 million, of which EUR 175 million may still be paid in 2024, while EUR 120 million will be carried over to 2025 in accordance with Article 16(2) of the CAP Horizontal Regulation</w:t>
      </w:r>
      <w:r w:rsidRPr="00C55629">
        <w:rPr>
          <w:rFonts w:ascii="Times New Roman" w:eastAsia="Times New Roman" w:hAnsi="Times New Roman" w:cs="Times New Roman"/>
          <w:noProof/>
          <w:kern w:val="0"/>
          <w:sz w:val="24"/>
          <w:szCs w:val="24"/>
          <w:vertAlign w:val="superscript"/>
          <w:lang w:val="en-GB" w:eastAsia="en-GB"/>
          <w14:ligatures w14:val="none"/>
        </w:rPr>
        <w:footnoteReference w:id="7"/>
      </w:r>
      <w:r w:rsidRPr="00C55629">
        <w:rPr>
          <w:rFonts w:ascii="Times New Roman" w:eastAsia="Times New Roman" w:hAnsi="Times New Roman" w:cs="Times New Roman"/>
          <w:noProof/>
          <w:kern w:val="0"/>
          <w:sz w:val="24"/>
          <w:szCs w:val="24"/>
          <w:lang w:val="en-GB" w:eastAsia="en-GB"/>
          <w14:ligatures w14:val="none"/>
        </w:rPr>
        <w:t>. This would bring the agricultural reserve in 2025 to EUR 570 million, leaving EUR 450 million available for new measures. It will be financed from an unspent amount of the 2024 agricultural reserve of EUR 282 million, as well as EUR 288 million from the 2025 EAGF availabilities.</w:t>
      </w:r>
    </w:p>
    <w:p w14:paraId="1EC4F2CB" w14:textId="77777777" w:rsidR="00C55629" w:rsidRPr="00C55629" w:rsidRDefault="00C55629" w:rsidP="00C55629">
      <w:pPr>
        <w:spacing w:before="120" w:after="120"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At the same time, the total amount of the assigned revenue and the appropriations carried over, including the agricultural reserve, that is expected to be available in 2025 increases from EUR 342 million in the DB 2025 to EUR 1 038 million (i.e. an increase of EUR 696 million), fully covering the additional needs of EUR 344 million. The surplus originates notably from the under-execution of the 2024 agricultural reserve as explained above and higher-than-expected assigned revenue from the clearance of EAGF accounts in 2024.</w:t>
      </w:r>
    </w:p>
    <w:p w14:paraId="04A310B8" w14:textId="77777777" w:rsidR="00C55629" w:rsidRPr="00C55629" w:rsidRDefault="00C55629" w:rsidP="00C55629">
      <w:pPr>
        <w:spacing w:before="120" w:after="120"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As a result of these updates, the amount of commitment appropriations is EUR 40 177 million, which includes EUR 288 million for the agricultural reserve. This would leave EUR 351,9 million margin under the net balance available for the EAGF of EUR 40 528,9 million. As usual during the year, the Commission will monitor closely the needs, including for the agricultural reserve, and will propose relevant budgetary solutions if and as necessary.</w:t>
      </w:r>
    </w:p>
    <w:tbl>
      <w:tblPr>
        <w:tblW w:w="0" w:type="auto"/>
        <w:tblLayout w:type="fixed"/>
        <w:tblLook w:val="01E0" w:firstRow="1" w:lastRow="1" w:firstColumn="1" w:lastColumn="1" w:noHBand="0" w:noVBand="0"/>
      </w:tblPr>
      <w:tblGrid>
        <w:gridCol w:w="1168"/>
        <w:gridCol w:w="4995"/>
        <w:gridCol w:w="1854"/>
        <w:gridCol w:w="1901"/>
      </w:tblGrid>
      <w:tr w:rsidR="00C55629" w:rsidRPr="00C55629" w14:paraId="69AE3CB1" w14:textId="77777777" w:rsidTr="0028479A">
        <w:trPr>
          <w:trHeight w:val="300"/>
        </w:trPr>
        <w:tc>
          <w:tcPr>
            <w:tcW w:w="9918" w:type="dxa"/>
            <w:gridSpan w:val="4"/>
            <w:tcBorders>
              <w:top w:val="nil"/>
              <w:left w:val="nil"/>
              <w:bottom w:val="single" w:sz="8" w:space="0" w:color="auto"/>
              <w:right w:val="nil"/>
            </w:tcBorders>
            <w:tcMar>
              <w:left w:w="108" w:type="dxa"/>
              <w:right w:w="108" w:type="dxa"/>
            </w:tcMar>
            <w:vAlign w:val="center"/>
          </w:tcPr>
          <w:p w14:paraId="7EC5147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bookmarkStart w:id="64" w:name="_Toc55807155"/>
            <w:bookmarkStart w:id="65" w:name="_Toc114838632"/>
            <w:bookmarkStart w:id="66" w:name="_Toc145922822"/>
            <w:bookmarkStart w:id="67" w:name="_Toc54770344"/>
            <w:bookmarkEnd w:id="62"/>
            <w:bookmarkEnd w:id="63"/>
            <w:r w:rsidRPr="00C55629">
              <w:rPr>
                <w:rFonts w:ascii="Times New Roman" w:eastAsia="Times New Roman" w:hAnsi="Times New Roman" w:cs="Times New Roman"/>
                <w:i/>
                <w:iCs/>
                <w:noProof/>
                <w:kern w:val="0"/>
                <w:sz w:val="20"/>
                <w:szCs w:val="20"/>
                <w:lang w:val="en-GB" w:eastAsia="en-GB"/>
                <w14:ligatures w14:val="none"/>
              </w:rPr>
              <w:t>EUR</w:t>
            </w:r>
          </w:p>
        </w:tc>
      </w:tr>
      <w:tr w:rsidR="00C55629" w:rsidRPr="00C55629" w14:paraId="2168E9C3" w14:textId="77777777" w:rsidTr="00C55629">
        <w:trPr>
          <w:trHeight w:val="300"/>
        </w:trPr>
        <w:tc>
          <w:tcPr>
            <w:tcW w:w="116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5C5B4610" w14:textId="77777777" w:rsidR="00C55629" w:rsidRPr="00C55629" w:rsidRDefault="00C55629" w:rsidP="00C55629">
            <w:pPr>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Budget line</w:t>
            </w:r>
          </w:p>
        </w:tc>
        <w:tc>
          <w:tcPr>
            <w:tcW w:w="4995"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349BC601" w14:textId="77777777" w:rsidR="00C55629" w:rsidRPr="00C55629" w:rsidRDefault="00C55629" w:rsidP="00C55629">
            <w:pPr>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Name</w:t>
            </w:r>
          </w:p>
        </w:tc>
        <w:tc>
          <w:tcPr>
            <w:tcW w:w="1854"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5707E74F" w14:textId="77777777" w:rsidR="00C55629" w:rsidRPr="00C55629" w:rsidRDefault="00C55629" w:rsidP="00C55629">
            <w:pPr>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Commitment appropriations</w:t>
            </w:r>
          </w:p>
        </w:tc>
        <w:tc>
          <w:tcPr>
            <w:tcW w:w="1901"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65419E75" w14:textId="77777777" w:rsidR="00C55629" w:rsidRPr="00C55629" w:rsidRDefault="00C55629" w:rsidP="00C55629">
            <w:pPr>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Payment appropriations</w:t>
            </w:r>
          </w:p>
        </w:tc>
      </w:tr>
      <w:tr w:rsidR="00C55629" w:rsidRPr="00C55629" w14:paraId="64769EBE"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50DCAFF6"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08 02 01</w:t>
            </w:r>
          </w:p>
        </w:tc>
        <w:tc>
          <w:tcPr>
            <w:tcW w:w="4995" w:type="dxa"/>
            <w:tcBorders>
              <w:top w:val="nil"/>
              <w:left w:val="single" w:sz="8" w:space="0" w:color="auto"/>
              <w:bottom w:val="single" w:sz="8" w:space="0" w:color="auto"/>
              <w:right w:val="single" w:sz="8" w:space="0" w:color="auto"/>
            </w:tcBorders>
            <w:tcMar>
              <w:left w:w="108" w:type="dxa"/>
              <w:right w:w="108" w:type="dxa"/>
            </w:tcMar>
          </w:tcPr>
          <w:p w14:paraId="3D574D34"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Agricultural reserve</w:t>
            </w:r>
          </w:p>
        </w:tc>
        <w:tc>
          <w:tcPr>
            <w:tcW w:w="1854" w:type="dxa"/>
            <w:tcBorders>
              <w:top w:val="nil"/>
              <w:left w:val="single" w:sz="8" w:space="0" w:color="auto"/>
              <w:bottom w:val="single" w:sz="8" w:space="0" w:color="auto"/>
              <w:right w:val="single" w:sz="8" w:space="0" w:color="auto"/>
            </w:tcBorders>
            <w:tcMar>
              <w:left w:w="108" w:type="dxa"/>
              <w:right w:w="108" w:type="dxa"/>
            </w:tcMar>
          </w:tcPr>
          <w:p w14:paraId="59399FC0"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-162 000 000</w:t>
            </w:r>
          </w:p>
        </w:tc>
        <w:tc>
          <w:tcPr>
            <w:tcW w:w="1901" w:type="dxa"/>
            <w:tcBorders>
              <w:top w:val="nil"/>
              <w:left w:val="single" w:sz="8" w:space="0" w:color="auto"/>
              <w:bottom w:val="single" w:sz="8" w:space="0" w:color="auto"/>
              <w:right w:val="single" w:sz="8" w:space="0" w:color="auto"/>
            </w:tcBorders>
            <w:tcMar>
              <w:left w:w="108" w:type="dxa"/>
              <w:right w:w="108" w:type="dxa"/>
            </w:tcMar>
          </w:tcPr>
          <w:p w14:paraId="12B27D1E"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-162 000 000</w:t>
            </w:r>
          </w:p>
        </w:tc>
      </w:tr>
      <w:tr w:rsidR="00C55629" w:rsidRPr="00C55629" w14:paraId="2E80EF8B"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35B4DDBA"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08 02 02</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76AB0853"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Types of interventions in certain sectors under the CAP Strategic Plans</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1A6B5D9A"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51 000 000</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23F2A3C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51 000 000</w:t>
            </w:r>
          </w:p>
        </w:tc>
      </w:tr>
      <w:tr w:rsidR="00C55629" w:rsidRPr="00C55629" w14:paraId="66E36A83"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23726577"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08 02 03</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76AB4205"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Market-related expenditure outside the CAP Strategic Plans</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2310B813"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43 000 000</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537266ED"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3 000 000</w:t>
            </w:r>
          </w:p>
        </w:tc>
      </w:tr>
      <w:tr w:rsidR="00C55629" w:rsidRPr="00C55629" w14:paraId="0EB42AF9"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3D7A0A51"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08 02 04</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0DEAA064"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Direct payments types of interventions under the CAP Strategic Plans</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7D17E36F"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-383 920 598</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187D01A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-383 920 598</w:t>
            </w:r>
          </w:p>
        </w:tc>
      </w:tr>
      <w:tr w:rsidR="00C55629" w:rsidRPr="00C55629" w14:paraId="2D0FC529"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30E14FC0"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08 02 05</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4EBD428E"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Direct payments outside the CAP Strategic Plans</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4DAF1834"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30 000 000</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51405BD4"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30 000 000</w:t>
            </w:r>
          </w:p>
        </w:tc>
      </w:tr>
      <w:tr w:rsidR="00C55629" w:rsidRPr="00C55629" w14:paraId="52A204A7"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510B7402"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 xml:space="preserve">08 02 06 </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3F6E60D2"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Policy strategy, coordination and audit</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088527F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100 000 000</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7759FF3F"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100 000 000</w:t>
            </w:r>
          </w:p>
        </w:tc>
      </w:tr>
      <w:tr w:rsidR="00C55629" w:rsidRPr="00C55629" w14:paraId="27227317" w14:textId="77777777" w:rsidTr="0028479A">
        <w:trPr>
          <w:trHeight w:val="300"/>
        </w:trPr>
        <w:tc>
          <w:tcPr>
            <w:tcW w:w="1168" w:type="dxa"/>
            <w:tcBorders>
              <w:top w:val="single" w:sz="8" w:space="0" w:color="auto"/>
              <w:left w:val="single" w:sz="8" w:space="0" w:color="auto"/>
              <w:bottom w:val="single" w:sz="8" w:space="0" w:color="auto"/>
              <w:right w:val="single" w:sz="8" w:space="0" w:color="auto"/>
            </w:tcBorders>
            <w:tcMar>
              <w:left w:w="108" w:type="dxa"/>
              <w:right w:w="108" w:type="dxa"/>
            </w:tcMar>
          </w:tcPr>
          <w:p w14:paraId="2C9962BF"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08 02 99</w:t>
            </w:r>
          </w:p>
        </w:tc>
        <w:tc>
          <w:tcPr>
            <w:tcW w:w="4995" w:type="dxa"/>
            <w:tcBorders>
              <w:top w:val="single" w:sz="8" w:space="0" w:color="auto"/>
              <w:left w:val="single" w:sz="8" w:space="0" w:color="auto"/>
              <w:bottom w:val="single" w:sz="8" w:space="0" w:color="auto"/>
              <w:right w:val="single" w:sz="8" w:space="0" w:color="auto"/>
            </w:tcBorders>
            <w:tcMar>
              <w:left w:w="108" w:type="dxa"/>
              <w:right w:w="108" w:type="dxa"/>
            </w:tcMar>
          </w:tcPr>
          <w:p w14:paraId="136DF854" w14:textId="77777777" w:rsidR="00C55629" w:rsidRPr="00C55629" w:rsidRDefault="00C55629" w:rsidP="00C55629">
            <w:pPr>
              <w:tabs>
                <w:tab w:val="left" w:pos="1350"/>
              </w:tabs>
              <w:spacing w:before="15" w:after="15" w:line="257"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Completion of previous programmes and activities</w:t>
            </w:r>
          </w:p>
        </w:tc>
        <w:tc>
          <w:tcPr>
            <w:tcW w:w="1854" w:type="dxa"/>
            <w:tcBorders>
              <w:top w:val="single" w:sz="8" w:space="0" w:color="auto"/>
              <w:left w:val="single" w:sz="8" w:space="0" w:color="auto"/>
              <w:bottom w:val="single" w:sz="8" w:space="0" w:color="auto"/>
              <w:right w:val="single" w:sz="8" w:space="0" w:color="auto"/>
            </w:tcBorders>
            <w:tcMar>
              <w:left w:w="108" w:type="dxa"/>
              <w:right w:w="108" w:type="dxa"/>
            </w:tcMar>
          </w:tcPr>
          <w:p w14:paraId="7CDC782B"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-30 000 000</w:t>
            </w:r>
          </w:p>
        </w:tc>
        <w:tc>
          <w:tcPr>
            <w:tcW w:w="1901" w:type="dxa"/>
            <w:tcBorders>
              <w:top w:val="single" w:sz="8" w:space="0" w:color="auto"/>
              <w:left w:val="single" w:sz="8" w:space="0" w:color="auto"/>
              <w:bottom w:val="single" w:sz="8" w:space="0" w:color="auto"/>
              <w:right w:val="single" w:sz="8" w:space="0" w:color="auto"/>
            </w:tcBorders>
            <w:tcMar>
              <w:left w:w="108" w:type="dxa"/>
              <w:right w:w="108" w:type="dxa"/>
            </w:tcMar>
          </w:tcPr>
          <w:p w14:paraId="30FAF8AB"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-30 000 000</w:t>
            </w:r>
          </w:p>
        </w:tc>
      </w:tr>
      <w:tr w:rsidR="00C55629" w:rsidRPr="00C55629" w14:paraId="1B2FB661" w14:textId="77777777" w:rsidTr="00C55629">
        <w:trPr>
          <w:trHeight w:val="300"/>
        </w:trPr>
        <w:tc>
          <w:tcPr>
            <w:tcW w:w="6163" w:type="dxa"/>
            <w:gridSpan w:val="2"/>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6FA61152" w14:textId="77777777" w:rsidR="00C55629" w:rsidRPr="00C55629" w:rsidRDefault="00C55629" w:rsidP="00C55629">
            <w:pPr>
              <w:spacing w:before="15" w:after="15" w:line="257" w:lineRule="auto"/>
              <w:ind w:right="-113"/>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Total</w:t>
            </w:r>
          </w:p>
        </w:tc>
        <w:tc>
          <w:tcPr>
            <w:tcW w:w="1854"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50F35A1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-351 920 598</w:t>
            </w:r>
          </w:p>
        </w:tc>
        <w:tc>
          <w:tcPr>
            <w:tcW w:w="1901"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22D331F1" w14:textId="77777777" w:rsidR="00C55629" w:rsidRPr="00C55629" w:rsidRDefault="00C55629" w:rsidP="00C55629">
            <w:pPr>
              <w:spacing w:before="15" w:after="15" w:line="257" w:lineRule="auto"/>
              <w:jc w:val="right"/>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-391 920 598</w:t>
            </w:r>
          </w:p>
        </w:tc>
      </w:tr>
    </w:tbl>
    <w:p w14:paraId="10747A30" w14:textId="25DDB5DF" w:rsidR="00C55629" w:rsidRPr="00C55629" w:rsidRDefault="00C55629" w:rsidP="00CA47B3">
      <w:pPr>
        <w:pStyle w:val="ManualHeading1"/>
        <w:rPr>
          <w:noProof/>
        </w:rPr>
      </w:pPr>
      <w:r w:rsidRPr="00C55629">
        <w:rPr>
          <w:noProof/>
        </w:rPr>
        <w:t>5.</w:t>
      </w:r>
      <w:r w:rsidRPr="00C55629">
        <w:rPr>
          <w:noProof/>
        </w:rPr>
        <w:tab/>
      </w:r>
      <w:bookmarkEnd w:id="64"/>
      <w:r w:rsidRPr="00C55629">
        <w:rPr>
          <w:noProof/>
        </w:rPr>
        <w:t>Update of the Sustainable Fisheries Partnership Agreements</w:t>
      </w:r>
      <w:bookmarkEnd w:id="65"/>
      <w:bookmarkEnd w:id="66"/>
    </w:p>
    <w:p w14:paraId="5F8039D5"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Commission has examined the most recent information available concerning Sustainable Fisheries Partnership Agreements (SFPAs) and reviewed the expected needs for 2025 on the basis of the developments in the negotiations with the third countries involved, as foreseen in point C of Part II of the Interinstitutional Agreement (IIA)</w:t>
      </w:r>
      <w:r w:rsidRPr="00C55629">
        <w:rPr>
          <w:rFonts w:ascii="Times New Roman" w:eastAsia="Times New Roman" w:hAnsi="Times New Roman" w:cs="Times New Roman"/>
          <w:noProof/>
          <w:kern w:val="0"/>
          <w:sz w:val="24"/>
          <w:szCs w:val="24"/>
          <w:vertAlign w:val="superscript"/>
          <w:lang w:val="en-GB" w:eastAsia="en-GB"/>
          <w14:ligatures w14:val="none"/>
        </w:rPr>
        <w:footnoteReference w:id="8"/>
      </w:r>
      <w:r w:rsidRPr="00C55629">
        <w:rPr>
          <w:rFonts w:ascii="Times New Roman" w:eastAsia="Times New Roman" w:hAnsi="Times New Roman" w:cs="Times New Roman"/>
          <w:noProof/>
          <w:kern w:val="0"/>
          <w:sz w:val="24"/>
          <w:szCs w:val="24"/>
          <w:lang w:val="en-GB" w:eastAsia="en-GB"/>
          <w14:ligatures w14:val="none"/>
        </w:rPr>
        <w:t xml:space="preserve">. On the basis of this review, the Commission proposes a transfer of EUR 17,8 million in commitment and payment appropriations from the reserve to the main operational SFPA line. This budgetary-neutral transfer relates to new protocols with the Republic of Cabo Verde (2024-2029) signed on 23 July 2023, and with the Republic of Guinea-Bissau (2024-2029) signed on 18 September 2024. </w:t>
      </w:r>
    </w:p>
    <w:p w14:paraId="55379BA3"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With the proposed adjustments, the total available commitment appropriations for the sustainable fisheries partnership agreements will amount to EUR 150,6 million, of which EUR 60 million in the reserve and EUR 90,6 million on the main operational line. With respect to payment appropriations, the total amount of EUR 135,3 million will include an amount of EUR 41,6 million in the form of reserve.</w:t>
      </w:r>
    </w:p>
    <w:p w14:paraId="515A8E56" w14:textId="77777777" w:rsidR="00C55629" w:rsidRPr="00C55629" w:rsidRDefault="00C55629" w:rsidP="00C55629">
      <w:pPr>
        <w:autoSpaceDE w:val="0"/>
        <w:autoSpaceDN w:val="0"/>
        <w:adjustRightInd w:val="0"/>
        <w:spacing w:before="120" w:after="0"/>
        <w:jc w:val="both"/>
        <w:rPr>
          <w:rFonts w:ascii="Times New Roman" w:eastAsia="Times New Roman" w:hAnsi="Times New Roman" w:cs="Times New Roman"/>
          <w:i/>
          <w:iCs/>
          <w:noProof/>
          <w:kern w:val="0"/>
          <w:sz w:val="20"/>
          <w:szCs w:val="20"/>
          <w:lang w:val="en-GB" w:eastAsia="en-GB"/>
          <w14:ligatures w14:val="none"/>
        </w:rPr>
      </w:pPr>
      <w:r w:rsidRPr="00C55629">
        <w:rPr>
          <w:rFonts w:ascii="Times New Roman" w:eastAsia="Times New Roman" w:hAnsi="Times New Roman" w:cs="Times New Roman"/>
          <w:i/>
          <w:iCs/>
          <w:noProof/>
          <w:kern w:val="0"/>
          <w:sz w:val="20"/>
          <w:szCs w:val="20"/>
          <w:lang w:val="en-GB" w:eastAsia="en-GB"/>
          <w14:ligatures w14:val="none"/>
        </w:rPr>
        <w:t>EUR</w:t>
      </w:r>
    </w:p>
    <w:tbl>
      <w:tblPr>
        <w:tblW w:w="996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6"/>
        <w:gridCol w:w="4577"/>
        <w:gridCol w:w="1909"/>
        <w:gridCol w:w="2161"/>
      </w:tblGrid>
      <w:tr w:rsidR="00C55629" w:rsidRPr="00C55629" w14:paraId="1ECD1C7A" w14:textId="77777777" w:rsidTr="00C55629">
        <w:tc>
          <w:tcPr>
            <w:tcW w:w="1316" w:type="dxa"/>
            <w:tcBorders>
              <w:top w:val="single" w:sz="4" w:space="0" w:color="auto"/>
              <w:left w:val="single" w:sz="4" w:space="0" w:color="auto"/>
              <w:bottom w:val="single" w:sz="4" w:space="0" w:color="auto"/>
              <w:right w:val="single" w:sz="4" w:space="0" w:color="auto"/>
            </w:tcBorders>
            <w:shd w:val="clear" w:color="auto" w:fill="D9D9D9"/>
            <w:vAlign w:val="center"/>
          </w:tcPr>
          <w:p w14:paraId="1A135615"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bookmarkStart w:id="68" w:name="_Hlk111108294"/>
            <w:r w:rsidRPr="00C55629">
              <w:rPr>
                <w:rFonts w:ascii="Times New Roman" w:eastAsia="Times New Roman" w:hAnsi="Times New Roman" w:cs="Times New Roman"/>
                <w:b/>
                <w:noProof/>
                <w:kern w:val="0"/>
                <w:sz w:val="20"/>
                <w:szCs w:val="20"/>
                <w:lang w:val="en-GB" w:eastAsia="en-GB"/>
                <w14:ligatures w14:val="none"/>
              </w:rPr>
              <w:t>Budget line</w:t>
            </w:r>
          </w:p>
        </w:tc>
        <w:tc>
          <w:tcPr>
            <w:tcW w:w="4577" w:type="dxa"/>
            <w:tcBorders>
              <w:top w:val="single" w:sz="4" w:space="0" w:color="auto"/>
              <w:left w:val="single" w:sz="4" w:space="0" w:color="auto"/>
              <w:bottom w:val="single" w:sz="4" w:space="0" w:color="auto"/>
              <w:right w:val="single" w:sz="4" w:space="0" w:color="auto"/>
            </w:tcBorders>
            <w:shd w:val="clear" w:color="auto" w:fill="D9D9D9"/>
            <w:vAlign w:val="center"/>
          </w:tcPr>
          <w:p w14:paraId="72DA1920"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Name</w:t>
            </w:r>
          </w:p>
        </w:tc>
        <w:tc>
          <w:tcPr>
            <w:tcW w:w="1909" w:type="dxa"/>
            <w:tcBorders>
              <w:top w:val="single" w:sz="4" w:space="0" w:color="auto"/>
              <w:left w:val="single" w:sz="4" w:space="0" w:color="auto"/>
              <w:bottom w:val="single" w:sz="4" w:space="0" w:color="auto"/>
              <w:right w:val="single" w:sz="4" w:space="0" w:color="auto"/>
            </w:tcBorders>
            <w:shd w:val="clear" w:color="auto" w:fill="D9D9D9"/>
            <w:vAlign w:val="center"/>
          </w:tcPr>
          <w:p w14:paraId="3402D4FD"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Commitment appropriations</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tcPr>
          <w:p w14:paraId="6BB1CB32" w14:textId="77777777" w:rsidR="00C55629" w:rsidRPr="00C55629" w:rsidRDefault="00C55629" w:rsidP="00C55629">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Payment appropriations</w:t>
            </w:r>
          </w:p>
        </w:tc>
      </w:tr>
      <w:tr w:rsidR="00C55629" w:rsidRPr="00C55629" w14:paraId="06F6111B" w14:textId="77777777" w:rsidTr="0028479A">
        <w:tc>
          <w:tcPr>
            <w:tcW w:w="1316" w:type="dxa"/>
            <w:tcBorders>
              <w:top w:val="single" w:sz="4" w:space="0" w:color="auto"/>
              <w:left w:val="single" w:sz="4" w:space="0" w:color="auto"/>
              <w:bottom w:val="single" w:sz="4" w:space="0" w:color="auto"/>
              <w:right w:val="single" w:sz="4" w:space="0" w:color="auto"/>
            </w:tcBorders>
            <w:vAlign w:val="center"/>
          </w:tcPr>
          <w:p w14:paraId="3DCA2998" w14:textId="77777777" w:rsidR="00C55629" w:rsidRPr="00C55629" w:rsidRDefault="00C55629" w:rsidP="00C55629">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08 05 01</w:t>
            </w:r>
          </w:p>
        </w:tc>
        <w:tc>
          <w:tcPr>
            <w:tcW w:w="4577" w:type="dxa"/>
            <w:tcBorders>
              <w:top w:val="single" w:sz="4" w:space="0" w:color="auto"/>
              <w:left w:val="single" w:sz="4" w:space="0" w:color="auto"/>
              <w:bottom w:val="single" w:sz="4" w:space="0" w:color="auto"/>
              <w:right w:val="single" w:sz="4" w:space="0" w:color="auto"/>
            </w:tcBorders>
          </w:tcPr>
          <w:p w14:paraId="0FAA8BAE" w14:textId="77777777" w:rsidR="00C55629" w:rsidRPr="00C55629" w:rsidRDefault="00C55629" w:rsidP="00C55629">
            <w:pPr>
              <w:widowControl w:val="0"/>
              <w:tabs>
                <w:tab w:val="left" w:pos="1350"/>
              </w:tabs>
              <w:spacing w:before="15" w:after="15"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Establishing a governance framework for fishing activities carried out by Union fishing vessels in third country waters</w:t>
            </w:r>
          </w:p>
        </w:tc>
        <w:tc>
          <w:tcPr>
            <w:tcW w:w="1909" w:type="dxa"/>
            <w:tcBorders>
              <w:top w:val="single" w:sz="4" w:space="0" w:color="auto"/>
              <w:left w:val="single" w:sz="4" w:space="0" w:color="auto"/>
              <w:bottom w:val="single" w:sz="4" w:space="0" w:color="auto"/>
              <w:right w:val="single" w:sz="4" w:space="0" w:color="auto"/>
            </w:tcBorders>
            <w:vAlign w:val="center"/>
          </w:tcPr>
          <w:p w14:paraId="1CBD556D" w14:textId="77777777" w:rsidR="00C55629" w:rsidRPr="00C55629" w:rsidRDefault="00C55629" w:rsidP="00C55629">
            <w:pPr>
              <w:widowControl w:val="0"/>
              <w:spacing w:before="15" w:after="15" w:line="276" w:lineRule="auto"/>
              <w:ind w:left="720"/>
              <w:contextualSpacing/>
              <w:jc w:val="right"/>
              <w:rPr>
                <w:rFonts w:ascii="Times New Roman" w:eastAsia="MS Mincho" w:hAnsi="Times New Roman" w:cs="Times New Roman"/>
                <w:noProof/>
                <w:kern w:val="0"/>
                <w:sz w:val="16"/>
                <w:szCs w:val="16"/>
                <w:lang w:val="en-GB" w:eastAsia="de-DE"/>
                <w14:ligatures w14:val="none"/>
              </w:rPr>
            </w:pPr>
            <w:r w:rsidRPr="00C55629">
              <w:rPr>
                <w:rFonts w:ascii="Times New Roman" w:eastAsia="MS Mincho" w:hAnsi="Times New Roman" w:cs="Times New Roman"/>
                <w:noProof/>
                <w:kern w:val="0"/>
                <w:sz w:val="16"/>
                <w:szCs w:val="16"/>
                <w:lang w:val="en-GB" w:eastAsia="de-DE"/>
                <w14:ligatures w14:val="none"/>
              </w:rPr>
              <w:t>17 780 000</w:t>
            </w:r>
          </w:p>
        </w:tc>
        <w:tc>
          <w:tcPr>
            <w:tcW w:w="2161" w:type="dxa"/>
            <w:tcBorders>
              <w:top w:val="single" w:sz="4" w:space="0" w:color="auto"/>
              <w:left w:val="single" w:sz="4" w:space="0" w:color="auto"/>
              <w:bottom w:val="single" w:sz="4" w:space="0" w:color="auto"/>
              <w:right w:val="single" w:sz="4" w:space="0" w:color="auto"/>
            </w:tcBorders>
            <w:vAlign w:val="center"/>
          </w:tcPr>
          <w:p w14:paraId="2682E774" w14:textId="77777777" w:rsidR="00C55629" w:rsidRPr="00C55629" w:rsidRDefault="00C55629" w:rsidP="00C55629">
            <w:pPr>
              <w:widowControl w:val="0"/>
              <w:spacing w:before="15" w:after="15" w:line="276" w:lineRule="auto"/>
              <w:ind w:left="720"/>
              <w:contextualSpacing/>
              <w:jc w:val="right"/>
              <w:rPr>
                <w:rFonts w:ascii="Times New Roman" w:eastAsia="MS Mincho" w:hAnsi="Times New Roman" w:cs="Times New Roman"/>
                <w:noProof/>
                <w:kern w:val="0"/>
                <w:sz w:val="16"/>
                <w:szCs w:val="16"/>
                <w:lang w:val="en-GB" w:eastAsia="de-DE"/>
                <w14:ligatures w14:val="none"/>
              </w:rPr>
            </w:pPr>
            <w:r w:rsidRPr="00C55629">
              <w:rPr>
                <w:rFonts w:ascii="Times New Roman" w:eastAsia="MS Mincho" w:hAnsi="Times New Roman" w:cs="Times New Roman"/>
                <w:noProof/>
                <w:kern w:val="0"/>
                <w:sz w:val="16"/>
                <w:szCs w:val="16"/>
                <w:lang w:val="en-GB" w:eastAsia="de-DE"/>
                <w14:ligatures w14:val="none"/>
              </w:rPr>
              <w:t>17 780 000</w:t>
            </w:r>
          </w:p>
        </w:tc>
      </w:tr>
      <w:tr w:rsidR="00C55629" w:rsidRPr="00C55629" w14:paraId="38D40EB2" w14:textId="77777777" w:rsidTr="0028479A">
        <w:tc>
          <w:tcPr>
            <w:tcW w:w="1316" w:type="dxa"/>
            <w:tcBorders>
              <w:top w:val="single" w:sz="4" w:space="0" w:color="auto"/>
              <w:left w:val="single" w:sz="4" w:space="0" w:color="auto"/>
              <w:bottom w:val="single" w:sz="4" w:space="0" w:color="auto"/>
              <w:right w:val="single" w:sz="4" w:space="0" w:color="auto"/>
            </w:tcBorders>
            <w:vAlign w:val="center"/>
          </w:tcPr>
          <w:p w14:paraId="28FAE29F" w14:textId="77777777" w:rsidR="00C55629" w:rsidRPr="00C55629" w:rsidRDefault="00C55629" w:rsidP="00C55629">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30 02 02</w:t>
            </w:r>
          </w:p>
        </w:tc>
        <w:tc>
          <w:tcPr>
            <w:tcW w:w="4577" w:type="dxa"/>
            <w:tcBorders>
              <w:top w:val="single" w:sz="4" w:space="0" w:color="auto"/>
              <w:left w:val="single" w:sz="4" w:space="0" w:color="auto"/>
              <w:bottom w:val="single" w:sz="4" w:space="0" w:color="auto"/>
              <w:right w:val="single" w:sz="4" w:space="0" w:color="auto"/>
            </w:tcBorders>
          </w:tcPr>
          <w:p w14:paraId="3BD4AEE0" w14:textId="77777777" w:rsidR="00C55629" w:rsidRPr="00C55629" w:rsidRDefault="00C55629" w:rsidP="00C55629">
            <w:pPr>
              <w:widowControl w:val="0"/>
              <w:tabs>
                <w:tab w:val="left" w:pos="1350"/>
              </w:tabs>
              <w:spacing w:before="15" w:after="15"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Differentiated appropriations (</w:t>
            </w:r>
            <w:r w:rsidRPr="00C55629">
              <w:rPr>
                <w:rFonts w:ascii="Times New Roman" w:eastAsia="Times New Roman" w:hAnsi="Times New Roman" w:cs="Times New Roman"/>
                <w:i/>
                <w:noProof/>
                <w:kern w:val="0"/>
                <w:sz w:val="16"/>
                <w:szCs w:val="16"/>
                <w:lang w:val="en-GB" w:eastAsia="en-GB"/>
                <w14:ligatures w14:val="none"/>
              </w:rPr>
              <w:t>Reserve for budget article 08 05 01)</w:t>
            </w:r>
          </w:p>
        </w:tc>
        <w:tc>
          <w:tcPr>
            <w:tcW w:w="1909" w:type="dxa"/>
            <w:tcBorders>
              <w:top w:val="single" w:sz="4" w:space="0" w:color="auto"/>
              <w:left w:val="single" w:sz="4" w:space="0" w:color="auto"/>
              <w:bottom w:val="single" w:sz="4" w:space="0" w:color="auto"/>
              <w:right w:val="single" w:sz="4" w:space="0" w:color="auto"/>
            </w:tcBorders>
            <w:vAlign w:val="center"/>
          </w:tcPr>
          <w:p w14:paraId="69459B4B" w14:textId="77777777" w:rsidR="00C55629" w:rsidRPr="00C55629" w:rsidRDefault="00C55629" w:rsidP="00C55629">
            <w:pPr>
              <w:widowControl w:val="0"/>
              <w:spacing w:before="15" w:after="15" w:line="276" w:lineRule="auto"/>
              <w:ind w:left="720"/>
              <w:contextualSpacing/>
              <w:jc w:val="right"/>
              <w:rPr>
                <w:rFonts w:ascii="Times New Roman" w:eastAsia="MS Mincho" w:hAnsi="Times New Roman" w:cs="Times New Roman"/>
                <w:noProof/>
                <w:kern w:val="0"/>
                <w:sz w:val="16"/>
                <w:szCs w:val="16"/>
                <w:lang w:val="en-GB" w:eastAsia="de-DE"/>
                <w14:ligatures w14:val="none"/>
              </w:rPr>
            </w:pPr>
            <w:r w:rsidRPr="00C55629">
              <w:rPr>
                <w:rFonts w:ascii="Times New Roman" w:eastAsia="MS Mincho" w:hAnsi="Times New Roman" w:cs="Times New Roman"/>
                <w:noProof/>
                <w:kern w:val="0"/>
                <w:sz w:val="16"/>
                <w:szCs w:val="16"/>
                <w:lang w:val="en-GB" w:eastAsia="de-DE"/>
                <w14:ligatures w14:val="none"/>
              </w:rPr>
              <w:t>-17 780 000</w:t>
            </w:r>
          </w:p>
        </w:tc>
        <w:tc>
          <w:tcPr>
            <w:tcW w:w="2161" w:type="dxa"/>
            <w:tcBorders>
              <w:top w:val="single" w:sz="4" w:space="0" w:color="auto"/>
              <w:left w:val="single" w:sz="4" w:space="0" w:color="auto"/>
              <w:bottom w:val="single" w:sz="4" w:space="0" w:color="auto"/>
              <w:right w:val="single" w:sz="4" w:space="0" w:color="auto"/>
            </w:tcBorders>
            <w:vAlign w:val="center"/>
          </w:tcPr>
          <w:p w14:paraId="2E6376DF" w14:textId="77777777" w:rsidR="00C55629" w:rsidRPr="00C55629" w:rsidRDefault="00C55629" w:rsidP="00C55629">
            <w:pPr>
              <w:widowControl w:val="0"/>
              <w:spacing w:before="15" w:after="15" w:line="276" w:lineRule="auto"/>
              <w:ind w:left="720"/>
              <w:contextualSpacing/>
              <w:jc w:val="right"/>
              <w:rPr>
                <w:rFonts w:ascii="Times New Roman" w:eastAsia="MS Mincho" w:hAnsi="Times New Roman" w:cs="Times New Roman"/>
                <w:noProof/>
                <w:kern w:val="0"/>
                <w:sz w:val="16"/>
                <w:szCs w:val="16"/>
                <w:lang w:val="en-GB" w:eastAsia="de-DE"/>
                <w14:ligatures w14:val="none"/>
              </w:rPr>
            </w:pPr>
            <w:r w:rsidRPr="00C55629">
              <w:rPr>
                <w:rFonts w:ascii="Times New Roman" w:eastAsia="MS Mincho" w:hAnsi="Times New Roman" w:cs="Times New Roman"/>
                <w:noProof/>
                <w:kern w:val="0"/>
                <w:sz w:val="16"/>
                <w:szCs w:val="16"/>
                <w:lang w:val="en-GB" w:eastAsia="de-DE"/>
                <w14:ligatures w14:val="none"/>
              </w:rPr>
              <w:t>-17 780 000</w:t>
            </w:r>
          </w:p>
        </w:tc>
      </w:tr>
      <w:tr w:rsidR="00C55629" w:rsidRPr="00C55629" w14:paraId="20C82A7E" w14:textId="77777777" w:rsidTr="00C55629">
        <w:tc>
          <w:tcPr>
            <w:tcW w:w="5893" w:type="dxa"/>
            <w:gridSpan w:val="2"/>
            <w:tcBorders>
              <w:top w:val="single" w:sz="4" w:space="0" w:color="auto"/>
              <w:left w:val="single" w:sz="4" w:space="0" w:color="auto"/>
              <w:bottom w:val="single" w:sz="4" w:space="0" w:color="auto"/>
              <w:right w:val="single" w:sz="4" w:space="0" w:color="auto"/>
            </w:tcBorders>
            <w:shd w:val="clear" w:color="auto" w:fill="D9D9D9"/>
          </w:tcPr>
          <w:p w14:paraId="3A4499A8" w14:textId="77777777" w:rsidR="00C55629" w:rsidRPr="00C55629" w:rsidRDefault="00C55629" w:rsidP="00C55629">
            <w:pPr>
              <w:widowControl w:val="0"/>
              <w:tabs>
                <w:tab w:val="left" w:pos="975"/>
              </w:tabs>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Total</w:t>
            </w:r>
            <w:r w:rsidRPr="00C55629">
              <w:rPr>
                <w:rFonts w:ascii="Times New Roman" w:eastAsia="Times New Roman" w:hAnsi="Times New Roman" w:cs="Times New Roman"/>
                <w:b/>
                <w:noProof/>
                <w:kern w:val="0"/>
                <w:sz w:val="20"/>
                <w:szCs w:val="20"/>
                <w:lang w:val="en-GB" w:eastAsia="en-GB"/>
                <w14:ligatures w14:val="none"/>
              </w:rPr>
              <w:tab/>
            </w:r>
          </w:p>
        </w:tc>
        <w:tc>
          <w:tcPr>
            <w:tcW w:w="1909" w:type="dxa"/>
            <w:tcBorders>
              <w:top w:val="single" w:sz="4" w:space="0" w:color="auto"/>
              <w:left w:val="single" w:sz="4" w:space="0" w:color="auto"/>
              <w:bottom w:val="single" w:sz="4" w:space="0" w:color="auto"/>
              <w:right w:val="single" w:sz="4" w:space="0" w:color="auto"/>
            </w:tcBorders>
            <w:shd w:val="clear" w:color="auto" w:fill="D9D9D9"/>
          </w:tcPr>
          <w:p w14:paraId="74C79772"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0</w:t>
            </w:r>
          </w:p>
        </w:tc>
        <w:tc>
          <w:tcPr>
            <w:tcW w:w="2161" w:type="dxa"/>
            <w:tcBorders>
              <w:top w:val="single" w:sz="4" w:space="0" w:color="auto"/>
              <w:left w:val="single" w:sz="4" w:space="0" w:color="auto"/>
              <w:bottom w:val="single" w:sz="4" w:space="0" w:color="auto"/>
              <w:right w:val="single" w:sz="4" w:space="0" w:color="auto"/>
            </w:tcBorders>
            <w:shd w:val="clear" w:color="auto" w:fill="D9D9D9"/>
          </w:tcPr>
          <w:p w14:paraId="2809F351" w14:textId="77777777" w:rsidR="00C55629" w:rsidRPr="00C55629" w:rsidRDefault="00C55629" w:rsidP="00C55629">
            <w:pPr>
              <w:widowControl w:val="0"/>
              <w:spacing w:before="15" w:after="15" w:line="240" w:lineRule="auto"/>
              <w:jc w:val="right"/>
              <w:rPr>
                <w:rFonts w:ascii="Times New Roman" w:eastAsia="Times New Roman" w:hAnsi="Times New Roman" w:cs="Times New Roman"/>
                <w:b/>
                <w:noProof/>
                <w:kern w:val="0"/>
                <w:sz w:val="20"/>
                <w:szCs w:val="20"/>
                <w:lang w:val="en-GB" w:eastAsia="en-GB"/>
                <w14:ligatures w14:val="none"/>
              </w:rPr>
            </w:pPr>
            <w:r w:rsidRPr="00C55629">
              <w:rPr>
                <w:rFonts w:ascii="Times New Roman" w:eastAsia="Times New Roman" w:hAnsi="Times New Roman" w:cs="Times New Roman"/>
                <w:b/>
                <w:noProof/>
                <w:kern w:val="0"/>
                <w:sz w:val="20"/>
                <w:szCs w:val="20"/>
                <w:lang w:val="en-GB" w:eastAsia="en-GB"/>
                <w14:ligatures w14:val="none"/>
              </w:rPr>
              <w:t>0</w:t>
            </w:r>
          </w:p>
        </w:tc>
      </w:tr>
    </w:tbl>
    <w:p w14:paraId="3A12E2DD" w14:textId="77777777" w:rsidR="00C55629" w:rsidRPr="00C55629" w:rsidRDefault="00C55629" w:rsidP="00CA47B3">
      <w:pPr>
        <w:pStyle w:val="ManualHeading1"/>
        <w:rPr>
          <w:noProof/>
        </w:rPr>
      </w:pPr>
      <w:bookmarkStart w:id="69" w:name="_Toc462933859"/>
      <w:bookmarkStart w:id="70" w:name="_Toc462935220"/>
      <w:bookmarkStart w:id="71" w:name="_Toc462935322"/>
      <w:bookmarkStart w:id="72" w:name="_Toc462935370"/>
      <w:bookmarkStart w:id="73" w:name="_Toc462935527"/>
      <w:bookmarkStart w:id="74" w:name="_Toc463004747"/>
      <w:bookmarkStart w:id="75" w:name="_Toc463974174"/>
      <w:bookmarkStart w:id="76" w:name="_Toc464028219"/>
      <w:bookmarkStart w:id="77" w:name="_Toc464028351"/>
      <w:bookmarkStart w:id="78" w:name="_Toc463974178"/>
      <w:bookmarkStart w:id="79" w:name="_Toc464028223"/>
      <w:bookmarkStart w:id="80" w:name="_Toc464028355"/>
      <w:bookmarkStart w:id="81" w:name="_Toc54770327"/>
      <w:bookmarkStart w:id="82" w:name="_Toc55807137"/>
      <w:bookmarkStart w:id="83" w:name="_Toc114838635"/>
      <w:bookmarkStart w:id="84" w:name="_Toc145922823"/>
      <w:bookmarkStart w:id="85" w:name="_Toc526753785"/>
      <w:bookmarkEnd w:id="20"/>
      <w:bookmarkEnd w:id="21"/>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55629">
        <w:rPr>
          <w:noProof/>
        </w:rPr>
        <w:t>6.</w:t>
      </w:r>
      <w:r w:rsidRPr="00C55629">
        <w:rPr>
          <w:noProof/>
        </w:rPr>
        <w:tab/>
        <w:t>European Public Administration (Heading 7)</w:t>
      </w:r>
    </w:p>
    <w:p w14:paraId="01960FE1" w14:textId="77777777" w:rsidR="00C55629" w:rsidRPr="00C55629" w:rsidRDefault="00C55629" w:rsidP="00C55629">
      <w:pPr>
        <w:keepNext/>
        <w:tabs>
          <w:tab w:val="left" w:pos="850"/>
        </w:tabs>
        <w:spacing w:before="240" w:after="240"/>
        <w:jc w:val="both"/>
        <w:outlineLvl w:val="0"/>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In this AL 1/2025, the Commission proposes adjustments to the heading 7 “European Public Administration” in relation to the impact of the increased salary adjustment for 2024 on administrative expenditure in</w:t>
      </w:r>
      <w:r w:rsidRPr="00C55629" w:rsidDel="6AAFDC67">
        <w:rPr>
          <w:rFonts w:ascii="Times New Roman" w:eastAsia="Calibri" w:hAnsi="Times New Roman" w:cs="Times New Roman"/>
          <w:noProof/>
          <w:kern w:val="0"/>
          <w:sz w:val="24"/>
          <w:szCs w:val="24"/>
          <w:lang w:val="en-GB"/>
          <w14:ligatures w14:val="none"/>
        </w:rPr>
        <w:t xml:space="preserve"> </w:t>
      </w:r>
      <w:r w:rsidRPr="00C55629">
        <w:rPr>
          <w:rFonts w:ascii="Times New Roman" w:eastAsia="Calibri" w:hAnsi="Times New Roman" w:cs="Times New Roman"/>
          <w:noProof/>
          <w:kern w:val="0"/>
          <w:sz w:val="24"/>
          <w:szCs w:val="24"/>
          <w:lang w:val="en-GB"/>
          <w14:ligatures w14:val="none"/>
        </w:rPr>
        <w:t>2025 including +1,2 % from 1 April 2025 due to the application of the ‘moderation clause’</w:t>
      </w:r>
      <w:r w:rsidRPr="00C55629">
        <w:rPr>
          <w:rFonts w:ascii="Times New Roman" w:eastAsia="Times New Roman" w:hAnsi="Times New Roman" w:cs="Times New Roman"/>
          <w:noProof/>
          <w:kern w:val="0"/>
          <w:sz w:val="24"/>
          <w:szCs w:val="24"/>
          <w:lang w:val="en-GB" w:eastAsia="en-GB"/>
          <w14:ligatures w14:val="none"/>
        </w:rPr>
        <w:t xml:space="preserve"> </w:t>
      </w:r>
      <w:r w:rsidRPr="00C55629">
        <w:rPr>
          <w:rFonts w:ascii="Times New Roman" w:eastAsia="Calibri" w:hAnsi="Times New Roman" w:cs="Times New Roman"/>
          <w:noProof/>
          <w:kern w:val="0"/>
          <w:sz w:val="24"/>
          <w:szCs w:val="24"/>
          <w:lang w:val="en-GB"/>
          <w14:ligatures w14:val="none"/>
        </w:rPr>
        <w:t>in accordance with Article 10 of Annex XI of the Staff Regulations</w:t>
      </w:r>
      <w:r w:rsidRPr="00C55629">
        <w:rPr>
          <w:rFonts w:ascii="Times New Roman" w:eastAsia="Calibri" w:hAnsi="Times New Roman" w:cs="Times New Roman"/>
          <w:noProof/>
          <w:kern w:val="0"/>
          <w:sz w:val="24"/>
          <w:szCs w:val="24"/>
          <w:vertAlign w:val="superscript"/>
          <w:lang w:val="en-GB"/>
          <w14:ligatures w14:val="none"/>
        </w:rPr>
        <w:footnoteReference w:id="9"/>
      </w:r>
      <w:r w:rsidRPr="00C55629">
        <w:rPr>
          <w:rFonts w:ascii="Times New Roman" w:eastAsia="Calibri" w:hAnsi="Times New Roman" w:cs="Times New Roman"/>
          <w:noProof/>
          <w:kern w:val="0"/>
          <w:sz w:val="24"/>
          <w:szCs w:val="24"/>
          <w:lang w:val="en-GB"/>
          <w14:ligatures w14:val="none"/>
        </w:rPr>
        <w:t>.</w:t>
      </w:r>
    </w:p>
    <w:p w14:paraId="74EBEB2C" w14:textId="77777777" w:rsidR="00C55629" w:rsidRPr="00C55629" w:rsidRDefault="00C55629" w:rsidP="00C55629">
      <w:pPr>
        <w:jc w:val="both"/>
        <w:rPr>
          <w:rFonts w:ascii="Times New Roman" w:eastAsia="Calibri" w:hAnsi="Times New Roman" w:cs="Times New Roman"/>
          <w:b/>
          <w:bCs/>
          <w:noProof/>
          <w:kern w:val="0"/>
          <w:sz w:val="24"/>
          <w:szCs w:val="24"/>
          <w:lang w:val="en-GB"/>
          <w14:ligatures w14:val="none"/>
        </w:rPr>
      </w:pPr>
      <w:r w:rsidRPr="00C55629">
        <w:rPr>
          <w:rFonts w:ascii="Times New Roman" w:eastAsia="Calibri" w:hAnsi="Times New Roman" w:cs="Times New Roman"/>
          <w:b/>
          <w:bCs/>
          <w:noProof/>
          <w:kern w:val="0"/>
          <w:sz w:val="24"/>
          <w:szCs w:val="24"/>
          <w:lang w:val="en-GB"/>
          <w14:ligatures w14:val="none"/>
        </w:rPr>
        <w:t>Administrative expenditure of the Institutions</w:t>
      </w:r>
    </w:p>
    <w:p w14:paraId="19A9FF48"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In the preparation of the 2025 draft budget, the Commission applied the principles of stable staffing and a maximum 2 % increase in non-salary related expenditure for all institutions. It revised the requests of other institutions in order to present a draft budget which respects all legal obligations, while seeking to limit the necessary recourse to special instruments.</w:t>
      </w:r>
    </w:p>
    <w:p w14:paraId="29B33BC2" w14:textId="77777777" w:rsidR="00C55629" w:rsidRPr="00C55629" w:rsidRDefault="00C55629" w:rsidP="00C55629">
      <w:pPr>
        <w:spacing w:before="120" w:after="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Calibri" w:hAnsi="Times New Roman" w:cs="Times New Roman"/>
          <w:noProof/>
          <w:kern w:val="0"/>
          <w:sz w:val="24"/>
          <w:szCs w:val="24"/>
          <w:lang w:val="en-GB"/>
          <w14:ligatures w14:val="none"/>
        </w:rPr>
        <w:t>Since the entry into force of the revised Staff Regulations in 2014, the level of the salary and pensions update for the staff of all EU institutions and agencies is based on a non-discretionary methodology comprising two elements. The first element is the net evolution of the purchasing power of national civil servants from a basket of 10 Member States</w:t>
      </w:r>
      <w:r w:rsidRPr="00C55629">
        <w:rPr>
          <w:rFonts w:ascii="Times New Roman" w:eastAsia="Calibri" w:hAnsi="Times New Roman" w:cs="Times New Roman"/>
          <w:noProof/>
          <w:kern w:val="0"/>
          <w:sz w:val="24"/>
          <w:szCs w:val="24"/>
          <w:vertAlign w:val="superscript"/>
          <w:lang w:val="en-GB"/>
          <w14:ligatures w14:val="none"/>
        </w:rPr>
        <w:footnoteReference w:id="10"/>
      </w:r>
      <w:r w:rsidRPr="00C55629">
        <w:rPr>
          <w:rFonts w:ascii="Times New Roman" w:eastAsia="Calibri" w:hAnsi="Times New Roman" w:cs="Times New Roman"/>
          <w:noProof/>
          <w:kern w:val="0"/>
          <w:sz w:val="24"/>
          <w:szCs w:val="24"/>
          <w:lang w:val="en-GB"/>
          <w14:ligatures w14:val="none"/>
        </w:rPr>
        <w:t xml:space="preserve">, representing at least 75% of the EU GDP. This constitutes the Global Specific Indicator (GSI). The second element – the Joint Index (JI) – takes account of inflation in Belgium and Luxembourg. The automaticity of the salary update method ensures the system reflects both the events in the real economy and decisions by Member States, as confirmed by Eurostat in agreement with national statistical institutes. </w:t>
      </w:r>
      <w:r w:rsidRPr="00C55629">
        <w:rPr>
          <w:rFonts w:ascii="Times New Roman" w:eastAsia="Times New Roman" w:hAnsi="Times New Roman" w:cs="Times New Roman"/>
          <w:noProof/>
          <w:kern w:val="0"/>
          <w:sz w:val="24"/>
          <w:szCs w:val="24"/>
          <w:lang w:val="en-GB" w:eastAsia="en-GB"/>
          <w14:ligatures w14:val="none"/>
        </w:rPr>
        <w:t>The 2024 salary update at +7,2% is higher than the +5,3% foreseen in the DB 2025. The moderation clause implies a salary update of +1,2% in April 2025, whereas the draft budget 2025 was built on a +0,6% assumption.</w:t>
      </w:r>
    </w:p>
    <w:p w14:paraId="5C0849B5" w14:textId="77777777" w:rsidR="00C55629" w:rsidRPr="00C55629" w:rsidRDefault="00C55629" w:rsidP="00C55629">
      <w:pPr>
        <w:spacing w:before="120" w:beforeAutospacing="1" w:after="0" w:afterAutospacing="1"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While the corresponding Commission’s report to the Council and the European Parliament will be adopted in November, a proposal to adjust the budgetary appropriations to take into account the most recent parameters is justified at this stage of the budgetary year, in accordance with the principles of sound financial management and budgetary accuracy. Consequently, the Commission and the other institutions have recalculated their salary expenditure. This increases the salary expenditure by EUR 147,9 million as compared to the estimates in the DB 2025.</w:t>
      </w:r>
    </w:p>
    <w:p w14:paraId="4500827D" w14:textId="77777777" w:rsidR="00C55629" w:rsidRPr="00C55629" w:rsidRDefault="00C55629" w:rsidP="00C55629">
      <w:pPr>
        <w:spacing w:before="120" w:beforeAutospacing="1" w:after="0" w:afterAutospacing="1"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In addition, the request for pension expenditure increases by EUR 67,9 million, and the request for the European Schools by EUR 4,3 million.</w:t>
      </w:r>
    </w:p>
    <w:p w14:paraId="3F9AD82A" w14:textId="77777777" w:rsidR="00C55629" w:rsidRPr="00C55629" w:rsidRDefault="00C55629" w:rsidP="00C55629">
      <w:pPr>
        <w:jc w:val="both"/>
        <w:rPr>
          <w:rFonts w:ascii="Times New Roman" w:eastAsia="Calibri" w:hAnsi="Times New Roman" w:cs="Times New Roman"/>
          <w:b/>
          <w:bCs/>
          <w:noProof/>
          <w:kern w:val="0"/>
          <w:sz w:val="24"/>
          <w:szCs w:val="24"/>
          <w:lang w:val="en-GB"/>
          <w14:ligatures w14:val="none"/>
        </w:rPr>
      </w:pPr>
      <w:r w:rsidRPr="00C55629">
        <w:rPr>
          <w:rFonts w:ascii="Times New Roman" w:eastAsia="Calibri" w:hAnsi="Times New Roman" w:cs="Times New Roman"/>
          <w:b/>
          <w:bCs/>
          <w:noProof/>
          <w:kern w:val="0"/>
          <w:sz w:val="24"/>
          <w:szCs w:val="24"/>
          <w:lang w:val="en-GB"/>
          <w14:ligatures w14:val="none"/>
        </w:rPr>
        <w:t>Overall and detailed impact by Sections</w:t>
      </w:r>
    </w:p>
    <w:p w14:paraId="3263AC89" w14:textId="77777777" w:rsidR="00C55629" w:rsidRPr="00C55629" w:rsidRDefault="00C55629" w:rsidP="00C55629">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Overall, the proposal is to increase the non-differentiated expenditure of heading 7 (European Public Administration) by EUR 219,9 million for 2025, compared to the DB 2025, which requires further recourse to the Single Margin Instrument. It corresponds to an increase of EUR 147,8 million for the administrative expenditure of the Institutions, EUR 67,9 million for pensions of all institutions and EUR 4,3 million for the European Schools. </w:t>
      </w:r>
    </w:p>
    <w:p w14:paraId="34DEBF1D"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For Heading 7, the overall impact on expenditure is as follows, also including the reallocations linked to CERT-EU and the specific request for the European Ombudsman as detailed in the next sections:</w:t>
      </w:r>
    </w:p>
    <w:tbl>
      <w:tblPr>
        <w:tblW w:w="10040" w:type="dxa"/>
        <w:jc w:val="right"/>
        <w:tblLook w:val="04A0" w:firstRow="1" w:lastRow="0" w:firstColumn="1" w:lastColumn="0" w:noHBand="0" w:noVBand="1"/>
      </w:tblPr>
      <w:tblGrid>
        <w:gridCol w:w="4480"/>
        <w:gridCol w:w="1860"/>
        <w:gridCol w:w="1860"/>
        <w:gridCol w:w="1840"/>
      </w:tblGrid>
      <w:tr w:rsidR="00C55629" w:rsidRPr="00C55629" w14:paraId="73DE5EDB" w14:textId="77777777" w:rsidTr="00C55629">
        <w:trPr>
          <w:trHeight w:val="290"/>
          <w:jc w:val="right"/>
        </w:trPr>
        <w:tc>
          <w:tcPr>
            <w:tcW w:w="10040" w:type="dxa"/>
            <w:gridSpan w:val="4"/>
            <w:tcBorders>
              <w:top w:val="nil"/>
              <w:left w:val="nil"/>
              <w:bottom w:val="nil"/>
              <w:right w:val="nil"/>
            </w:tcBorders>
            <w:shd w:val="clear" w:color="auto" w:fill="FFFFFF"/>
            <w:vAlign w:val="center"/>
            <w:hideMark/>
          </w:tcPr>
          <w:p w14:paraId="60568FFA" w14:textId="77777777" w:rsidR="00C55629" w:rsidRPr="00C55629" w:rsidRDefault="00C55629" w:rsidP="00C55629">
            <w:pPr>
              <w:spacing w:after="0" w:line="240" w:lineRule="auto"/>
              <w:jc w:val="right"/>
              <w:rPr>
                <w:rFonts w:ascii="Times New Roman" w:eastAsia="Times New Roman" w:hAnsi="Times New Roman" w:cs="Times New Roman"/>
                <w:i/>
                <w:iCs/>
                <w:noProof/>
                <w:color w:val="000000"/>
                <w:kern w:val="0"/>
                <w:sz w:val="20"/>
                <w:szCs w:val="20"/>
                <w:lang w:val="en-GB" w:eastAsia="en-IE"/>
                <w14:ligatures w14:val="none"/>
              </w:rPr>
            </w:pPr>
            <w:r w:rsidRPr="00C55629">
              <w:rPr>
                <w:rFonts w:ascii="Times New Roman" w:eastAsia="Times New Roman" w:hAnsi="Times New Roman" w:cs="Times New Roman"/>
                <w:i/>
                <w:iCs/>
                <w:noProof/>
                <w:color w:val="000000"/>
                <w:kern w:val="0"/>
                <w:sz w:val="20"/>
                <w:szCs w:val="20"/>
                <w:lang w:val="en-GB" w:eastAsia="en-IE"/>
                <w14:ligatures w14:val="none"/>
              </w:rPr>
              <w:t>Amounts in EUR</w:t>
            </w:r>
          </w:p>
        </w:tc>
      </w:tr>
      <w:tr w:rsidR="00C55629" w:rsidRPr="00C55629" w14:paraId="6DFBE3B3" w14:textId="77777777" w:rsidTr="00C55629">
        <w:trPr>
          <w:trHeight w:val="780"/>
          <w:jc w:val="right"/>
        </w:trPr>
        <w:tc>
          <w:tcPr>
            <w:tcW w:w="44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E9ED1F"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color w:val="000000"/>
                <w:kern w:val="0"/>
                <w:sz w:val="20"/>
                <w:szCs w:val="20"/>
                <w:lang w:val="en-GB" w:eastAsia="en-IE"/>
                <w14:ligatures w14:val="none"/>
              </w:rPr>
              <w:t> </w:t>
            </w:r>
          </w:p>
        </w:tc>
        <w:tc>
          <w:tcPr>
            <w:tcW w:w="1860" w:type="dxa"/>
            <w:tcBorders>
              <w:top w:val="single" w:sz="4" w:space="0" w:color="auto"/>
              <w:left w:val="nil"/>
              <w:bottom w:val="single" w:sz="4" w:space="0" w:color="auto"/>
              <w:right w:val="single" w:sz="4" w:space="0" w:color="auto"/>
            </w:tcBorders>
            <w:shd w:val="clear" w:color="auto" w:fill="D9D9D9"/>
            <w:vAlign w:val="center"/>
            <w:hideMark/>
          </w:tcPr>
          <w:p w14:paraId="0D3A97F4"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color w:val="000000"/>
                <w:kern w:val="0"/>
                <w:sz w:val="20"/>
                <w:szCs w:val="20"/>
                <w:lang w:val="en-GB" w:eastAsia="en-IE"/>
                <w14:ligatures w14:val="none"/>
              </w:rPr>
              <w:t>Draft Budget 2025</w:t>
            </w:r>
          </w:p>
        </w:tc>
        <w:tc>
          <w:tcPr>
            <w:tcW w:w="1860" w:type="dxa"/>
            <w:tcBorders>
              <w:top w:val="single" w:sz="4" w:space="0" w:color="auto"/>
              <w:left w:val="nil"/>
              <w:bottom w:val="single" w:sz="4" w:space="0" w:color="auto"/>
              <w:right w:val="single" w:sz="4" w:space="0" w:color="auto"/>
            </w:tcBorders>
            <w:shd w:val="clear" w:color="auto" w:fill="D9D9D9"/>
            <w:vAlign w:val="center"/>
            <w:hideMark/>
          </w:tcPr>
          <w:p w14:paraId="1BE42F61"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color w:val="000000"/>
                <w:kern w:val="0"/>
                <w:sz w:val="20"/>
                <w:szCs w:val="20"/>
                <w:lang w:val="en-GB" w:eastAsia="en-IE"/>
                <w14:ligatures w14:val="none"/>
              </w:rPr>
              <w:t xml:space="preserve">Amending Letter 1/2025 </w:t>
            </w:r>
          </w:p>
        </w:tc>
        <w:tc>
          <w:tcPr>
            <w:tcW w:w="1840" w:type="dxa"/>
            <w:tcBorders>
              <w:top w:val="single" w:sz="4" w:space="0" w:color="auto"/>
              <w:left w:val="nil"/>
              <w:bottom w:val="single" w:sz="4" w:space="0" w:color="auto"/>
              <w:right w:val="single" w:sz="4" w:space="0" w:color="auto"/>
            </w:tcBorders>
            <w:shd w:val="clear" w:color="auto" w:fill="D9D9D9"/>
            <w:vAlign w:val="center"/>
            <w:hideMark/>
          </w:tcPr>
          <w:p w14:paraId="1BFA5782" w14:textId="77777777" w:rsidR="00C55629" w:rsidRPr="00C55629" w:rsidRDefault="00C55629" w:rsidP="00C55629">
            <w:pPr>
              <w:spacing w:after="0" w:line="240" w:lineRule="auto"/>
              <w:jc w:val="center"/>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color w:val="000000"/>
                <w:kern w:val="0"/>
                <w:sz w:val="20"/>
                <w:szCs w:val="20"/>
                <w:lang w:val="en-GB" w:eastAsia="en-IE"/>
                <w14:ligatures w14:val="none"/>
              </w:rPr>
              <w:t>Draft Budget 2025 including AL1/2025</w:t>
            </w:r>
          </w:p>
        </w:tc>
      </w:tr>
      <w:tr w:rsidR="00C55629" w:rsidRPr="00C55629" w14:paraId="781D4B45" w14:textId="77777777" w:rsidTr="00C55629">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735B432F" w14:textId="77777777" w:rsidR="00C55629" w:rsidRPr="00C55629" w:rsidRDefault="00C55629" w:rsidP="00C55629">
            <w:pPr>
              <w:spacing w:after="0" w:line="240" w:lineRule="auto"/>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Pensions and European Schools</w:t>
            </w:r>
          </w:p>
        </w:tc>
        <w:tc>
          <w:tcPr>
            <w:tcW w:w="1860" w:type="dxa"/>
            <w:tcBorders>
              <w:top w:val="nil"/>
              <w:left w:val="nil"/>
              <w:bottom w:val="single" w:sz="4" w:space="0" w:color="auto"/>
              <w:right w:val="single" w:sz="4" w:space="0" w:color="auto"/>
            </w:tcBorders>
            <w:shd w:val="clear" w:color="auto" w:fill="F2F2F2"/>
          </w:tcPr>
          <w:p w14:paraId="0F2D5757"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3 052 382 066</w:t>
            </w:r>
          </w:p>
        </w:tc>
        <w:tc>
          <w:tcPr>
            <w:tcW w:w="1860" w:type="dxa"/>
            <w:tcBorders>
              <w:top w:val="nil"/>
              <w:left w:val="nil"/>
              <w:bottom w:val="single" w:sz="4" w:space="0" w:color="auto"/>
              <w:right w:val="single" w:sz="4" w:space="0" w:color="auto"/>
            </w:tcBorders>
            <w:shd w:val="clear" w:color="auto" w:fill="F2F2F2"/>
          </w:tcPr>
          <w:p w14:paraId="597C626C"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7</w:t>
            </w:r>
            <w:r w:rsidRPr="00C55629">
              <w:rPr>
                <w:rFonts w:ascii="Times New Roman" w:eastAsia="Times New Roman" w:hAnsi="Times New Roman" w:cs="Times New Roman"/>
                <w:b/>
                <w:bCs/>
                <w:noProof/>
                <w:kern w:val="0"/>
                <w:sz w:val="16"/>
                <w:szCs w:val="16"/>
                <w:lang w:val="en-GB" w:eastAsia="en-IE"/>
                <w14:ligatures w14:val="none"/>
              </w:rPr>
              <w:t>2 162 590</w:t>
            </w:r>
          </w:p>
        </w:tc>
        <w:tc>
          <w:tcPr>
            <w:tcW w:w="1840" w:type="dxa"/>
            <w:tcBorders>
              <w:top w:val="nil"/>
              <w:left w:val="nil"/>
              <w:bottom w:val="single" w:sz="4" w:space="0" w:color="auto"/>
              <w:right w:val="single" w:sz="4" w:space="0" w:color="auto"/>
            </w:tcBorders>
            <w:shd w:val="clear" w:color="auto" w:fill="F2F2F2"/>
          </w:tcPr>
          <w:p w14:paraId="13D89D75"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3 124 544 656</w:t>
            </w:r>
          </w:p>
        </w:tc>
      </w:tr>
      <w:tr w:rsidR="00C55629" w:rsidRPr="00C55629" w14:paraId="74DDB9EB" w14:textId="77777777" w:rsidTr="00C55629">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16DD97FF" w14:textId="77777777" w:rsidR="00C55629" w:rsidRPr="00C55629" w:rsidRDefault="00C55629" w:rsidP="00C55629">
            <w:pPr>
              <w:spacing w:after="0" w:line="240" w:lineRule="auto"/>
              <w:ind w:firstLineChars="100" w:firstLine="16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Pensions</w:t>
            </w:r>
          </w:p>
        </w:tc>
        <w:tc>
          <w:tcPr>
            <w:tcW w:w="1860" w:type="dxa"/>
            <w:tcBorders>
              <w:top w:val="nil"/>
              <w:left w:val="nil"/>
              <w:bottom w:val="single" w:sz="4" w:space="0" w:color="auto"/>
              <w:right w:val="single" w:sz="4" w:space="0" w:color="auto"/>
            </w:tcBorders>
            <w:shd w:val="clear" w:color="auto" w:fill="F2F2F2"/>
          </w:tcPr>
          <w:p w14:paraId="4E1CC3EA"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2 789 377 000</w:t>
            </w:r>
          </w:p>
        </w:tc>
        <w:tc>
          <w:tcPr>
            <w:tcW w:w="1860" w:type="dxa"/>
            <w:tcBorders>
              <w:top w:val="nil"/>
              <w:left w:val="nil"/>
              <w:bottom w:val="single" w:sz="4" w:space="0" w:color="auto"/>
              <w:right w:val="single" w:sz="4" w:space="0" w:color="auto"/>
            </w:tcBorders>
            <w:shd w:val="clear" w:color="auto" w:fill="F2F2F2"/>
          </w:tcPr>
          <w:p w14:paraId="4094BD47"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6</w:t>
            </w:r>
            <w:r w:rsidRPr="00C55629">
              <w:rPr>
                <w:rFonts w:ascii="Times New Roman" w:eastAsia="Times New Roman" w:hAnsi="Times New Roman" w:cs="Times New Roman"/>
                <w:noProof/>
                <w:kern w:val="0"/>
                <w:sz w:val="16"/>
                <w:szCs w:val="16"/>
                <w:lang w:val="en-GB" w:eastAsia="en-IE"/>
                <w14:ligatures w14:val="none"/>
              </w:rPr>
              <w:t>7 878 000</w:t>
            </w:r>
          </w:p>
        </w:tc>
        <w:tc>
          <w:tcPr>
            <w:tcW w:w="1840" w:type="dxa"/>
            <w:tcBorders>
              <w:top w:val="nil"/>
              <w:left w:val="nil"/>
              <w:bottom w:val="single" w:sz="4" w:space="0" w:color="auto"/>
              <w:right w:val="single" w:sz="4" w:space="0" w:color="auto"/>
            </w:tcBorders>
            <w:shd w:val="clear" w:color="auto" w:fill="F2F2F2"/>
          </w:tcPr>
          <w:p w14:paraId="252E1B65"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2 857 255 000</w:t>
            </w:r>
          </w:p>
        </w:tc>
      </w:tr>
      <w:tr w:rsidR="00C55629" w:rsidRPr="00C55629" w14:paraId="7668EB8A" w14:textId="77777777" w:rsidTr="00C55629">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79327077" w14:textId="77777777" w:rsidR="00C55629" w:rsidRPr="00C55629" w:rsidRDefault="00C55629" w:rsidP="00C55629">
            <w:pPr>
              <w:spacing w:after="0" w:line="240" w:lineRule="auto"/>
              <w:ind w:firstLineChars="100" w:firstLine="16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 xml:space="preserve">European Schools </w:t>
            </w:r>
          </w:p>
        </w:tc>
        <w:tc>
          <w:tcPr>
            <w:tcW w:w="1860" w:type="dxa"/>
            <w:tcBorders>
              <w:top w:val="nil"/>
              <w:left w:val="nil"/>
              <w:bottom w:val="single" w:sz="4" w:space="0" w:color="auto"/>
              <w:right w:val="single" w:sz="4" w:space="0" w:color="auto"/>
            </w:tcBorders>
            <w:shd w:val="clear" w:color="auto" w:fill="F2F2F2"/>
          </w:tcPr>
          <w:p w14:paraId="1F118E6D"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263 005 066</w:t>
            </w:r>
          </w:p>
          <w:p w14:paraId="7F91B58C"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60" w:type="dxa"/>
            <w:tcBorders>
              <w:top w:val="nil"/>
              <w:left w:val="nil"/>
              <w:bottom w:val="single" w:sz="4" w:space="0" w:color="auto"/>
              <w:right w:val="single" w:sz="4" w:space="0" w:color="auto"/>
            </w:tcBorders>
            <w:shd w:val="clear" w:color="auto" w:fill="F2F2F2"/>
          </w:tcPr>
          <w:p w14:paraId="13EEC6C8"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4 284 590</w:t>
            </w:r>
          </w:p>
        </w:tc>
        <w:tc>
          <w:tcPr>
            <w:tcW w:w="1840" w:type="dxa"/>
            <w:tcBorders>
              <w:top w:val="nil"/>
              <w:left w:val="nil"/>
              <w:bottom w:val="single" w:sz="4" w:space="0" w:color="auto"/>
              <w:right w:val="single" w:sz="4" w:space="0" w:color="auto"/>
            </w:tcBorders>
            <w:shd w:val="clear" w:color="auto" w:fill="F2F2F2"/>
          </w:tcPr>
          <w:p w14:paraId="4A4C9124"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267 289 656</w:t>
            </w:r>
          </w:p>
        </w:tc>
      </w:tr>
      <w:tr w:rsidR="00C55629" w:rsidRPr="00C55629" w14:paraId="27C5F33C" w14:textId="77777777" w:rsidTr="00C55629">
        <w:trPr>
          <w:trHeight w:val="405"/>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322108B1" w14:textId="77777777" w:rsidR="00C55629" w:rsidRPr="00C55629" w:rsidRDefault="00C55629" w:rsidP="00C55629">
            <w:pPr>
              <w:spacing w:after="0" w:line="240" w:lineRule="auto"/>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Administrative expenditure of the institutions</w:t>
            </w:r>
          </w:p>
        </w:tc>
        <w:tc>
          <w:tcPr>
            <w:tcW w:w="1860" w:type="dxa"/>
            <w:tcBorders>
              <w:top w:val="nil"/>
              <w:left w:val="nil"/>
              <w:bottom w:val="single" w:sz="4" w:space="0" w:color="auto"/>
              <w:right w:val="single" w:sz="4" w:space="0" w:color="auto"/>
            </w:tcBorders>
            <w:shd w:val="clear" w:color="auto" w:fill="F2F2F2"/>
          </w:tcPr>
          <w:p w14:paraId="38573602"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color w:val="000000"/>
                <w:kern w:val="0"/>
                <w:sz w:val="16"/>
                <w:szCs w:val="16"/>
                <w:lang w:val="en-GB" w:eastAsia="en-IE"/>
                <w14:ligatures w14:val="none"/>
              </w:rPr>
              <w:t>9 561 979 384</w:t>
            </w:r>
          </w:p>
        </w:tc>
        <w:tc>
          <w:tcPr>
            <w:tcW w:w="1860" w:type="dxa"/>
            <w:tcBorders>
              <w:top w:val="nil"/>
              <w:left w:val="nil"/>
              <w:bottom w:val="single" w:sz="4" w:space="0" w:color="auto"/>
              <w:right w:val="single" w:sz="4" w:space="0" w:color="auto"/>
            </w:tcBorders>
            <w:shd w:val="clear" w:color="auto" w:fill="F2F2F2"/>
          </w:tcPr>
          <w:p w14:paraId="04BFBE0D"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C55629">
              <w:rPr>
                <w:rFonts w:ascii="Times New Roman" w:eastAsia="Times New Roman" w:hAnsi="Times New Roman" w:cs="Times New Roman"/>
                <w:b/>
                <w:bCs/>
                <w:noProof/>
                <w:kern w:val="0"/>
                <w:sz w:val="16"/>
                <w:szCs w:val="16"/>
                <w:lang w:val="en-GB" w:eastAsia="en-GB"/>
                <w14:ligatures w14:val="none"/>
              </w:rPr>
              <w:t>147 751 601</w:t>
            </w:r>
          </w:p>
        </w:tc>
        <w:tc>
          <w:tcPr>
            <w:tcW w:w="1840" w:type="dxa"/>
            <w:tcBorders>
              <w:top w:val="nil"/>
              <w:left w:val="nil"/>
              <w:bottom w:val="single" w:sz="4" w:space="0" w:color="auto"/>
              <w:right w:val="single" w:sz="4" w:space="0" w:color="auto"/>
            </w:tcBorders>
            <w:shd w:val="clear" w:color="auto" w:fill="F2F2F2"/>
          </w:tcPr>
          <w:p w14:paraId="4AEAAB99" w14:textId="77777777" w:rsidR="00C55629" w:rsidRPr="00C55629" w:rsidRDefault="00C55629" w:rsidP="00C55629">
            <w:pPr>
              <w:spacing w:after="0" w:line="240" w:lineRule="auto"/>
              <w:jc w:val="right"/>
              <w:rPr>
                <w:rFonts w:ascii="Times New Roman" w:eastAsia="Times New Roman" w:hAnsi="Times New Roman" w:cs="Times New Roman"/>
                <w:b/>
                <w:noProof/>
                <w:kern w:val="0"/>
                <w:sz w:val="16"/>
                <w:szCs w:val="16"/>
                <w:lang w:val="en-GB" w:eastAsia="en-IE"/>
                <w14:ligatures w14:val="none"/>
              </w:rPr>
            </w:pPr>
            <w:r w:rsidRPr="00C55629">
              <w:rPr>
                <w:rFonts w:ascii="Times New Roman" w:eastAsia="Times New Roman" w:hAnsi="Times New Roman" w:cs="Times New Roman"/>
                <w:b/>
                <w:bCs/>
                <w:noProof/>
                <w:kern w:val="0"/>
                <w:sz w:val="16"/>
                <w:szCs w:val="16"/>
                <w:lang w:val="en-GB" w:eastAsia="en-GB"/>
                <w14:ligatures w14:val="none"/>
              </w:rPr>
              <w:t>9 709 730 985</w:t>
            </w:r>
          </w:p>
        </w:tc>
      </w:tr>
      <w:tr w:rsidR="00C55629" w:rsidRPr="00C55629" w14:paraId="6A8047FD" w14:textId="77777777" w:rsidTr="00C55629">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701118CA" w14:textId="77777777" w:rsidR="00C55629" w:rsidRPr="00C55629" w:rsidRDefault="00C55629" w:rsidP="00C55629">
            <w:pPr>
              <w:spacing w:after="0" w:line="240" w:lineRule="auto"/>
              <w:ind w:firstLineChars="100" w:firstLine="16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Commission</w:t>
            </w:r>
          </w:p>
        </w:tc>
        <w:tc>
          <w:tcPr>
            <w:tcW w:w="1860" w:type="dxa"/>
            <w:tcBorders>
              <w:top w:val="nil"/>
              <w:left w:val="nil"/>
              <w:bottom w:val="single" w:sz="4" w:space="0" w:color="auto"/>
              <w:right w:val="single" w:sz="4" w:space="0" w:color="auto"/>
            </w:tcBorders>
            <w:shd w:val="clear" w:color="auto" w:fill="F2F2F2"/>
          </w:tcPr>
          <w:p w14:paraId="5AF0EEF9"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4 378 737 735</w:t>
            </w:r>
          </w:p>
        </w:tc>
        <w:tc>
          <w:tcPr>
            <w:tcW w:w="1860" w:type="dxa"/>
            <w:tcBorders>
              <w:top w:val="nil"/>
              <w:left w:val="nil"/>
              <w:bottom w:val="single" w:sz="4" w:space="0" w:color="auto"/>
              <w:right w:val="single" w:sz="4" w:space="0" w:color="auto"/>
            </w:tcBorders>
            <w:shd w:val="clear" w:color="auto" w:fill="F2F2F2"/>
          </w:tcPr>
          <w:p w14:paraId="680CAE61"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78 547 255</w:t>
            </w:r>
          </w:p>
        </w:tc>
        <w:tc>
          <w:tcPr>
            <w:tcW w:w="1840" w:type="dxa"/>
            <w:tcBorders>
              <w:top w:val="nil"/>
              <w:left w:val="nil"/>
              <w:bottom w:val="single" w:sz="4" w:space="0" w:color="auto"/>
              <w:right w:val="single" w:sz="4" w:space="0" w:color="auto"/>
            </w:tcBorders>
            <w:shd w:val="clear" w:color="auto" w:fill="F2F2F2"/>
          </w:tcPr>
          <w:p w14:paraId="498ABCF8"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4 457 284 990</w:t>
            </w:r>
          </w:p>
        </w:tc>
      </w:tr>
      <w:tr w:rsidR="00C55629" w:rsidRPr="00C55629" w14:paraId="39F3C52F" w14:textId="77777777" w:rsidTr="00C55629">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5656A334" w14:textId="77777777" w:rsidR="00C55629" w:rsidRPr="00C55629" w:rsidRDefault="00C55629" w:rsidP="00C55629">
            <w:pPr>
              <w:spacing w:after="0" w:line="240" w:lineRule="auto"/>
              <w:ind w:firstLineChars="100" w:firstLine="16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Other institutions</w:t>
            </w:r>
          </w:p>
        </w:tc>
        <w:tc>
          <w:tcPr>
            <w:tcW w:w="1860" w:type="dxa"/>
            <w:tcBorders>
              <w:top w:val="nil"/>
              <w:left w:val="nil"/>
              <w:bottom w:val="single" w:sz="4" w:space="0" w:color="auto"/>
              <w:right w:val="single" w:sz="4" w:space="0" w:color="auto"/>
            </w:tcBorders>
            <w:shd w:val="clear" w:color="auto" w:fill="F2F2F2"/>
          </w:tcPr>
          <w:p w14:paraId="54BFEA1D"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5 183 241 649</w:t>
            </w:r>
          </w:p>
        </w:tc>
        <w:tc>
          <w:tcPr>
            <w:tcW w:w="1860" w:type="dxa"/>
            <w:tcBorders>
              <w:top w:val="nil"/>
              <w:left w:val="nil"/>
              <w:bottom w:val="single" w:sz="4" w:space="0" w:color="auto"/>
              <w:right w:val="single" w:sz="4" w:space="0" w:color="auto"/>
            </w:tcBorders>
            <w:shd w:val="clear" w:color="auto" w:fill="F2F2F2"/>
          </w:tcPr>
          <w:p w14:paraId="61854DC6"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69 204 346</w:t>
            </w:r>
          </w:p>
        </w:tc>
        <w:tc>
          <w:tcPr>
            <w:tcW w:w="1840" w:type="dxa"/>
            <w:tcBorders>
              <w:top w:val="nil"/>
              <w:left w:val="nil"/>
              <w:bottom w:val="single" w:sz="4" w:space="0" w:color="auto"/>
              <w:right w:val="single" w:sz="4" w:space="0" w:color="auto"/>
            </w:tcBorders>
            <w:shd w:val="clear" w:color="auto" w:fill="F2F2F2"/>
          </w:tcPr>
          <w:p w14:paraId="52058CB4"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5 252 445 995</w:t>
            </w:r>
          </w:p>
        </w:tc>
      </w:tr>
      <w:tr w:rsidR="00C55629" w:rsidRPr="00C55629" w14:paraId="6AC91636" w14:textId="77777777" w:rsidTr="0028479A">
        <w:trPr>
          <w:trHeight w:val="278"/>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7E07636"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European Parliament</w:t>
            </w:r>
          </w:p>
        </w:tc>
        <w:tc>
          <w:tcPr>
            <w:tcW w:w="1860" w:type="dxa"/>
            <w:tcBorders>
              <w:top w:val="nil"/>
              <w:left w:val="nil"/>
              <w:bottom w:val="single" w:sz="4" w:space="0" w:color="auto"/>
              <w:right w:val="single" w:sz="4" w:space="0" w:color="auto"/>
            </w:tcBorders>
            <w:shd w:val="clear" w:color="auto" w:fill="auto"/>
            <w:vAlign w:val="center"/>
          </w:tcPr>
          <w:p w14:paraId="5923E329"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2 498 063 379</w:t>
            </w:r>
          </w:p>
        </w:tc>
        <w:tc>
          <w:tcPr>
            <w:tcW w:w="1860" w:type="dxa"/>
            <w:tcBorders>
              <w:top w:val="nil"/>
              <w:left w:val="nil"/>
              <w:bottom w:val="single" w:sz="4" w:space="0" w:color="auto"/>
              <w:right w:val="single" w:sz="4" w:space="0" w:color="auto"/>
            </w:tcBorders>
            <w:shd w:val="clear" w:color="auto" w:fill="auto"/>
          </w:tcPr>
          <w:p w14:paraId="50CE8B2A"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33 461 779</w:t>
            </w:r>
          </w:p>
        </w:tc>
        <w:tc>
          <w:tcPr>
            <w:tcW w:w="1840" w:type="dxa"/>
            <w:tcBorders>
              <w:top w:val="nil"/>
              <w:left w:val="nil"/>
              <w:bottom w:val="single" w:sz="4" w:space="0" w:color="auto"/>
              <w:right w:val="single" w:sz="4" w:space="0" w:color="auto"/>
            </w:tcBorders>
            <w:shd w:val="clear" w:color="auto" w:fill="auto"/>
          </w:tcPr>
          <w:p w14:paraId="1EBD99FC"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eastAsia="en-GB"/>
                <w14:ligatures w14:val="none"/>
              </w:rPr>
            </w:pPr>
            <w:r w:rsidRPr="00C55629">
              <w:rPr>
                <w:rFonts w:ascii="Times New Roman" w:eastAsia="Calibri" w:hAnsi="Times New Roman" w:cs="Times New Roman"/>
                <w:noProof/>
                <w:kern w:val="0"/>
                <w:sz w:val="16"/>
                <w:szCs w:val="16"/>
                <w:lang w:val="en-GB"/>
                <w14:ligatures w14:val="none"/>
              </w:rPr>
              <w:t>2 531 525 158</w:t>
            </w:r>
          </w:p>
        </w:tc>
      </w:tr>
      <w:tr w:rsidR="00C55629" w:rsidRPr="00C55629" w14:paraId="0D50AA52" w14:textId="77777777" w:rsidTr="0028479A">
        <w:trPr>
          <w:trHeight w:val="224"/>
          <w:jc w:val="right"/>
        </w:trPr>
        <w:tc>
          <w:tcPr>
            <w:tcW w:w="4480" w:type="dxa"/>
            <w:tcBorders>
              <w:top w:val="nil"/>
              <w:left w:val="single" w:sz="4" w:space="0" w:color="auto"/>
              <w:bottom w:val="single" w:sz="4" w:space="0" w:color="auto"/>
              <w:right w:val="single" w:sz="4" w:space="0" w:color="auto"/>
            </w:tcBorders>
            <w:shd w:val="clear" w:color="auto" w:fill="auto"/>
            <w:vAlign w:val="center"/>
          </w:tcPr>
          <w:p w14:paraId="3F660243"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Council</w:t>
            </w:r>
          </w:p>
        </w:tc>
        <w:tc>
          <w:tcPr>
            <w:tcW w:w="1860" w:type="dxa"/>
            <w:tcBorders>
              <w:top w:val="nil"/>
              <w:left w:val="nil"/>
              <w:bottom w:val="single" w:sz="4" w:space="0" w:color="auto"/>
              <w:right w:val="single" w:sz="4" w:space="0" w:color="auto"/>
            </w:tcBorders>
            <w:shd w:val="clear" w:color="auto" w:fill="auto"/>
            <w:vAlign w:val="center"/>
          </w:tcPr>
          <w:p w14:paraId="4771ACDD"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705 821 530</w:t>
            </w:r>
          </w:p>
        </w:tc>
        <w:tc>
          <w:tcPr>
            <w:tcW w:w="1860" w:type="dxa"/>
            <w:tcBorders>
              <w:top w:val="nil"/>
              <w:left w:val="nil"/>
              <w:bottom w:val="single" w:sz="4" w:space="0" w:color="auto"/>
              <w:right w:val="single" w:sz="4" w:space="0" w:color="auto"/>
            </w:tcBorders>
            <w:shd w:val="clear" w:color="auto" w:fill="auto"/>
          </w:tcPr>
          <w:p w14:paraId="6F018308"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9 932 328</w:t>
            </w:r>
          </w:p>
        </w:tc>
        <w:tc>
          <w:tcPr>
            <w:tcW w:w="1840" w:type="dxa"/>
            <w:tcBorders>
              <w:top w:val="nil"/>
              <w:left w:val="nil"/>
              <w:bottom w:val="single" w:sz="4" w:space="0" w:color="auto"/>
              <w:right w:val="single" w:sz="4" w:space="0" w:color="auto"/>
            </w:tcBorders>
            <w:shd w:val="clear" w:color="auto" w:fill="auto"/>
          </w:tcPr>
          <w:p w14:paraId="280CC790"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715 753 858</w:t>
            </w:r>
          </w:p>
        </w:tc>
      </w:tr>
      <w:tr w:rsidR="00C55629" w:rsidRPr="00C55629" w14:paraId="39800260" w14:textId="77777777" w:rsidTr="0028479A">
        <w:trPr>
          <w:trHeight w:val="27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AA2B872"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Court of Justice of the European Union</w:t>
            </w:r>
          </w:p>
        </w:tc>
        <w:tc>
          <w:tcPr>
            <w:tcW w:w="1860" w:type="dxa"/>
            <w:tcBorders>
              <w:top w:val="nil"/>
              <w:left w:val="nil"/>
              <w:bottom w:val="single" w:sz="4" w:space="0" w:color="auto"/>
              <w:right w:val="single" w:sz="4" w:space="0" w:color="auto"/>
            </w:tcBorders>
            <w:shd w:val="clear" w:color="auto" w:fill="auto"/>
            <w:vAlign w:val="center"/>
          </w:tcPr>
          <w:p w14:paraId="7F8AD124"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532 720 000</w:t>
            </w:r>
          </w:p>
        </w:tc>
        <w:tc>
          <w:tcPr>
            <w:tcW w:w="1860" w:type="dxa"/>
            <w:tcBorders>
              <w:top w:val="nil"/>
              <w:left w:val="nil"/>
              <w:bottom w:val="single" w:sz="4" w:space="0" w:color="auto"/>
              <w:right w:val="single" w:sz="4" w:space="0" w:color="auto"/>
            </w:tcBorders>
            <w:shd w:val="clear" w:color="auto" w:fill="auto"/>
          </w:tcPr>
          <w:p w14:paraId="0B864938"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8 871 503</w:t>
            </w:r>
          </w:p>
        </w:tc>
        <w:tc>
          <w:tcPr>
            <w:tcW w:w="1840" w:type="dxa"/>
            <w:tcBorders>
              <w:top w:val="nil"/>
              <w:left w:val="nil"/>
              <w:bottom w:val="single" w:sz="4" w:space="0" w:color="auto"/>
              <w:right w:val="single" w:sz="4" w:space="0" w:color="auto"/>
            </w:tcBorders>
            <w:shd w:val="clear" w:color="auto" w:fill="auto"/>
          </w:tcPr>
          <w:p w14:paraId="39B395A1"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541 591 503</w:t>
            </w:r>
          </w:p>
        </w:tc>
      </w:tr>
      <w:tr w:rsidR="00C55629" w:rsidRPr="00C55629" w14:paraId="6719E9EC"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EE80240"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Court of Auditors</w:t>
            </w:r>
          </w:p>
        </w:tc>
        <w:tc>
          <w:tcPr>
            <w:tcW w:w="1860" w:type="dxa"/>
            <w:tcBorders>
              <w:top w:val="nil"/>
              <w:left w:val="nil"/>
              <w:bottom w:val="single" w:sz="4" w:space="0" w:color="auto"/>
              <w:right w:val="single" w:sz="4" w:space="0" w:color="auto"/>
            </w:tcBorders>
            <w:shd w:val="clear" w:color="auto" w:fill="auto"/>
            <w:vAlign w:val="center"/>
          </w:tcPr>
          <w:p w14:paraId="25AB483D"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190 918 281</w:t>
            </w:r>
          </w:p>
        </w:tc>
        <w:tc>
          <w:tcPr>
            <w:tcW w:w="1860" w:type="dxa"/>
            <w:tcBorders>
              <w:top w:val="nil"/>
              <w:left w:val="nil"/>
              <w:bottom w:val="single" w:sz="4" w:space="0" w:color="auto"/>
              <w:right w:val="single" w:sz="4" w:space="0" w:color="auto"/>
            </w:tcBorders>
            <w:shd w:val="clear" w:color="auto" w:fill="auto"/>
          </w:tcPr>
          <w:p w14:paraId="36FF10B8"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3 597 566</w:t>
            </w:r>
          </w:p>
        </w:tc>
        <w:tc>
          <w:tcPr>
            <w:tcW w:w="1840" w:type="dxa"/>
            <w:tcBorders>
              <w:top w:val="nil"/>
              <w:left w:val="nil"/>
              <w:bottom w:val="single" w:sz="4" w:space="0" w:color="auto"/>
              <w:right w:val="single" w:sz="4" w:space="0" w:color="auto"/>
            </w:tcBorders>
            <w:shd w:val="clear" w:color="auto" w:fill="auto"/>
          </w:tcPr>
          <w:p w14:paraId="72314466"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194 515 847</w:t>
            </w:r>
          </w:p>
        </w:tc>
      </w:tr>
      <w:tr w:rsidR="00C55629" w:rsidRPr="00C55629" w14:paraId="5AD54C9D"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8300016"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European Economic and Social Committee</w:t>
            </w:r>
          </w:p>
        </w:tc>
        <w:tc>
          <w:tcPr>
            <w:tcW w:w="1860" w:type="dxa"/>
            <w:tcBorders>
              <w:top w:val="nil"/>
              <w:left w:val="nil"/>
              <w:bottom w:val="single" w:sz="4" w:space="0" w:color="auto"/>
              <w:right w:val="single" w:sz="4" w:space="0" w:color="auto"/>
            </w:tcBorders>
            <w:shd w:val="clear" w:color="auto" w:fill="auto"/>
            <w:vAlign w:val="center"/>
          </w:tcPr>
          <w:p w14:paraId="148047C7"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171 725 025</w:t>
            </w:r>
          </w:p>
        </w:tc>
        <w:tc>
          <w:tcPr>
            <w:tcW w:w="1860" w:type="dxa"/>
            <w:tcBorders>
              <w:top w:val="nil"/>
              <w:left w:val="nil"/>
              <w:bottom w:val="single" w:sz="4" w:space="0" w:color="auto"/>
              <w:right w:val="single" w:sz="4" w:space="0" w:color="auto"/>
            </w:tcBorders>
            <w:shd w:val="clear" w:color="auto" w:fill="auto"/>
          </w:tcPr>
          <w:p w14:paraId="184E5378"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2 222 096</w:t>
            </w:r>
          </w:p>
        </w:tc>
        <w:tc>
          <w:tcPr>
            <w:tcW w:w="1840" w:type="dxa"/>
            <w:tcBorders>
              <w:top w:val="nil"/>
              <w:left w:val="nil"/>
              <w:bottom w:val="single" w:sz="4" w:space="0" w:color="auto"/>
              <w:right w:val="single" w:sz="4" w:space="0" w:color="auto"/>
            </w:tcBorders>
            <w:shd w:val="clear" w:color="auto" w:fill="auto"/>
          </w:tcPr>
          <w:p w14:paraId="0FE4E296"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173 947 121</w:t>
            </w:r>
          </w:p>
        </w:tc>
      </w:tr>
      <w:tr w:rsidR="00C55629" w:rsidRPr="00C55629" w14:paraId="00FDE9E0"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3E8FEBF"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Committee of the Regions</w:t>
            </w:r>
          </w:p>
        </w:tc>
        <w:tc>
          <w:tcPr>
            <w:tcW w:w="1860" w:type="dxa"/>
            <w:tcBorders>
              <w:top w:val="nil"/>
              <w:left w:val="nil"/>
              <w:bottom w:val="single" w:sz="4" w:space="0" w:color="auto"/>
              <w:right w:val="single" w:sz="4" w:space="0" w:color="auto"/>
            </w:tcBorders>
            <w:shd w:val="clear" w:color="auto" w:fill="auto"/>
            <w:vAlign w:val="center"/>
          </w:tcPr>
          <w:p w14:paraId="5C81CBD0"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128 585 216</w:t>
            </w:r>
          </w:p>
        </w:tc>
        <w:tc>
          <w:tcPr>
            <w:tcW w:w="1860" w:type="dxa"/>
            <w:tcBorders>
              <w:top w:val="nil"/>
              <w:left w:val="nil"/>
              <w:bottom w:val="single" w:sz="4" w:space="0" w:color="auto"/>
              <w:right w:val="single" w:sz="4" w:space="0" w:color="auto"/>
            </w:tcBorders>
            <w:shd w:val="clear" w:color="auto" w:fill="auto"/>
          </w:tcPr>
          <w:p w14:paraId="7A74D003"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1 797 730</w:t>
            </w:r>
          </w:p>
        </w:tc>
        <w:tc>
          <w:tcPr>
            <w:tcW w:w="1840" w:type="dxa"/>
            <w:tcBorders>
              <w:top w:val="nil"/>
              <w:left w:val="nil"/>
              <w:bottom w:val="single" w:sz="4" w:space="0" w:color="auto"/>
              <w:right w:val="single" w:sz="4" w:space="0" w:color="auto"/>
            </w:tcBorders>
            <w:shd w:val="clear" w:color="auto" w:fill="auto"/>
          </w:tcPr>
          <w:p w14:paraId="6E5D010B"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130 382 946</w:t>
            </w:r>
          </w:p>
        </w:tc>
      </w:tr>
      <w:tr w:rsidR="00C55629" w:rsidRPr="00C55629" w14:paraId="0161AE3D"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801F8FD"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European Ombudsman</w:t>
            </w:r>
          </w:p>
        </w:tc>
        <w:tc>
          <w:tcPr>
            <w:tcW w:w="1860" w:type="dxa"/>
            <w:tcBorders>
              <w:top w:val="nil"/>
              <w:left w:val="nil"/>
              <w:bottom w:val="single" w:sz="4" w:space="0" w:color="auto"/>
              <w:right w:val="single" w:sz="4" w:space="0" w:color="auto"/>
            </w:tcBorders>
            <w:shd w:val="clear" w:color="auto" w:fill="auto"/>
            <w:vAlign w:val="center"/>
          </w:tcPr>
          <w:p w14:paraId="6EB9C7BE"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15 183 194</w:t>
            </w:r>
          </w:p>
        </w:tc>
        <w:tc>
          <w:tcPr>
            <w:tcW w:w="1860" w:type="dxa"/>
            <w:tcBorders>
              <w:top w:val="nil"/>
              <w:left w:val="nil"/>
              <w:bottom w:val="single" w:sz="4" w:space="0" w:color="auto"/>
              <w:right w:val="single" w:sz="4" w:space="0" w:color="auto"/>
            </w:tcBorders>
            <w:shd w:val="clear" w:color="auto" w:fill="auto"/>
          </w:tcPr>
          <w:p w14:paraId="6830B474"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242 236</w:t>
            </w:r>
          </w:p>
        </w:tc>
        <w:tc>
          <w:tcPr>
            <w:tcW w:w="1840" w:type="dxa"/>
            <w:tcBorders>
              <w:top w:val="nil"/>
              <w:left w:val="nil"/>
              <w:bottom w:val="single" w:sz="4" w:space="0" w:color="auto"/>
              <w:right w:val="single" w:sz="4" w:space="0" w:color="auto"/>
            </w:tcBorders>
            <w:shd w:val="clear" w:color="auto" w:fill="auto"/>
          </w:tcPr>
          <w:p w14:paraId="2F87A214"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15 425 430</w:t>
            </w:r>
          </w:p>
        </w:tc>
      </w:tr>
      <w:tr w:rsidR="00C55629" w:rsidRPr="00C55629" w14:paraId="38F21A43"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B660CE4"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 xml:space="preserve">European Data </w:t>
            </w:r>
            <w:r w:rsidRPr="00C55629">
              <w:rPr>
                <w:rFonts w:ascii="Times New Roman" w:eastAsia="Times New Roman" w:hAnsi="Times New Roman" w:cs="Times New Roman"/>
                <w:noProof/>
                <w:kern w:val="0"/>
                <w:sz w:val="16"/>
                <w:szCs w:val="16"/>
                <w:lang w:val="en-GB" w:eastAsia="en-IE"/>
                <w14:ligatures w14:val="none"/>
              </w:rPr>
              <w:t>Protection Supervisor</w:t>
            </w:r>
          </w:p>
        </w:tc>
        <w:tc>
          <w:tcPr>
            <w:tcW w:w="1860" w:type="dxa"/>
            <w:tcBorders>
              <w:top w:val="nil"/>
              <w:left w:val="nil"/>
              <w:bottom w:val="single" w:sz="4" w:space="0" w:color="auto"/>
              <w:right w:val="single" w:sz="4" w:space="0" w:color="auto"/>
            </w:tcBorders>
            <w:shd w:val="clear" w:color="auto" w:fill="auto"/>
            <w:vAlign w:val="center"/>
          </w:tcPr>
          <w:p w14:paraId="3509392F"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26 473 899</w:t>
            </w:r>
          </w:p>
        </w:tc>
        <w:tc>
          <w:tcPr>
            <w:tcW w:w="1860" w:type="dxa"/>
            <w:tcBorders>
              <w:top w:val="nil"/>
              <w:left w:val="nil"/>
              <w:bottom w:val="single" w:sz="4" w:space="0" w:color="auto"/>
              <w:right w:val="single" w:sz="4" w:space="0" w:color="auto"/>
            </w:tcBorders>
            <w:shd w:val="clear" w:color="auto" w:fill="auto"/>
          </w:tcPr>
          <w:p w14:paraId="3DE38173"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329 976</w:t>
            </w:r>
          </w:p>
        </w:tc>
        <w:tc>
          <w:tcPr>
            <w:tcW w:w="1840" w:type="dxa"/>
            <w:tcBorders>
              <w:top w:val="nil"/>
              <w:left w:val="nil"/>
              <w:bottom w:val="single" w:sz="4" w:space="0" w:color="auto"/>
              <w:right w:val="single" w:sz="4" w:space="0" w:color="auto"/>
            </w:tcBorders>
            <w:shd w:val="clear" w:color="auto" w:fill="auto"/>
          </w:tcPr>
          <w:p w14:paraId="5BE9F1E7"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26 803 875</w:t>
            </w:r>
          </w:p>
        </w:tc>
      </w:tr>
      <w:tr w:rsidR="00C55629" w:rsidRPr="00C55629" w14:paraId="7969D6C0" w14:textId="77777777" w:rsidTr="0028479A">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AE65308" w14:textId="77777777" w:rsidR="00C55629" w:rsidRPr="00C55629" w:rsidRDefault="00C55629" w:rsidP="00C55629">
            <w:pPr>
              <w:spacing w:after="0" w:line="240" w:lineRule="auto"/>
              <w:ind w:firstLineChars="300" w:firstLine="480"/>
              <w:rPr>
                <w:rFonts w:ascii="Times New Roman" w:eastAsia="Times New Roman" w:hAnsi="Times New Roman" w:cs="Times New Roman"/>
                <w:noProof/>
                <w:color w:val="000000"/>
                <w:kern w:val="0"/>
                <w:sz w:val="16"/>
                <w:szCs w:val="16"/>
                <w:lang w:val="en-GB" w:eastAsia="en-IE"/>
                <w14:ligatures w14:val="none"/>
              </w:rPr>
            </w:pPr>
            <w:r w:rsidRPr="00C55629">
              <w:rPr>
                <w:rFonts w:ascii="Times New Roman" w:eastAsia="Times New Roman" w:hAnsi="Times New Roman" w:cs="Times New Roman"/>
                <w:noProof/>
                <w:color w:val="000000"/>
                <w:kern w:val="0"/>
                <w:sz w:val="16"/>
                <w:szCs w:val="16"/>
                <w:lang w:val="en-GB" w:eastAsia="en-IE"/>
                <w14:ligatures w14:val="none"/>
              </w:rPr>
              <w:t>European External Action Service</w:t>
            </w:r>
          </w:p>
        </w:tc>
        <w:tc>
          <w:tcPr>
            <w:tcW w:w="1860" w:type="dxa"/>
            <w:tcBorders>
              <w:top w:val="nil"/>
              <w:left w:val="nil"/>
              <w:bottom w:val="single" w:sz="4" w:space="0" w:color="auto"/>
              <w:right w:val="single" w:sz="4" w:space="0" w:color="auto"/>
            </w:tcBorders>
            <w:shd w:val="clear" w:color="auto" w:fill="auto"/>
            <w:vAlign w:val="center"/>
          </w:tcPr>
          <w:p w14:paraId="310C39D1"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913 751 125</w:t>
            </w:r>
          </w:p>
        </w:tc>
        <w:tc>
          <w:tcPr>
            <w:tcW w:w="1860" w:type="dxa"/>
            <w:tcBorders>
              <w:top w:val="nil"/>
              <w:left w:val="nil"/>
              <w:bottom w:val="single" w:sz="4" w:space="0" w:color="auto"/>
              <w:right w:val="single" w:sz="4" w:space="0" w:color="auto"/>
            </w:tcBorders>
            <w:shd w:val="clear" w:color="auto" w:fill="auto"/>
          </w:tcPr>
          <w:p w14:paraId="3D12CD95"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8 749 132</w:t>
            </w:r>
          </w:p>
        </w:tc>
        <w:tc>
          <w:tcPr>
            <w:tcW w:w="1840" w:type="dxa"/>
            <w:tcBorders>
              <w:top w:val="nil"/>
              <w:left w:val="nil"/>
              <w:bottom w:val="single" w:sz="4" w:space="0" w:color="auto"/>
              <w:right w:val="single" w:sz="4" w:space="0" w:color="auto"/>
            </w:tcBorders>
            <w:shd w:val="clear" w:color="auto" w:fill="auto"/>
          </w:tcPr>
          <w:p w14:paraId="1565B1FC" w14:textId="77777777" w:rsidR="00C55629" w:rsidRPr="00C55629" w:rsidRDefault="00C55629" w:rsidP="00C55629">
            <w:pPr>
              <w:spacing w:after="0" w:line="240" w:lineRule="auto"/>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922 500 257</w:t>
            </w:r>
          </w:p>
        </w:tc>
      </w:tr>
      <w:tr w:rsidR="00C55629" w:rsidRPr="00C55629" w14:paraId="5472970F" w14:textId="77777777" w:rsidTr="00C55629">
        <w:trPr>
          <w:trHeight w:val="290"/>
          <w:jc w:val="right"/>
        </w:trPr>
        <w:tc>
          <w:tcPr>
            <w:tcW w:w="4480" w:type="dxa"/>
            <w:tcBorders>
              <w:top w:val="nil"/>
              <w:left w:val="single" w:sz="4" w:space="0" w:color="auto"/>
              <w:bottom w:val="single" w:sz="4" w:space="0" w:color="auto"/>
              <w:right w:val="single" w:sz="4" w:space="0" w:color="auto"/>
            </w:tcBorders>
            <w:shd w:val="clear" w:color="auto" w:fill="D9D9D9"/>
            <w:vAlign w:val="center"/>
            <w:hideMark/>
          </w:tcPr>
          <w:p w14:paraId="6C608B85" w14:textId="77777777" w:rsidR="00C55629" w:rsidRPr="00C55629" w:rsidRDefault="00C55629" w:rsidP="00C55629">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kern w:val="0"/>
                <w:sz w:val="20"/>
                <w:szCs w:val="20"/>
                <w:lang w:val="en-GB" w:eastAsia="en-IE"/>
                <w14:ligatures w14:val="none"/>
              </w:rPr>
              <w:t xml:space="preserve">Total </w:t>
            </w:r>
          </w:p>
        </w:tc>
        <w:tc>
          <w:tcPr>
            <w:tcW w:w="1860" w:type="dxa"/>
            <w:tcBorders>
              <w:top w:val="nil"/>
              <w:left w:val="nil"/>
              <w:bottom w:val="single" w:sz="4" w:space="0" w:color="auto"/>
              <w:right w:val="single" w:sz="4" w:space="0" w:color="auto"/>
            </w:tcBorders>
            <w:shd w:val="clear" w:color="auto" w:fill="D9D9D9"/>
          </w:tcPr>
          <w:p w14:paraId="4ED54C40" w14:textId="77777777" w:rsidR="00C55629" w:rsidRPr="00C55629" w:rsidRDefault="00C55629" w:rsidP="00C55629">
            <w:pPr>
              <w:spacing w:after="0" w:line="240" w:lineRule="auto"/>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12 614 361 450</w:t>
            </w:r>
          </w:p>
        </w:tc>
        <w:tc>
          <w:tcPr>
            <w:tcW w:w="1860" w:type="dxa"/>
            <w:tcBorders>
              <w:top w:val="nil"/>
              <w:left w:val="nil"/>
              <w:bottom w:val="single" w:sz="4" w:space="0" w:color="auto"/>
              <w:right w:val="single" w:sz="4" w:space="0" w:color="auto"/>
            </w:tcBorders>
            <w:shd w:val="clear" w:color="auto" w:fill="D9D9D9"/>
          </w:tcPr>
          <w:p w14:paraId="67DB127B"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sz w:val="20"/>
                <w:szCs w:val="20"/>
                <w:lang w:val="en-GB" w:eastAsia="en-IE"/>
                <w14:ligatures w14:val="none"/>
              </w:rPr>
            </w:pPr>
            <w:r w:rsidRPr="00C55629">
              <w:rPr>
                <w:rFonts w:ascii="Times New Roman" w:eastAsia="Times New Roman" w:hAnsi="Times New Roman" w:cs="Times New Roman"/>
                <w:b/>
                <w:bCs/>
                <w:noProof/>
                <w:color w:val="000000"/>
                <w:kern w:val="0"/>
                <w:sz w:val="20"/>
                <w:szCs w:val="20"/>
                <w:lang w:val="en-GB" w:eastAsia="en-IE"/>
                <w14:ligatures w14:val="none"/>
              </w:rPr>
              <w:t>219 914 191</w:t>
            </w:r>
          </w:p>
        </w:tc>
        <w:tc>
          <w:tcPr>
            <w:tcW w:w="1840" w:type="dxa"/>
            <w:tcBorders>
              <w:top w:val="nil"/>
              <w:left w:val="nil"/>
              <w:bottom w:val="single" w:sz="4" w:space="0" w:color="auto"/>
              <w:right w:val="single" w:sz="4" w:space="0" w:color="auto"/>
            </w:tcBorders>
            <w:shd w:val="clear" w:color="auto" w:fill="D9D9D9"/>
          </w:tcPr>
          <w:p w14:paraId="5A60F3B7" w14:textId="77777777" w:rsidR="00C55629" w:rsidRPr="00C55629" w:rsidRDefault="00C55629" w:rsidP="00C55629">
            <w:pPr>
              <w:spacing w:after="0" w:line="240" w:lineRule="auto"/>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12 834 275 641</w:t>
            </w:r>
          </w:p>
        </w:tc>
      </w:tr>
    </w:tbl>
    <w:p w14:paraId="4B1A03A6" w14:textId="77777777" w:rsidR="00C55629" w:rsidRPr="00C55629" w:rsidRDefault="00C55629" w:rsidP="00C55629">
      <w:pPr>
        <w:spacing w:before="100" w:beforeAutospacing="1" w:after="100" w:afterAutospacing="1"/>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Salary update</w:t>
      </w:r>
    </w:p>
    <w:p w14:paraId="400AD20B" w14:textId="77777777" w:rsidR="00C55629" w:rsidRPr="00C55629" w:rsidRDefault="00C55629" w:rsidP="00C55629">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detailed impact by section, in relation to the impact of the increased salary adjustment in 2024, is as follows:</w:t>
      </w:r>
    </w:p>
    <w:tbl>
      <w:tblPr>
        <w:tblW w:w="9960" w:type="dxa"/>
        <w:tblInd w:w="108" w:type="dxa"/>
        <w:tblLook w:val="04A0" w:firstRow="1" w:lastRow="0" w:firstColumn="1" w:lastColumn="0" w:noHBand="0" w:noVBand="1"/>
      </w:tblPr>
      <w:tblGrid>
        <w:gridCol w:w="1600"/>
        <w:gridCol w:w="6460"/>
        <w:gridCol w:w="1900"/>
      </w:tblGrid>
      <w:tr w:rsidR="00C55629" w:rsidRPr="00C55629" w14:paraId="41FBE934" w14:textId="77777777" w:rsidTr="0028479A">
        <w:trPr>
          <w:trHeight w:val="255"/>
          <w:tblHeader/>
        </w:trPr>
        <w:tc>
          <w:tcPr>
            <w:tcW w:w="1600" w:type="dxa"/>
            <w:tcBorders>
              <w:top w:val="nil"/>
              <w:left w:val="nil"/>
              <w:bottom w:val="nil"/>
              <w:right w:val="nil"/>
            </w:tcBorders>
            <w:shd w:val="clear" w:color="auto" w:fill="auto"/>
            <w:noWrap/>
            <w:vAlign w:val="bottom"/>
            <w:hideMark/>
          </w:tcPr>
          <w:p w14:paraId="7A28C88F"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6460" w:type="dxa"/>
            <w:tcBorders>
              <w:top w:val="nil"/>
              <w:left w:val="nil"/>
              <w:bottom w:val="nil"/>
              <w:right w:val="nil"/>
            </w:tcBorders>
            <w:shd w:val="clear" w:color="auto" w:fill="auto"/>
            <w:noWrap/>
            <w:vAlign w:val="bottom"/>
            <w:hideMark/>
          </w:tcPr>
          <w:p w14:paraId="09A30A9E"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1900" w:type="dxa"/>
            <w:tcBorders>
              <w:top w:val="nil"/>
              <w:left w:val="nil"/>
              <w:bottom w:val="nil"/>
              <w:right w:val="nil"/>
            </w:tcBorders>
            <w:shd w:val="clear" w:color="auto" w:fill="auto"/>
            <w:noWrap/>
            <w:vAlign w:val="bottom"/>
            <w:hideMark/>
          </w:tcPr>
          <w:p w14:paraId="4EDAFBD5" w14:textId="77777777" w:rsidR="00C55629" w:rsidRPr="00C55629" w:rsidRDefault="00C55629" w:rsidP="00C55629">
            <w:pPr>
              <w:spacing w:after="0" w:line="240" w:lineRule="auto"/>
              <w:jc w:val="right"/>
              <w:rPr>
                <w:rFonts w:ascii="Times New Roman" w:eastAsia="Times New Roman" w:hAnsi="Times New Roman" w:cs="Times New Roman"/>
                <w:i/>
                <w:iCs/>
                <w:noProof/>
                <w:kern w:val="0"/>
                <w:sz w:val="20"/>
                <w:szCs w:val="20"/>
                <w:lang w:val="en-GB" w:eastAsia="en-GB"/>
                <w14:ligatures w14:val="none"/>
              </w:rPr>
            </w:pPr>
            <w:r w:rsidRPr="00C55629">
              <w:rPr>
                <w:rFonts w:ascii="Times New Roman" w:eastAsia="Times New Roman" w:hAnsi="Times New Roman" w:cs="Times New Roman"/>
                <w:i/>
                <w:iCs/>
                <w:noProof/>
                <w:kern w:val="0"/>
                <w:sz w:val="20"/>
                <w:szCs w:val="20"/>
                <w:lang w:val="en-GB" w:eastAsia="en-GB"/>
                <w14:ligatures w14:val="none"/>
              </w:rPr>
              <w:t>Amounts in EUR</w:t>
            </w:r>
          </w:p>
        </w:tc>
      </w:tr>
      <w:tr w:rsidR="00C55629" w:rsidRPr="00C55629" w14:paraId="72F34CEA" w14:textId="77777777" w:rsidTr="0028479A">
        <w:trPr>
          <w:trHeight w:val="255"/>
          <w:tblHeader/>
        </w:trPr>
        <w:tc>
          <w:tcPr>
            <w:tcW w:w="16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2E4D06"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Budget Line</w:t>
            </w:r>
          </w:p>
        </w:tc>
        <w:tc>
          <w:tcPr>
            <w:tcW w:w="6460" w:type="dxa"/>
            <w:tcBorders>
              <w:top w:val="single" w:sz="4" w:space="0" w:color="auto"/>
              <w:left w:val="nil"/>
              <w:bottom w:val="single" w:sz="4" w:space="0" w:color="auto"/>
              <w:right w:val="single" w:sz="4" w:space="0" w:color="auto"/>
            </w:tcBorders>
            <w:shd w:val="clear" w:color="auto" w:fill="E0E0E0"/>
            <w:vAlign w:val="center"/>
            <w:hideMark/>
          </w:tcPr>
          <w:p w14:paraId="234DD6EB"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Name</w:t>
            </w:r>
          </w:p>
        </w:tc>
        <w:tc>
          <w:tcPr>
            <w:tcW w:w="1900" w:type="dxa"/>
            <w:tcBorders>
              <w:top w:val="single" w:sz="4" w:space="0" w:color="auto"/>
              <w:left w:val="nil"/>
              <w:bottom w:val="single" w:sz="4" w:space="0" w:color="auto"/>
              <w:right w:val="single" w:sz="4" w:space="0" w:color="auto"/>
            </w:tcBorders>
            <w:shd w:val="clear" w:color="auto" w:fill="E0E0E0"/>
            <w:vAlign w:val="center"/>
            <w:hideMark/>
          </w:tcPr>
          <w:p w14:paraId="7C3AB309"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Appropriations</w:t>
            </w:r>
          </w:p>
        </w:tc>
      </w:tr>
      <w:tr w:rsidR="00C55629" w:rsidRPr="00C55629" w14:paraId="67C994C4"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7ADA958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 - European Parliament</w:t>
            </w:r>
          </w:p>
        </w:tc>
        <w:tc>
          <w:tcPr>
            <w:tcW w:w="1900" w:type="dxa"/>
            <w:tcBorders>
              <w:top w:val="nil"/>
              <w:left w:val="single" w:sz="4" w:space="0" w:color="auto"/>
              <w:bottom w:val="single" w:sz="4" w:space="0" w:color="auto"/>
              <w:right w:val="single" w:sz="4" w:space="0" w:color="auto"/>
            </w:tcBorders>
            <w:shd w:val="clear" w:color="auto" w:fill="F2F2F2"/>
            <w:vAlign w:val="center"/>
            <w:hideMark/>
          </w:tcPr>
          <w:p w14:paraId="2EA76B3B"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3E61BBF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B5D175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hideMark/>
          </w:tcPr>
          <w:p w14:paraId="7D55534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Salaries</w:t>
            </w:r>
          </w:p>
        </w:tc>
        <w:tc>
          <w:tcPr>
            <w:tcW w:w="1900" w:type="dxa"/>
            <w:tcBorders>
              <w:top w:val="nil"/>
              <w:left w:val="nil"/>
              <w:bottom w:val="single" w:sz="4" w:space="0" w:color="auto"/>
              <w:right w:val="single" w:sz="4" w:space="0" w:color="auto"/>
            </w:tcBorders>
            <w:shd w:val="clear" w:color="auto" w:fill="auto"/>
            <w:vAlign w:val="center"/>
          </w:tcPr>
          <w:p w14:paraId="4D68892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2 138 430</w:t>
            </w:r>
          </w:p>
        </w:tc>
      </w:tr>
      <w:tr w:rsidR="00C55629" w:rsidRPr="00C55629" w14:paraId="1DA56C5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6759C3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1 0 2</w:t>
            </w:r>
          </w:p>
        </w:tc>
        <w:tc>
          <w:tcPr>
            <w:tcW w:w="6460" w:type="dxa"/>
            <w:tcBorders>
              <w:top w:val="nil"/>
              <w:left w:val="nil"/>
              <w:bottom w:val="single" w:sz="4" w:space="0" w:color="auto"/>
              <w:right w:val="single" w:sz="4" w:space="0" w:color="auto"/>
            </w:tcBorders>
            <w:shd w:val="clear" w:color="auto" w:fill="auto"/>
            <w:vAlign w:val="center"/>
          </w:tcPr>
          <w:p w14:paraId="28F6085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Transitional allowances</w:t>
            </w:r>
          </w:p>
        </w:tc>
        <w:tc>
          <w:tcPr>
            <w:tcW w:w="1900" w:type="dxa"/>
            <w:tcBorders>
              <w:top w:val="nil"/>
              <w:left w:val="nil"/>
              <w:bottom w:val="single" w:sz="4" w:space="0" w:color="auto"/>
              <w:right w:val="single" w:sz="4" w:space="0" w:color="auto"/>
            </w:tcBorders>
            <w:shd w:val="clear" w:color="auto" w:fill="auto"/>
            <w:vAlign w:val="center"/>
          </w:tcPr>
          <w:p w14:paraId="01AB248A"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345 645</w:t>
            </w:r>
          </w:p>
        </w:tc>
      </w:tr>
      <w:tr w:rsidR="00C55629" w:rsidRPr="00C55629" w14:paraId="10C3C1B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E39436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1 0 3 1</w:t>
            </w:r>
          </w:p>
        </w:tc>
        <w:tc>
          <w:tcPr>
            <w:tcW w:w="6460" w:type="dxa"/>
            <w:tcBorders>
              <w:top w:val="nil"/>
              <w:left w:val="nil"/>
              <w:bottom w:val="single" w:sz="4" w:space="0" w:color="auto"/>
              <w:right w:val="single" w:sz="4" w:space="0" w:color="auto"/>
            </w:tcBorders>
            <w:shd w:val="clear" w:color="auto" w:fill="auto"/>
            <w:vAlign w:val="center"/>
          </w:tcPr>
          <w:p w14:paraId="25DADCE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Invalidity pensions (PEAM)</w:t>
            </w:r>
          </w:p>
        </w:tc>
        <w:tc>
          <w:tcPr>
            <w:tcW w:w="1900" w:type="dxa"/>
            <w:tcBorders>
              <w:top w:val="nil"/>
              <w:left w:val="nil"/>
              <w:bottom w:val="single" w:sz="4" w:space="0" w:color="auto"/>
              <w:right w:val="single" w:sz="4" w:space="0" w:color="auto"/>
            </w:tcBorders>
            <w:shd w:val="clear" w:color="auto" w:fill="auto"/>
            <w:vAlign w:val="center"/>
          </w:tcPr>
          <w:p w14:paraId="585A06C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2 138</w:t>
            </w:r>
          </w:p>
        </w:tc>
      </w:tr>
      <w:tr w:rsidR="00C55629" w:rsidRPr="00C55629" w14:paraId="42747C0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0EC2C4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1 0 3 2</w:t>
            </w:r>
          </w:p>
        </w:tc>
        <w:tc>
          <w:tcPr>
            <w:tcW w:w="6460" w:type="dxa"/>
            <w:tcBorders>
              <w:top w:val="nil"/>
              <w:left w:val="nil"/>
              <w:bottom w:val="single" w:sz="4" w:space="0" w:color="auto"/>
              <w:right w:val="single" w:sz="4" w:space="0" w:color="auto"/>
            </w:tcBorders>
            <w:shd w:val="clear" w:color="auto" w:fill="auto"/>
            <w:vAlign w:val="center"/>
          </w:tcPr>
          <w:p w14:paraId="3F6B779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Survivors’ pensions (PEAM)</w:t>
            </w:r>
          </w:p>
        </w:tc>
        <w:tc>
          <w:tcPr>
            <w:tcW w:w="1900" w:type="dxa"/>
            <w:tcBorders>
              <w:top w:val="nil"/>
              <w:left w:val="nil"/>
              <w:bottom w:val="single" w:sz="4" w:space="0" w:color="auto"/>
              <w:right w:val="single" w:sz="4" w:space="0" w:color="auto"/>
            </w:tcBorders>
            <w:shd w:val="clear" w:color="auto" w:fill="auto"/>
            <w:vAlign w:val="center"/>
          </w:tcPr>
          <w:p w14:paraId="18D8710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47 279</w:t>
            </w:r>
          </w:p>
        </w:tc>
      </w:tr>
      <w:tr w:rsidR="00C55629" w:rsidRPr="00C55629" w14:paraId="7E1F44E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9C6B64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274C12F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vAlign w:val="center"/>
          </w:tcPr>
          <w:p w14:paraId="2C81798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20 159 060</w:t>
            </w:r>
          </w:p>
        </w:tc>
      </w:tr>
      <w:tr w:rsidR="00C55629" w:rsidRPr="00C55629" w14:paraId="3638FB0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0A2E8C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1 2 0 2</w:t>
            </w:r>
          </w:p>
        </w:tc>
        <w:tc>
          <w:tcPr>
            <w:tcW w:w="6460" w:type="dxa"/>
            <w:tcBorders>
              <w:top w:val="nil"/>
              <w:left w:val="nil"/>
              <w:bottom w:val="single" w:sz="4" w:space="0" w:color="auto"/>
              <w:right w:val="single" w:sz="4" w:space="0" w:color="auto"/>
            </w:tcBorders>
            <w:shd w:val="clear" w:color="auto" w:fill="auto"/>
            <w:vAlign w:val="center"/>
          </w:tcPr>
          <w:p w14:paraId="54C8B6D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Paid overtime</w:t>
            </w:r>
          </w:p>
        </w:tc>
        <w:tc>
          <w:tcPr>
            <w:tcW w:w="1900" w:type="dxa"/>
            <w:tcBorders>
              <w:top w:val="nil"/>
              <w:left w:val="nil"/>
              <w:bottom w:val="single" w:sz="4" w:space="0" w:color="auto"/>
              <w:right w:val="single" w:sz="4" w:space="0" w:color="auto"/>
            </w:tcBorders>
            <w:shd w:val="clear" w:color="auto" w:fill="auto"/>
            <w:vAlign w:val="center"/>
          </w:tcPr>
          <w:p w14:paraId="331B37D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1 173</w:t>
            </w:r>
          </w:p>
        </w:tc>
      </w:tr>
      <w:tr w:rsidR="00C55629" w:rsidRPr="00C55629" w14:paraId="5F2A8138"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3024A6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1 2 2 0</w:t>
            </w:r>
          </w:p>
        </w:tc>
        <w:tc>
          <w:tcPr>
            <w:tcW w:w="6460" w:type="dxa"/>
            <w:tcBorders>
              <w:top w:val="nil"/>
              <w:left w:val="nil"/>
              <w:bottom w:val="single" w:sz="4" w:space="0" w:color="auto"/>
              <w:right w:val="single" w:sz="4" w:space="0" w:color="auto"/>
            </w:tcBorders>
            <w:shd w:val="clear" w:color="auto" w:fill="auto"/>
            <w:vAlign w:val="center"/>
          </w:tcPr>
          <w:p w14:paraId="49ED209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Allowances for staff retired or placed on leave in the interest of the service</w:t>
            </w:r>
          </w:p>
        </w:tc>
        <w:tc>
          <w:tcPr>
            <w:tcW w:w="1900" w:type="dxa"/>
            <w:tcBorders>
              <w:top w:val="nil"/>
              <w:left w:val="nil"/>
              <w:bottom w:val="single" w:sz="4" w:space="0" w:color="auto"/>
              <w:right w:val="single" w:sz="4" w:space="0" w:color="auto"/>
            </w:tcBorders>
            <w:shd w:val="clear" w:color="auto" w:fill="auto"/>
            <w:vAlign w:val="center"/>
          </w:tcPr>
          <w:p w14:paraId="2909270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84 598</w:t>
            </w:r>
          </w:p>
        </w:tc>
      </w:tr>
      <w:tr w:rsidR="00C55629" w:rsidRPr="00C55629" w14:paraId="62EC2BB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CAC271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1 4 0 0</w:t>
            </w:r>
          </w:p>
        </w:tc>
        <w:tc>
          <w:tcPr>
            <w:tcW w:w="6460" w:type="dxa"/>
            <w:tcBorders>
              <w:top w:val="nil"/>
              <w:left w:val="nil"/>
              <w:bottom w:val="single" w:sz="4" w:space="0" w:color="auto"/>
              <w:right w:val="single" w:sz="4" w:space="0" w:color="auto"/>
            </w:tcBorders>
            <w:shd w:val="clear" w:color="auto" w:fill="auto"/>
            <w:vAlign w:val="center"/>
            <w:hideMark/>
          </w:tcPr>
          <w:p w14:paraId="7364B72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 — Secretariat and political groups</w:t>
            </w:r>
          </w:p>
        </w:tc>
        <w:tc>
          <w:tcPr>
            <w:tcW w:w="1900" w:type="dxa"/>
            <w:tcBorders>
              <w:top w:val="nil"/>
              <w:left w:val="nil"/>
              <w:bottom w:val="single" w:sz="4" w:space="0" w:color="auto"/>
              <w:right w:val="single" w:sz="4" w:space="0" w:color="auto"/>
            </w:tcBorders>
            <w:shd w:val="clear" w:color="auto" w:fill="auto"/>
            <w:vAlign w:val="center"/>
          </w:tcPr>
          <w:p w14:paraId="79D45C7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2 100 929</w:t>
            </w:r>
          </w:p>
        </w:tc>
      </w:tr>
      <w:tr w:rsidR="00C55629" w:rsidRPr="00C55629" w14:paraId="4001BA9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955769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1 4 0 1</w:t>
            </w:r>
          </w:p>
        </w:tc>
        <w:tc>
          <w:tcPr>
            <w:tcW w:w="6460" w:type="dxa"/>
            <w:tcBorders>
              <w:top w:val="nil"/>
              <w:left w:val="nil"/>
              <w:bottom w:val="single" w:sz="4" w:space="0" w:color="auto"/>
              <w:right w:val="single" w:sz="4" w:space="0" w:color="auto"/>
            </w:tcBorders>
            <w:shd w:val="clear" w:color="auto" w:fill="auto"/>
            <w:vAlign w:val="center"/>
            <w:hideMark/>
          </w:tcPr>
          <w:p w14:paraId="7EB2CB9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 — Security</w:t>
            </w:r>
          </w:p>
        </w:tc>
        <w:tc>
          <w:tcPr>
            <w:tcW w:w="1900" w:type="dxa"/>
            <w:tcBorders>
              <w:top w:val="nil"/>
              <w:left w:val="nil"/>
              <w:bottom w:val="single" w:sz="4" w:space="0" w:color="auto"/>
              <w:right w:val="single" w:sz="4" w:space="0" w:color="auto"/>
            </w:tcBorders>
            <w:shd w:val="clear" w:color="auto" w:fill="auto"/>
            <w:vAlign w:val="center"/>
          </w:tcPr>
          <w:p w14:paraId="2C39C9D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1 173 404</w:t>
            </w:r>
          </w:p>
        </w:tc>
      </w:tr>
      <w:tr w:rsidR="00C55629" w:rsidRPr="00C55629" w14:paraId="64E0C62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D5FF92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1 4 0 2</w:t>
            </w:r>
          </w:p>
        </w:tc>
        <w:tc>
          <w:tcPr>
            <w:tcW w:w="6460" w:type="dxa"/>
            <w:tcBorders>
              <w:top w:val="nil"/>
              <w:left w:val="nil"/>
              <w:bottom w:val="single" w:sz="4" w:space="0" w:color="auto"/>
              <w:right w:val="single" w:sz="4" w:space="0" w:color="auto"/>
            </w:tcBorders>
            <w:shd w:val="clear" w:color="auto" w:fill="auto"/>
            <w:vAlign w:val="center"/>
            <w:hideMark/>
          </w:tcPr>
          <w:p w14:paraId="05E59C1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 — Drivers in the Secretariat</w:t>
            </w:r>
          </w:p>
        </w:tc>
        <w:tc>
          <w:tcPr>
            <w:tcW w:w="1900" w:type="dxa"/>
            <w:tcBorders>
              <w:top w:val="nil"/>
              <w:left w:val="nil"/>
              <w:bottom w:val="single" w:sz="4" w:space="0" w:color="auto"/>
              <w:right w:val="single" w:sz="4" w:space="0" w:color="auto"/>
            </w:tcBorders>
            <w:shd w:val="clear" w:color="auto" w:fill="auto"/>
            <w:vAlign w:val="center"/>
          </w:tcPr>
          <w:p w14:paraId="54A1F92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220 704</w:t>
            </w:r>
          </w:p>
        </w:tc>
      </w:tr>
      <w:tr w:rsidR="00C55629" w:rsidRPr="00C55629" w14:paraId="3AC0D91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E1EB6B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1 4 0 4</w:t>
            </w:r>
          </w:p>
        </w:tc>
        <w:tc>
          <w:tcPr>
            <w:tcW w:w="6460" w:type="dxa"/>
            <w:tcBorders>
              <w:top w:val="nil"/>
              <w:left w:val="nil"/>
              <w:bottom w:val="single" w:sz="4" w:space="0" w:color="auto"/>
              <w:right w:val="single" w:sz="4" w:space="0" w:color="auto"/>
            </w:tcBorders>
            <w:shd w:val="clear" w:color="auto" w:fill="auto"/>
            <w:vAlign w:val="center"/>
          </w:tcPr>
          <w:p w14:paraId="1B54373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Traineeships, seconded national experts, exchanges of officials and study visits</w:t>
            </w:r>
          </w:p>
        </w:tc>
        <w:tc>
          <w:tcPr>
            <w:tcW w:w="1900" w:type="dxa"/>
            <w:tcBorders>
              <w:top w:val="nil"/>
              <w:left w:val="nil"/>
              <w:bottom w:val="single" w:sz="4" w:space="0" w:color="auto"/>
              <w:right w:val="single" w:sz="4" w:space="0" w:color="auto"/>
            </w:tcBorders>
            <w:shd w:val="clear" w:color="auto" w:fill="auto"/>
            <w:vAlign w:val="center"/>
          </w:tcPr>
          <w:p w14:paraId="08D6FD5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310 850</w:t>
            </w:r>
          </w:p>
        </w:tc>
      </w:tr>
      <w:tr w:rsidR="00C55629" w:rsidRPr="00C55629" w14:paraId="7061974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354A72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1 4 0 5</w:t>
            </w:r>
          </w:p>
        </w:tc>
        <w:tc>
          <w:tcPr>
            <w:tcW w:w="6460" w:type="dxa"/>
            <w:tcBorders>
              <w:top w:val="nil"/>
              <w:left w:val="nil"/>
              <w:bottom w:val="single" w:sz="4" w:space="0" w:color="auto"/>
              <w:right w:val="single" w:sz="4" w:space="0" w:color="auto"/>
            </w:tcBorders>
            <w:shd w:val="clear" w:color="auto" w:fill="auto"/>
            <w:vAlign w:val="center"/>
          </w:tcPr>
          <w:p w14:paraId="319CBF8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Expenditure on interpretation</w:t>
            </w:r>
          </w:p>
        </w:tc>
        <w:tc>
          <w:tcPr>
            <w:tcW w:w="1900" w:type="dxa"/>
            <w:tcBorders>
              <w:top w:val="nil"/>
              <w:left w:val="nil"/>
              <w:bottom w:val="single" w:sz="4" w:space="0" w:color="auto"/>
              <w:right w:val="single" w:sz="4" w:space="0" w:color="auto"/>
            </w:tcBorders>
            <w:shd w:val="clear" w:color="auto" w:fill="auto"/>
            <w:vAlign w:val="center"/>
          </w:tcPr>
          <w:p w14:paraId="656BB73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1 441 796</w:t>
            </w:r>
          </w:p>
        </w:tc>
      </w:tr>
      <w:tr w:rsidR="00C55629" w:rsidRPr="00C55629" w14:paraId="09FAAC6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AF5126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4 2 2</w:t>
            </w:r>
          </w:p>
        </w:tc>
        <w:tc>
          <w:tcPr>
            <w:tcW w:w="6460" w:type="dxa"/>
            <w:tcBorders>
              <w:top w:val="nil"/>
              <w:left w:val="nil"/>
              <w:bottom w:val="single" w:sz="4" w:space="0" w:color="auto"/>
              <w:right w:val="single" w:sz="4" w:space="0" w:color="auto"/>
            </w:tcBorders>
            <w:shd w:val="clear" w:color="auto" w:fill="auto"/>
            <w:vAlign w:val="center"/>
            <w:hideMark/>
          </w:tcPr>
          <w:p w14:paraId="56D0A9D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Expenditure relating to parliamentary assistance</w:t>
            </w:r>
          </w:p>
        </w:tc>
        <w:tc>
          <w:tcPr>
            <w:tcW w:w="1900" w:type="dxa"/>
            <w:tcBorders>
              <w:top w:val="nil"/>
              <w:left w:val="nil"/>
              <w:bottom w:val="single" w:sz="4" w:space="0" w:color="auto"/>
              <w:right w:val="single" w:sz="4" w:space="0" w:color="auto"/>
            </w:tcBorders>
            <w:shd w:val="clear" w:color="auto" w:fill="auto"/>
            <w:vAlign w:val="center"/>
          </w:tcPr>
          <w:p w14:paraId="1E10EA5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5 875 873</w:t>
            </w:r>
          </w:p>
        </w:tc>
      </w:tr>
      <w:tr w:rsidR="00C55629" w:rsidRPr="00C55629" w14:paraId="32705C86"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B59A80"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w:t>
            </w:r>
          </w:p>
        </w:tc>
        <w:tc>
          <w:tcPr>
            <w:tcW w:w="1900" w:type="dxa"/>
            <w:tcBorders>
              <w:top w:val="nil"/>
              <w:left w:val="nil"/>
              <w:bottom w:val="single" w:sz="4" w:space="0" w:color="auto"/>
              <w:right w:val="single" w:sz="4" w:space="0" w:color="auto"/>
            </w:tcBorders>
            <w:shd w:val="clear" w:color="auto" w:fill="auto"/>
            <w:vAlign w:val="center"/>
          </w:tcPr>
          <w:p w14:paraId="01F51697"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33 901 879</w:t>
            </w:r>
          </w:p>
        </w:tc>
      </w:tr>
      <w:tr w:rsidR="00C55629" w:rsidRPr="00C55629" w14:paraId="2EBD5323"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B9A46F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II - Council and European Council</w:t>
            </w:r>
          </w:p>
        </w:tc>
        <w:tc>
          <w:tcPr>
            <w:tcW w:w="1900" w:type="dxa"/>
            <w:tcBorders>
              <w:top w:val="nil"/>
              <w:left w:val="single" w:sz="4" w:space="0" w:color="auto"/>
              <w:bottom w:val="single" w:sz="4" w:space="0" w:color="auto"/>
              <w:right w:val="single" w:sz="4" w:space="0" w:color="auto"/>
            </w:tcBorders>
            <w:shd w:val="clear" w:color="auto" w:fill="F2F2F2"/>
            <w:vAlign w:val="center"/>
            <w:hideMark/>
          </w:tcPr>
          <w:p w14:paraId="08A14AC0"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2105433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02B1FB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tcPr>
          <w:p w14:paraId="016C533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Basic salary</w:t>
            </w:r>
          </w:p>
        </w:tc>
        <w:tc>
          <w:tcPr>
            <w:tcW w:w="1900" w:type="dxa"/>
            <w:tcBorders>
              <w:top w:val="nil"/>
              <w:left w:val="nil"/>
              <w:bottom w:val="single" w:sz="4" w:space="0" w:color="auto"/>
              <w:right w:val="single" w:sz="4" w:space="0" w:color="auto"/>
            </w:tcBorders>
            <w:shd w:val="clear" w:color="auto" w:fill="auto"/>
            <w:vAlign w:val="center"/>
          </w:tcPr>
          <w:p w14:paraId="33C17DD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10 000</w:t>
            </w:r>
          </w:p>
        </w:tc>
      </w:tr>
      <w:tr w:rsidR="00C55629" w:rsidRPr="00C55629" w14:paraId="4856A8CC"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61EFD34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1 0 0 1</w:t>
            </w:r>
          </w:p>
        </w:tc>
        <w:tc>
          <w:tcPr>
            <w:tcW w:w="6460" w:type="dxa"/>
            <w:tcBorders>
              <w:top w:val="nil"/>
              <w:left w:val="nil"/>
              <w:bottom w:val="single" w:sz="4" w:space="0" w:color="auto"/>
              <w:right w:val="single" w:sz="4" w:space="0" w:color="auto"/>
            </w:tcBorders>
            <w:shd w:val="clear" w:color="auto" w:fill="auto"/>
          </w:tcPr>
          <w:p w14:paraId="488A3C6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related to the post held</w:t>
            </w:r>
          </w:p>
        </w:tc>
        <w:tc>
          <w:tcPr>
            <w:tcW w:w="1900" w:type="dxa"/>
            <w:tcBorders>
              <w:top w:val="nil"/>
              <w:left w:val="nil"/>
              <w:bottom w:val="single" w:sz="4" w:space="0" w:color="auto"/>
              <w:right w:val="single" w:sz="4" w:space="0" w:color="auto"/>
            </w:tcBorders>
            <w:shd w:val="clear" w:color="auto" w:fill="auto"/>
          </w:tcPr>
          <w:p w14:paraId="7A3B19B8"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3 000</w:t>
            </w:r>
          </w:p>
        </w:tc>
      </w:tr>
      <w:tr w:rsidR="00C55629" w:rsidRPr="00C55629" w14:paraId="79C50E6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3F9664D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1 0 0 2</w:t>
            </w:r>
          </w:p>
        </w:tc>
        <w:tc>
          <w:tcPr>
            <w:tcW w:w="6460" w:type="dxa"/>
            <w:tcBorders>
              <w:top w:val="nil"/>
              <w:left w:val="nil"/>
              <w:bottom w:val="single" w:sz="4" w:space="0" w:color="auto"/>
              <w:right w:val="single" w:sz="4" w:space="0" w:color="auto"/>
            </w:tcBorders>
            <w:shd w:val="clear" w:color="auto" w:fill="auto"/>
          </w:tcPr>
          <w:p w14:paraId="07A65D1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related to the personal circumstances</w:t>
            </w:r>
          </w:p>
        </w:tc>
        <w:tc>
          <w:tcPr>
            <w:tcW w:w="1900" w:type="dxa"/>
            <w:tcBorders>
              <w:top w:val="nil"/>
              <w:left w:val="nil"/>
              <w:bottom w:val="single" w:sz="4" w:space="0" w:color="auto"/>
              <w:right w:val="single" w:sz="4" w:space="0" w:color="auto"/>
            </w:tcBorders>
            <w:shd w:val="clear" w:color="auto" w:fill="auto"/>
          </w:tcPr>
          <w:p w14:paraId="144D6FC1"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1 000</w:t>
            </w:r>
          </w:p>
        </w:tc>
      </w:tr>
      <w:tr w:rsidR="00C55629" w:rsidRPr="00C55629" w14:paraId="1777A4C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17C5CC8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1 0 0 3</w:t>
            </w:r>
          </w:p>
        </w:tc>
        <w:tc>
          <w:tcPr>
            <w:tcW w:w="6460" w:type="dxa"/>
            <w:tcBorders>
              <w:top w:val="nil"/>
              <w:left w:val="nil"/>
              <w:bottom w:val="single" w:sz="4" w:space="0" w:color="auto"/>
              <w:right w:val="single" w:sz="4" w:space="0" w:color="auto"/>
            </w:tcBorders>
            <w:shd w:val="clear" w:color="auto" w:fill="auto"/>
          </w:tcPr>
          <w:p w14:paraId="1A44F5F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Social security cover</w:t>
            </w:r>
          </w:p>
        </w:tc>
        <w:tc>
          <w:tcPr>
            <w:tcW w:w="1900" w:type="dxa"/>
            <w:tcBorders>
              <w:top w:val="nil"/>
              <w:left w:val="nil"/>
              <w:bottom w:val="single" w:sz="4" w:space="0" w:color="auto"/>
              <w:right w:val="single" w:sz="4" w:space="0" w:color="auto"/>
            </w:tcBorders>
            <w:shd w:val="clear" w:color="auto" w:fill="auto"/>
          </w:tcPr>
          <w:p w14:paraId="629C0BA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1 000</w:t>
            </w:r>
          </w:p>
        </w:tc>
      </w:tr>
      <w:tr w:rsidR="00C55629" w:rsidRPr="00C55629" w14:paraId="18CB848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63F8B54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1 0 1 0</w:t>
            </w:r>
          </w:p>
        </w:tc>
        <w:tc>
          <w:tcPr>
            <w:tcW w:w="6460" w:type="dxa"/>
            <w:tcBorders>
              <w:top w:val="nil"/>
              <w:left w:val="nil"/>
              <w:bottom w:val="single" w:sz="4" w:space="0" w:color="auto"/>
              <w:right w:val="single" w:sz="4" w:space="0" w:color="auto"/>
            </w:tcBorders>
            <w:shd w:val="clear" w:color="auto" w:fill="auto"/>
          </w:tcPr>
          <w:p w14:paraId="574FB9A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Transitory allowance</w:t>
            </w:r>
          </w:p>
        </w:tc>
        <w:tc>
          <w:tcPr>
            <w:tcW w:w="1900" w:type="dxa"/>
            <w:tcBorders>
              <w:top w:val="nil"/>
              <w:left w:val="nil"/>
              <w:bottom w:val="single" w:sz="4" w:space="0" w:color="auto"/>
              <w:right w:val="single" w:sz="4" w:space="0" w:color="auto"/>
            </w:tcBorders>
            <w:shd w:val="clear" w:color="auto" w:fill="auto"/>
          </w:tcPr>
          <w:p w14:paraId="28928A2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15 000</w:t>
            </w:r>
          </w:p>
        </w:tc>
      </w:tr>
      <w:tr w:rsidR="00C55629" w:rsidRPr="00C55629" w14:paraId="2AB643B0"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2A871B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1 1 0 0</w:t>
            </w:r>
          </w:p>
        </w:tc>
        <w:tc>
          <w:tcPr>
            <w:tcW w:w="6460" w:type="dxa"/>
            <w:tcBorders>
              <w:top w:val="nil"/>
              <w:left w:val="nil"/>
              <w:bottom w:val="single" w:sz="4" w:space="0" w:color="auto"/>
              <w:right w:val="single" w:sz="4" w:space="0" w:color="auto"/>
            </w:tcBorders>
            <w:shd w:val="clear" w:color="auto" w:fill="auto"/>
            <w:vAlign w:val="center"/>
            <w:hideMark/>
          </w:tcPr>
          <w:p w14:paraId="231F02D9"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Basic salaries</w:t>
            </w:r>
          </w:p>
        </w:tc>
        <w:tc>
          <w:tcPr>
            <w:tcW w:w="1900" w:type="dxa"/>
            <w:tcBorders>
              <w:top w:val="nil"/>
              <w:left w:val="nil"/>
              <w:bottom w:val="single" w:sz="4" w:space="0" w:color="auto"/>
              <w:right w:val="single" w:sz="4" w:space="0" w:color="auto"/>
            </w:tcBorders>
            <w:shd w:val="clear" w:color="auto" w:fill="auto"/>
            <w:vAlign w:val="center"/>
          </w:tcPr>
          <w:p w14:paraId="77BD0D5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5 875 621</w:t>
            </w:r>
          </w:p>
        </w:tc>
      </w:tr>
      <w:tr w:rsidR="00C55629" w:rsidRPr="00C55629" w14:paraId="556CF591"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2D4F728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1 1 0 1</w:t>
            </w:r>
          </w:p>
        </w:tc>
        <w:tc>
          <w:tcPr>
            <w:tcW w:w="6460" w:type="dxa"/>
            <w:tcBorders>
              <w:top w:val="nil"/>
              <w:left w:val="nil"/>
              <w:bottom w:val="single" w:sz="4" w:space="0" w:color="auto"/>
              <w:right w:val="single" w:sz="4" w:space="0" w:color="auto"/>
            </w:tcBorders>
            <w:shd w:val="clear" w:color="auto" w:fill="auto"/>
          </w:tcPr>
          <w:p w14:paraId="5BE8A83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under the Staff Regulations related to the post held</w:t>
            </w:r>
          </w:p>
        </w:tc>
        <w:tc>
          <w:tcPr>
            <w:tcW w:w="1900" w:type="dxa"/>
            <w:tcBorders>
              <w:top w:val="nil"/>
              <w:left w:val="nil"/>
              <w:bottom w:val="single" w:sz="4" w:space="0" w:color="auto"/>
              <w:right w:val="single" w:sz="4" w:space="0" w:color="auto"/>
            </w:tcBorders>
            <w:shd w:val="clear" w:color="auto" w:fill="auto"/>
            <w:vAlign w:val="center"/>
          </w:tcPr>
          <w:p w14:paraId="078A084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45 000</w:t>
            </w:r>
          </w:p>
        </w:tc>
      </w:tr>
      <w:tr w:rsidR="00C55629" w:rsidRPr="00C55629" w14:paraId="6CE791D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5015B11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1 1 0 2</w:t>
            </w:r>
          </w:p>
        </w:tc>
        <w:tc>
          <w:tcPr>
            <w:tcW w:w="6460" w:type="dxa"/>
            <w:tcBorders>
              <w:top w:val="nil"/>
              <w:left w:val="nil"/>
              <w:bottom w:val="single" w:sz="4" w:space="0" w:color="auto"/>
              <w:right w:val="single" w:sz="4" w:space="0" w:color="auto"/>
            </w:tcBorders>
            <w:shd w:val="clear" w:color="auto" w:fill="auto"/>
            <w:vAlign w:val="center"/>
          </w:tcPr>
          <w:p w14:paraId="6B378B0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under the Staff Regulations related to the personal circumstances of the staff member</w:t>
            </w:r>
          </w:p>
        </w:tc>
        <w:tc>
          <w:tcPr>
            <w:tcW w:w="1900" w:type="dxa"/>
            <w:tcBorders>
              <w:top w:val="nil"/>
              <w:left w:val="nil"/>
              <w:bottom w:val="single" w:sz="4" w:space="0" w:color="auto"/>
              <w:right w:val="single" w:sz="4" w:space="0" w:color="auto"/>
            </w:tcBorders>
            <w:shd w:val="clear" w:color="auto" w:fill="auto"/>
            <w:vAlign w:val="center"/>
          </w:tcPr>
          <w:p w14:paraId="4CDD9D4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1 375 000</w:t>
            </w:r>
          </w:p>
        </w:tc>
      </w:tr>
      <w:tr w:rsidR="00C55629" w:rsidRPr="00C55629" w14:paraId="6802984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0AD3F32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1 1 0 3</w:t>
            </w:r>
          </w:p>
        </w:tc>
        <w:tc>
          <w:tcPr>
            <w:tcW w:w="6460" w:type="dxa"/>
            <w:tcBorders>
              <w:top w:val="nil"/>
              <w:left w:val="nil"/>
              <w:bottom w:val="single" w:sz="4" w:space="0" w:color="auto"/>
              <w:right w:val="single" w:sz="4" w:space="0" w:color="auto"/>
            </w:tcBorders>
            <w:shd w:val="clear" w:color="auto" w:fill="auto"/>
            <w:vAlign w:val="center"/>
          </w:tcPr>
          <w:p w14:paraId="0022E7A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Social security cover</w:t>
            </w:r>
          </w:p>
        </w:tc>
        <w:tc>
          <w:tcPr>
            <w:tcW w:w="1900" w:type="dxa"/>
            <w:tcBorders>
              <w:top w:val="nil"/>
              <w:left w:val="nil"/>
              <w:bottom w:val="single" w:sz="4" w:space="0" w:color="auto"/>
              <w:right w:val="single" w:sz="4" w:space="0" w:color="auto"/>
            </w:tcBorders>
            <w:shd w:val="clear" w:color="auto" w:fill="auto"/>
            <w:vAlign w:val="center"/>
          </w:tcPr>
          <w:p w14:paraId="561E6B2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227 000</w:t>
            </w:r>
          </w:p>
        </w:tc>
      </w:tr>
      <w:tr w:rsidR="00C55629" w:rsidRPr="00C55629" w14:paraId="713BECE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4699D35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1 1 0 4</w:t>
            </w:r>
          </w:p>
        </w:tc>
        <w:tc>
          <w:tcPr>
            <w:tcW w:w="6460" w:type="dxa"/>
            <w:tcBorders>
              <w:top w:val="nil"/>
              <w:left w:val="nil"/>
              <w:bottom w:val="single" w:sz="4" w:space="0" w:color="auto"/>
              <w:right w:val="single" w:sz="4" w:space="0" w:color="auto"/>
            </w:tcBorders>
            <w:shd w:val="clear" w:color="auto" w:fill="auto"/>
          </w:tcPr>
          <w:p w14:paraId="164D4C6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Salary weightings</w:t>
            </w:r>
          </w:p>
        </w:tc>
        <w:tc>
          <w:tcPr>
            <w:tcW w:w="1900" w:type="dxa"/>
            <w:tcBorders>
              <w:top w:val="nil"/>
              <w:left w:val="nil"/>
              <w:bottom w:val="single" w:sz="4" w:space="0" w:color="auto"/>
              <w:right w:val="single" w:sz="4" w:space="0" w:color="auto"/>
            </w:tcBorders>
            <w:shd w:val="clear" w:color="auto" w:fill="auto"/>
            <w:vAlign w:val="center"/>
          </w:tcPr>
          <w:p w14:paraId="2E78F42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4 000</w:t>
            </w:r>
          </w:p>
        </w:tc>
      </w:tr>
      <w:tr w:rsidR="00C55629" w:rsidRPr="00C55629" w14:paraId="07FEAD7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22FC97F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1 1 0 7</w:t>
            </w:r>
          </w:p>
        </w:tc>
        <w:tc>
          <w:tcPr>
            <w:tcW w:w="6460" w:type="dxa"/>
            <w:tcBorders>
              <w:top w:val="nil"/>
              <w:left w:val="nil"/>
              <w:bottom w:val="single" w:sz="4" w:space="0" w:color="auto"/>
              <w:right w:val="single" w:sz="4" w:space="0" w:color="auto"/>
            </w:tcBorders>
            <w:shd w:val="clear" w:color="auto" w:fill="auto"/>
            <w:vAlign w:val="center"/>
          </w:tcPr>
          <w:p w14:paraId="4F5D9E3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Annual adjustment of the remuneration</w:t>
            </w:r>
          </w:p>
        </w:tc>
        <w:tc>
          <w:tcPr>
            <w:tcW w:w="1900" w:type="dxa"/>
            <w:tcBorders>
              <w:top w:val="nil"/>
              <w:left w:val="nil"/>
              <w:bottom w:val="single" w:sz="4" w:space="0" w:color="auto"/>
              <w:right w:val="single" w:sz="4" w:space="0" w:color="auto"/>
            </w:tcBorders>
            <w:shd w:val="clear" w:color="auto" w:fill="auto"/>
            <w:vAlign w:val="center"/>
          </w:tcPr>
          <w:p w14:paraId="558C720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2 120 000</w:t>
            </w:r>
          </w:p>
        </w:tc>
      </w:tr>
      <w:tr w:rsidR="00C55629" w:rsidRPr="00C55629" w14:paraId="0477688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50526A6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1 1 1 0</w:t>
            </w:r>
          </w:p>
        </w:tc>
        <w:tc>
          <w:tcPr>
            <w:tcW w:w="6460" w:type="dxa"/>
            <w:tcBorders>
              <w:top w:val="nil"/>
              <w:left w:val="nil"/>
              <w:bottom w:val="single" w:sz="4" w:space="0" w:color="auto"/>
              <w:right w:val="single" w:sz="4" w:space="0" w:color="auto"/>
            </w:tcBorders>
            <w:shd w:val="clear" w:color="auto" w:fill="auto"/>
            <w:vAlign w:val="center"/>
          </w:tcPr>
          <w:p w14:paraId="04C9C58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Allowances in the event of retirement in the interests of the service</w:t>
            </w:r>
          </w:p>
        </w:tc>
        <w:tc>
          <w:tcPr>
            <w:tcW w:w="1900" w:type="dxa"/>
            <w:tcBorders>
              <w:top w:val="nil"/>
              <w:left w:val="nil"/>
              <w:bottom w:val="single" w:sz="4" w:space="0" w:color="auto"/>
              <w:right w:val="single" w:sz="4" w:space="0" w:color="auto"/>
            </w:tcBorders>
            <w:shd w:val="clear" w:color="auto" w:fill="auto"/>
            <w:vAlign w:val="center"/>
          </w:tcPr>
          <w:p w14:paraId="4BAB44B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56 000</w:t>
            </w:r>
          </w:p>
        </w:tc>
      </w:tr>
      <w:tr w:rsidR="00C55629" w:rsidRPr="00C55629" w14:paraId="4C9C657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73F1292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tcPr>
          <w:p w14:paraId="05C3B20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w:t>
            </w:r>
          </w:p>
        </w:tc>
        <w:tc>
          <w:tcPr>
            <w:tcW w:w="1900" w:type="dxa"/>
            <w:tcBorders>
              <w:top w:val="nil"/>
              <w:left w:val="nil"/>
              <w:bottom w:val="single" w:sz="4" w:space="0" w:color="auto"/>
              <w:right w:val="single" w:sz="4" w:space="0" w:color="auto"/>
            </w:tcBorders>
            <w:shd w:val="clear" w:color="auto" w:fill="auto"/>
            <w:vAlign w:val="center"/>
          </w:tcPr>
          <w:p w14:paraId="3F9184B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300 000</w:t>
            </w:r>
          </w:p>
        </w:tc>
      </w:tr>
      <w:tr w:rsidR="00C55629" w:rsidRPr="00C55629" w14:paraId="0371D25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26ECBCE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1 2 0 1</w:t>
            </w:r>
          </w:p>
        </w:tc>
        <w:tc>
          <w:tcPr>
            <w:tcW w:w="6460" w:type="dxa"/>
            <w:tcBorders>
              <w:top w:val="nil"/>
              <w:left w:val="nil"/>
              <w:bottom w:val="single" w:sz="4" w:space="0" w:color="auto"/>
              <w:right w:val="single" w:sz="4" w:space="0" w:color="auto"/>
            </w:tcBorders>
            <w:shd w:val="clear" w:color="auto" w:fill="auto"/>
          </w:tcPr>
          <w:p w14:paraId="6316BDE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National experts on secondment</w:t>
            </w:r>
          </w:p>
        </w:tc>
        <w:tc>
          <w:tcPr>
            <w:tcW w:w="1900" w:type="dxa"/>
            <w:tcBorders>
              <w:top w:val="nil"/>
              <w:left w:val="nil"/>
              <w:bottom w:val="single" w:sz="4" w:space="0" w:color="auto"/>
              <w:right w:val="single" w:sz="4" w:space="0" w:color="auto"/>
            </w:tcBorders>
            <w:shd w:val="clear" w:color="auto" w:fill="auto"/>
          </w:tcPr>
          <w:p w14:paraId="7A7F5F2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35 000</w:t>
            </w:r>
          </w:p>
        </w:tc>
      </w:tr>
      <w:tr w:rsidR="00C55629" w:rsidRPr="00C55629" w14:paraId="224A0AC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409EA9D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1 2 0 2</w:t>
            </w:r>
          </w:p>
        </w:tc>
        <w:tc>
          <w:tcPr>
            <w:tcW w:w="6460" w:type="dxa"/>
            <w:tcBorders>
              <w:top w:val="nil"/>
              <w:left w:val="nil"/>
              <w:bottom w:val="single" w:sz="4" w:space="0" w:color="auto"/>
              <w:right w:val="single" w:sz="4" w:space="0" w:color="auto"/>
            </w:tcBorders>
            <w:shd w:val="clear" w:color="auto" w:fill="auto"/>
          </w:tcPr>
          <w:p w14:paraId="21E7A32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Traineeships</w:t>
            </w:r>
          </w:p>
        </w:tc>
        <w:tc>
          <w:tcPr>
            <w:tcW w:w="1900" w:type="dxa"/>
            <w:tcBorders>
              <w:top w:val="nil"/>
              <w:left w:val="nil"/>
              <w:bottom w:val="single" w:sz="4" w:space="0" w:color="auto"/>
              <w:right w:val="single" w:sz="4" w:space="0" w:color="auto"/>
            </w:tcBorders>
            <w:shd w:val="clear" w:color="auto" w:fill="auto"/>
          </w:tcPr>
          <w:p w14:paraId="4E6C0D6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23 000</w:t>
            </w:r>
          </w:p>
        </w:tc>
      </w:tr>
      <w:tr w:rsidR="00C55629" w:rsidRPr="00C55629" w14:paraId="617EF0C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0D8BFAD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1 2 0 7</w:t>
            </w:r>
          </w:p>
        </w:tc>
        <w:tc>
          <w:tcPr>
            <w:tcW w:w="6460" w:type="dxa"/>
            <w:tcBorders>
              <w:top w:val="nil"/>
              <w:left w:val="nil"/>
              <w:bottom w:val="single" w:sz="4" w:space="0" w:color="auto"/>
              <w:right w:val="single" w:sz="4" w:space="0" w:color="auto"/>
            </w:tcBorders>
            <w:shd w:val="clear" w:color="auto" w:fill="auto"/>
            <w:vAlign w:val="center"/>
          </w:tcPr>
          <w:p w14:paraId="4E21CFD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Annual adjustment of the remuneration</w:t>
            </w:r>
          </w:p>
        </w:tc>
        <w:tc>
          <w:tcPr>
            <w:tcW w:w="1900" w:type="dxa"/>
            <w:tcBorders>
              <w:top w:val="nil"/>
              <w:left w:val="nil"/>
              <w:bottom w:val="single" w:sz="4" w:space="0" w:color="auto"/>
              <w:right w:val="single" w:sz="4" w:space="0" w:color="auto"/>
            </w:tcBorders>
            <w:shd w:val="clear" w:color="auto" w:fill="auto"/>
            <w:vAlign w:val="center"/>
          </w:tcPr>
          <w:p w14:paraId="022F0928"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67 000</w:t>
            </w:r>
          </w:p>
        </w:tc>
      </w:tr>
      <w:tr w:rsidR="00C55629" w:rsidRPr="00C55629" w14:paraId="0EFC161C"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E84422"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II</w:t>
            </w:r>
          </w:p>
        </w:tc>
        <w:tc>
          <w:tcPr>
            <w:tcW w:w="1900" w:type="dxa"/>
            <w:tcBorders>
              <w:top w:val="nil"/>
              <w:left w:val="nil"/>
              <w:bottom w:val="single" w:sz="4" w:space="0" w:color="auto"/>
              <w:right w:val="single" w:sz="4" w:space="0" w:color="auto"/>
            </w:tcBorders>
            <w:shd w:val="clear" w:color="auto" w:fill="auto"/>
            <w:vAlign w:val="center"/>
          </w:tcPr>
          <w:p w14:paraId="328AB986"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10 157 621</w:t>
            </w:r>
          </w:p>
        </w:tc>
      </w:tr>
      <w:tr w:rsidR="00C55629" w:rsidRPr="00C55629" w14:paraId="511CC10D"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77E8EE22"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III - Commission</w:t>
            </w:r>
          </w:p>
        </w:tc>
        <w:tc>
          <w:tcPr>
            <w:tcW w:w="1900" w:type="dxa"/>
            <w:tcBorders>
              <w:top w:val="nil"/>
              <w:left w:val="single" w:sz="4" w:space="0" w:color="auto"/>
              <w:bottom w:val="single" w:sz="4" w:space="0" w:color="auto"/>
              <w:right w:val="single" w:sz="4" w:space="0" w:color="auto"/>
            </w:tcBorders>
            <w:shd w:val="clear" w:color="auto" w:fill="F2F2F2"/>
            <w:vAlign w:val="center"/>
            <w:hideMark/>
          </w:tcPr>
          <w:p w14:paraId="3E0496DF"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0460E7D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5726F9F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20 01 01 01</w:t>
            </w:r>
          </w:p>
        </w:tc>
        <w:tc>
          <w:tcPr>
            <w:tcW w:w="6460" w:type="dxa"/>
            <w:tcBorders>
              <w:top w:val="nil"/>
              <w:left w:val="nil"/>
              <w:bottom w:val="single" w:sz="4" w:space="0" w:color="auto"/>
              <w:right w:val="single" w:sz="4" w:space="0" w:color="auto"/>
            </w:tcBorders>
            <w:shd w:val="clear" w:color="auto" w:fill="auto"/>
            <w:vAlign w:val="center"/>
          </w:tcPr>
          <w:p w14:paraId="0D508EA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Salaries, allowances and payments of Members of the institution</w:t>
            </w:r>
          </w:p>
        </w:tc>
        <w:tc>
          <w:tcPr>
            <w:tcW w:w="1900" w:type="dxa"/>
            <w:tcBorders>
              <w:top w:val="nil"/>
              <w:left w:val="nil"/>
              <w:bottom w:val="single" w:sz="4" w:space="0" w:color="auto"/>
              <w:right w:val="single" w:sz="4" w:space="0" w:color="auto"/>
            </w:tcBorders>
            <w:shd w:val="clear" w:color="auto" w:fill="auto"/>
            <w:vAlign w:val="center"/>
          </w:tcPr>
          <w:p w14:paraId="667DD4F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307 000</w:t>
            </w:r>
          </w:p>
        </w:tc>
      </w:tr>
      <w:tr w:rsidR="00C55629" w:rsidRPr="00C55629" w14:paraId="109DB46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4AA2B1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20 01 01 03</w:t>
            </w:r>
          </w:p>
        </w:tc>
        <w:tc>
          <w:tcPr>
            <w:tcW w:w="6460" w:type="dxa"/>
            <w:tcBorders>
              <w:top w:val="nil"/>
              <w:left w:val="nil"/>
              <w:bottom w:val="single" w:sz="4" w:space="0" w:color="auto"/>
              <w:right w:val="single" w:sz="4" w:space="0" w:color="auto"/>
            </w:tcBorders>
            <w:shd w:val="clear" w:color="auto" w:fill="auto"/>
            <w:vAlign w:val="center"/>
          </w:tcPr>
          <w:p w14:paraId="5F432BD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Allowances of former Members</w:t>
            </w:r>
          </w:p>
        </w:tc>
        <w:tc>
          <w:tcPr>
            <w:tcW w:w="1900" w:type="dxa"/>
            <w:tcBorders>
              <w:top w:val="nil"/>
              <w:left w:val="nil"/>
              <w:bottom w:val="single" w:sz="4" w:space="0" w:color="auto"/>
              <w:right w:val="single" w:sz="4" w:space="0" w:color="auto"/>
            </w:tcBorders>
            <w:shd w:val="clear" w:color="auto" w:fill="auto"/>
            <w:vAlign w:val="center"/>
          </w:tcPr>
          <w:p w14:paraId="2EF5392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101 000</w:t>
            </w:r>
          </w:p>
        </w:tc>
      </w:tr>
      <w:tr w:rsidR="00C55629" w:rsidRPr="00C55629" w14:paraId="448295A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D1DBDB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20 01 02 01</w:t>
            </w:r>
          </w:p>
        </w:tc>
        <w:tc>
          <w:tcPr>
            <w:tcW w:w="6460" w:type="dxa"/>
            <w:tcBorders>
              <w:top w:val="nil"/>
              <w:left w:val="nil"/>
              <w:bottom w:val="single" w:sz="4" w:space="0" w:color="auto"/>
              <w:right w:val="single" w:sz="4" w:space="0" w:color="auto"/>
            </w:tcBorders>
            <w:shd w:val="clear" w:color="auto" w:fill="auto"/>
            <w:vAlign w:val="center"/>
            <w:hideMark/>
          </w:tcPr>
          <w:p w14:paraId="4903CC1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 - Headquarters &amp; Representation offices</w:t>
            </w:r>
          </w:p>
        </w:tc>
        <w:tc>
          <w:tcPr>
            <w:tcW w:w="1900" w:type="dxa"/>
            <w:tcBorders>
              <w:top w:val="nil"/>
              <w:left w:val="nil"/>
              <w:bottom w:val="single" w:sz="4" w:space="0" w:color="auto"/>
              <w:right w:val="single" w:sz="4" w:space="0" w:color="auto"/>
            </w:tcBorders>
            <w:shd w:val="clear" w:color="auto" w:fill="auto"/>
            <w:vAlign w:val="center"/>
          </w:tcPr>
          <w:p w14:paraId="31B9EB3F"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61 672 000</w:t>
            </w:r>
          </w:p>
        </w:tc>
      </w:tr>
      <w:tr w:rsidR="00C55629" w:rsidRPr="00C55629" w14:paraId="35293EA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0B3B8E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20 01 02 02</w:t>
            </w:r>
          </w:p>
        </w:tc>
        <w:tc>
          <w:tcPr>
            <w:tcW w:w="6460" w:type="dxa"/>
            <w:tcBorders>
              <w:top w:val="nil"/>
              <w:left w:val="nil"/>
              <w:bottom w:val="single" w:sz="4" w:space="0" w:color="auto"/>
              <w:right w:val="single" w:sz="4" w:space="0" w:color="auto"/>
            </w:tcBorders>
            <w:shd w:val="clear" w:color="auto" w:fill="auto"/>
            <w:vAlign w:val="center"/>
            <w:hideMark/>
          </w:tcPr>
          <w:p w14:paraId="69C9473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transfers and termination of service — Headquarters and Representation offices</w:t>
            </w:r>
          </w:p>
        </w:tc>
        <w:tc>
          <w:tcPr>
            <w:tcW w:w="1900" w:type="dxa"/>
            <w:tcBorders>
              <w:top w:val="nil"/>
              <w:left w:val="nil"/>
              <w:bottom w:val="single" w:sz="4" w:space="0" w:color="auto"/>
              <w:right w:val="single" w:sz="4" w:space="0" w:color="auto"/>
            </w:tcBorders>
            <w:shd w:val="clear" w:color="auto" w:fill="auto"/>
            <w:vAlign w:val="center"/>
          </w:tcPr>
          <w:p w14:paraId="69BDE5E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337 000</w:t>
            </w:r>
          </w:p>
        </w:tc>
      </w:tr>
      <w:tr w:rsidR="00C55629" w:rsidRPr="00C55629" w14:paraId="49D5E09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0A55A34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20 01 02 03</w:t>
            </w:r>
          </w:p>
        </w:tc>
        <w:tc>
          <w:tcPr>
            <w:tcW w:w="6460" w:type="dxa"/>
            <w:tcBorders>
              <w:top w:val="nil"/>
              <w:left w:val="nil"/>
              <w:bottom w:val="single" w:sz="4" w:space="0" w:color="auto"/>
              <w:right w:val="single" w:sz="4" w:space="0" w:color="auto"/>
            </w:tcBorders>
            <w:shd w:val="clear" w:color="auto" w:fill="auto"/>
            <w:vAlign w:val="center"/>
          </w:tcPr>
          <w:p w14:paraId="1265920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 - Union delegations</w:t>
            </w:r>
          </w:p>
        </w:tc>
        <w:tc>
          <w:tcPr>
            <w:tcW w:w="1900" w:type="dxa"/>
            <w:tcBorders>
              <w:top w:val="nil"/>
              <w:left w:val="nil"/>
              <w:bottom w:val="single" w:sz="4" w:space="0" w:color="auto"/>
              <w:right w:val="single" w:sz="4" w:space="0" w:color="auto"/>
            </w:tcBorders>
            <w:shd w:val="clear" w:color="auto" w:fill="auto"/>
            <w:vAlign w:val="center"/>
          </w:tcPr>
          <w:p w14:paraId="5D9F784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3 477 000</w:t>
            </w:r>
          </w:p>
        </w:tc>
      </w:tr>
      <w:tr w:rsidR="00C55629" w:rsidRPr="00C55629" w14:paraId="6B3C84B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D15951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20 01 02 04</w:t>
            </w:r>
          </w:p>
        </w:tc>
        <w:tc>
          <w:tcPr>
            <w:tcW w:w="6460" w:type="dxa"/>
            <w:tcBorders>
              <w:top w:val="nil"/>
              <w:left w:val="nil"/>
              <w:bottom w:val="single" w:sz="4" w:space="0" w:color="auto"/>
              <w:right w:val="single" w:sz="4" w:space="0" w:color="auto"/>
            </w:tcBorders>
            <w:shd w:val="clear" w:color="auto" w:fill="auto"/>
            <w:vAlign w:val="center"/>
            <w:hideMark/>
          </w:tcPr>
          <w:p w14:paraId="3005487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transfers and termination of service — Union delegations</w:t>
            </w:r>
          </w:p>
        </w:tc>
        <w:tc>
          <w:tcPr>
            <w:tcW w:w="1900" w:type="dxa"/>
            <w:tcBorders>
              <w:top w:val="nil"/>
              <w:left w:val="nil"/>
              <w:bottom w:val="single" w:sz="4" w:space="0" w:color="auto"/>
              <w:right w:val="single" w:sz="4" w:space="0" w:color="auto"/>
            </w:tcBorders>
            <w:shd w:val="clear" w:color="auto" w:fill="auto"/>
            <w:vAlign w:val="center"/>
          </w:tcPr>
          <w:p w14:paraId="55BA683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65 000</w:t>
            </w:r>
          </w:p>
        </w:tc>
      </w:tr>
      <w:tr w:rsidR="00C55629" w:rsidRPr="00C55629" w14:paraId="1EE25A3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0BBBEA3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20 01 04</w:t>
            </w:r>
          </w:p>
        </w:tc>
        <w:tc>
          <w:tcPr>
            <w:tcW w:w="6460" w:type="dxa"/>
            <w:tcBorders>
              <w:top w:val="nil"/>
              <w:left w:val="nil"/>
              <w:bottom w:val="single" w:sz="4" w:space="0" w:color="auto"/>
              <w:right w:val="single" w:sz="4" w:space="0" w:color="auto"/>
            </w:tcBorders>
            <w:shd w:val="clear" w:color="auto" w:fill="auto"/>
            <w:vAlign w:val="center"/>
          </w:tcPr>
          <w:p w14:paraId="431557D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Officials in non-active status, retired in interests of service or dismissed</w:t>
            </w:r>
          </w:p>
        </w:tc>
        <w:tc>
          <w:tcPr>
            <w:tcW w:w="1900" w:type="dxa"/>
            <w:tcBorders>
              <w:top w:val="nil"/>
              <w:left w:val="nil"/>
              <w:bottom w:val="single" w:sz="4" w:space="0" w:color="auto"/>
              <w:right w:val="single" w:sz="4" w:space="0" w:color="auto"/>
            </w:tcBorders>
            <w:shd w:val="clear" w:color="auto" w:fill="auto"/>
            <w:vAlign w:val="center"/>
          </w:tcPr>
          <w:p w14:paraId="24D873E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172 000</w:t>
            </w:r>
          </w:p>
        </w:tc>
      </w:tr>
      <w:tr w:rsidR="00C55629" w:rsidRPr="00C55629" w14:paraId="37178D8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CAC349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20 02 01 01</w:t>
            </w:r>
          </w:p>
        </w:tc>
        <w:tc>
          <w:tcPr>
            <w:tcW w:w="6460" w:type="dxa"/>
            <w:tcBorders>
              <w:top w:val="nil"/>
              <w:left w:val="nil"/>
              <w:bottom w:val="single" w:sz="4" w:space="0" w:color="auto"/>
              <w:right w:val="single" w:sz="4" w:space="0" w:color="auto"/>
            </w:tcBorders>
            <w:shd w:val="clear" w:color="auto" w:fill="auto"/>
            <w:vAlign w:val="center"/>
          </w:tcPr>
          <w:p w14:paraId="256A76A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Contract staff</w:t>
            </w:r>
          </w:p>
        </w:tc>
        <w:tc>
          <w:tcPr>
            <w:tcW w:w="1900" w:type="dxa"/>
            <w:tcBorders>
              <w:top w:val="nil"/>
              <w:left w:val="nil"/>
              <w:bottom w:val="single" w:sz="4" w:space="0" w:color="auto"/>
              <w:right w:val="single" w:sz="4" w:space="0" w:color="auto"/>
            </w:tcBorders>
            <w:shd w:val="clear" w:color="auto" w:fill="auto"/>
            <w:vAlign w:val="center"/>
          </w:tcPr>
          <w:p w14:paraId="00577B08"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2 332 619</w:t>
            </w:r>
          </w:p>
        </w:tc>
      </w:tr>
      <w:tr w:rsidR="00C55629" w:rsidRPr="00C55629" w14:paraId="21C6C6F8"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D9CCFD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20 02 01 02</w:t>
            </w:r>
          </w:p>
        </w:tc>
        <w:tc>
          <w:tcPr>
            <w:tcW w:w="6460" w:type="dxa"/>
            <w:tcBorders>
              <w:top w:val="nil"/>
              <w:left w:val="nil"/>
              <w:bottom w:val="single" w:sz="4" w:space="0" w:color="auto"/>
              <w:right w:val="single" w:sz="4" w:space="0" w:color="auto"/>
            </w:tcBorders>
            <w:shd w:val="clear" w:color="auto" w:fill="auto"/>
            <w:vAlign w:val="center"/>
          </w:tcPr>
          <w:p w14:paraId="23DED0B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Agency staff and technical and administrative assistance in support of different activities</w:t>
            </w:r>
          </w:p>
        </w:tc>
        <w:tc>
          <w:tcPr>
            <w:tcW w:w="1900" w:type="dxa"/>
            <w:tcBorders>
              <w:top w:val="nil"/>
              <w:left w:val="nil"/>
              <w:bottom w:val="single" w:sz="4" w:space="0" w:color="auto"/>
              <w:right w:val="single" w:sz="4" w:space="0" w:color="auto"/>
            </w:tcBorders>
            <w:shd w:val="clear" w:color="auto" w:fill="auto"/>
            <w:vAlign w:val="center"/>
          </w:tcPr>
          <w:p w14:paraId="35F8B86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181 646</w:t>
            </w:r>
          </w:p>
        </w:tc>
      </w:tr>
      <w:tr w:rsidR="00C55629" w:rsidRPr="00C55629" w14:paraId="187243F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1CBEE7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20 02 01 03</w:t>
            </w:r>
          </w:p>
        </w:tc>
        <w:tc>
          <w:tcPr>
            <w:tcW w:w="6460" w:type="dxa"/>
            <w:tcBorders>
              <w:top w:val="nil"/>
              <w:left w:val="nil"/>
              <w:bottom w:val="single" w:sz="4" w:space="0" w:color="auto"/>
              <w:right w:val="single" w:sz="4" w:space="0" w:color="auto"/>
            </w:tcBorders>
            <w:shd w:val="clear" w:color="auto" w:fill="auto"/>
            <w:vAlign w:val="center"/>
          </w:tcPr>
          <w:p w14:paraId="6788F57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National civil servants temporarily assigned to the institution</w:t>
            </w:r>
          </w:p>
        </w:tc>
        <w:tc>
          <w:tcPr>
            <w:tcW w:w="1900" w:type="dxa"/>
            <w:tcBorders>
              <w:top w:val="nil"/>
              <w:left w:val="nil"/>
              <w:bottom w:val="single" w:sz="4" w:space="0" w:color="auto"/>
              <w:right w:val="single" w:sz="4" w:space="0" w:color="auto"/>
            </w:tcBorders>
            <w:shd w:val="clear" w:color="auto" w:fill="auto"/>
            <w:vAlign w:val="center"/>
          </w:tcPr>
          <w:p w14:paraId="0C3CED8F"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881 834</w:t>
            </w:r>
          </w:p>
        </w:tc>
      </w:tr>
      <w:tr w:rsidR="00C55629" w:rsidRPr="00C55629" w14:paraId="1102B48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72A548D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20 02 02 01</w:t>
            </w:r>
          </w:p>
        </w:tc>
        <w:tc>
          <w:tcPr>
            <w:tcW w:w="6460" w:type="dxa"/>
            <w:tcBorders>
              <w:top w:val="nil"/>
              <w:left w:val="nil"/>
              <w:bottom w:val="single" w:sz="4" w:space="0" w:color="auto"/>
              <w:right w:val="single" w:sz="4" w:space="0" w:color="auto"/>
            </w:tcBorders>
            <w:shd w:val="clear" w:color="auto" w:fill="auto"/>
            <w:vAlign w:val="center"/>
          </w:tcPr>
          <w:p w14:paraId="49E86D9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Contract staff</w:t>
            </w:r>
          </w:p>
        </w:tc>
        <w:tc>
          <w:tcPr>
            <w:tcW w:w="1900" w:type="dxa"/>
            <w:tcBorders>
              <w:top w:val="nil"/>
              <w:left w:val="nil"/>
              <w:bottom w:val="single" w:sz="4" w:space="0" w:color="auto"/>
              <w:right w:val="single" w:sz="4" w:space="0" w:color="auto"/>
            </w:tcBorders>
            <w:shd w:val="clear" w:color="auto" w:fill="auto"/>
            <w:vAlign w:val="center"/>
          </w:tcPr>
          <w:p w14:paraId="74C0517A"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473 018</w:t>
            </w:r>
          </w:p>
        </w:tc>
      </w:tr>
      <w:tr w:rsidR="00C55629" w:rsidRPr="00C55629" w14:paraId="4EC11BB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2FD5492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20 02 03 01</w:t>
            </w:r>
          </w:p>
        </w:tc>
        <w:tc>
          <w:tcPr>
            <w:tcW w:w="6460" w:type="dxa"/>
            <w:tcBorders>
              <w:top w:val="nil"/>
              <w:left w:val="nil"/>
              <w:bottom w:val="single" w:sz="4" w:space="0" w:color="auto"/>
              <w:right w:val="single" w:sz="4" w:space="0" w:color="auto"/>
            </w:tcBorders>
            <w:shd w:val="clear" w:color="auto" w:fill="auto"/>
            <w:vAlign w:val="center"/>
          </w:tcPr>
          <w:p w14:paraId="2465604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Contract staff</w:t>
            </w:r>
          </w:p>
        </w:tc>
        <w:tc>
          <w:tcPr>
            <w:tcW w:w="1900" w:type="dxa"/>
            <w:tcBorders>
              <w:top w:val="nil"/>
              <w:left w:val="nil"/>
              <w:bottom w:val="single" w:sz="4" w:space="0" w:color="auto"/>
              <w:right w:val="single" w:sz="4" w:space="0" w:color="auto"/>
            </w:tcBorders>
            <w:shd w:val="clear" w:color="auto" w:fill="auto"/>
            <w:vAlign w:val="center"/>
          </w:tcPr>
          <w:p w14:paraId="602A385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17 000</w:t>
            </w:r>
          </w:p>
        </w:tc>
      </w:tr>
      <w:tr w:rsidR="00C55629" w:rsidRPr="00C55629" w14:paraId="18E5AC40"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150B30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20 02 04</w:t>
            </w:r>
          </w:p>
        </w:tc>
        <w:tc>
          <w:tcPr>
            <w:tcW w:w="6460" w:type="dxa"/>
            <w:tcBorders>
              <w:top w:val="nil"/>
              <w:left w:val="nil"/>
              <w:bottom w:val="single" w:sz="4" w:space="0" w:color="auto"/>
              <w:right w:val="single" w:sz="4" w:space="0" w:color="auto"/>
            </w:tcBorders>
            <w:shd w:val="clear" w:color="auto" w:fill="auto"/>
            <w:vAlign w:val="center"/>
          </w:tcPr>
          <w:p w14:paraId="6FF0662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Cost of organising graduate traineeships with the institution</w:t>
            </w:r>
          </w:p>
        </w:tc>
        <w:tc>
          <w:tcPr>
            <w:tcW w:w="1900" w:type="dxa"/>
            <w:tcBorders>
              <w:top w:val="nil"/>
              <w:left w:val="nil"/>
              <w:bottom w:val="single" w:sz="4" w:space="0" w:color="auto"/>
              <w:right w:val="single" w:sz="4" w:space="0" w:color="auto"/>
            </w:tcBorders>
            <w:shd w:val="clear" w:color="auto" w:fill="auto"/>
            <w:vAlign w:val="center"/>
          </w:tcPr>
          <w:p w14:paraId="748B23B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185 000</w:t>
            </w:r>
          </w:p>
        </w:tc>
      </w:tr>
      <w:tr w:rsidR="00C55629" w:rsidRPr="00C55629" w14:paraId="7FC2279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E0DD07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20 02 05</w:t>
            </w:r>
          </w:p>
        </w:tc>
        <w:tc>
          <w:tcPr>
            <w:tcW w:w="6460" w:type="dxa"/>
            <w:tcBorders>
              <w:top w:val="nil"/>
              <w:left w:val="nil"/>
              <w:bottom w:val="single" w:sz="4" w:space="0" w:color="auto"/>
              <w:right w:val="single" w:sz="4" w:space="0" w:color="auto"/>
            </w:tcBorders>
            <w:shd w:val="clear" w:color="auto" w:fill="auto"/>
            <w:vAlign w:val="center"/>
          </w:tcPr>
          <w:p w14:paraId="33034E6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Special advisers</w:t>
            </w:r>
          </w:p>
        </w:tc>
        <w:tc>
          <w:tcPr>
            <w:tcW w:w="1900" w:type="dxa"/>
            <w:tcBorders>
              <w:top w:val="nil"/>
              <w:left w:val="nil"/>
              <w:bottom w:val="single" w:sz="4" w:space="0" w:color="auto"/>
              <w:right w:val="single" w:sz="4" w:space="0" w:color="auto"/>
            </w:tcBorders>
            <w:shd w:val="clear" w:color="auto" w:fill="auto"/>
            <w:vAlign w:val="center"/>
          </w:tcPr>
          <w:p w14:paraId="20E4ACB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21 000</w:t>
            </w:r>
          </w:p>
        </w:tc>
      </w:tr>
      <w:tr w:rsidR="00C55629" w:rsidRPr="00C55629" w14:paraId="64A11A8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675C08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20 03 15 01</w:t>
            </w:r>
          </w:p>
        </w:tc>
        <w:tc>
          <w:tcPr>
            <w:tcW w:w="6460" w:type="dxa"/>
            <w:tcBorders>
              <w:top w:val="nil"/>
              <w:left w:val="nil"/>
              <w:bottom w:val="single" w:sz="4" w:space="0" w:color="auto"/>
              <w:right w:val="single" w:sz="4" w:space="0" w:color="auto"/>
            </w:tcBorders>
            <w:shd w:val="clear" w:color="auto" w:fill="auto"/>
            <w:vAlign w:val="center"/>
            <w:hideMark/>
          </w:tcPr>
          <w:p w14:paraId="7E67811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Publications Office</w:t>
            </w:r>
          </w:p>
        </w:tc>
        <w:tc>
          <w:tcPr>
            <w:tcW w:w="1900" w:type="dxa"/>
            <w:tcBorders>
              <w:top w:val="nil"/>
              <w:left w:val="nil"/>
              <w:bottom w:val="single" w:sz="4" w:space="0" w:color="auto"/>
              <w:right w:val="single" w:sz="4" w:space="0" w:color="auto"/>
            </w:tcBorders>
            <w:shd w:val="clear" w:color="auto" w:fill="auto"/>
            <w:vAlign w:val="center"/>
          </w:tcPr>
          <w:p w14:paraId="63D1045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1 732 000</w:t>
            </w:r>
          </w:p>
        </w:tc>
      </w:tr>
      <w:tr w:rsidR="00C55629" w:rsidRPr="00C55629" w14:paraId="0DB945A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384B15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20 03 15 02</w:t>
            </w:r>
          </w:p>
        </w:tc>
        <w:tc>
          <w:tcPr>
            <w:tcW w:w="6460" w:type="dxa"/>
            <w:tcBorders>
              <w:top w:val="nil"/>
              <w:left w:val="nil"/>
              <w:bottom w:val="single" w:sz="4" w:space="0" w:color="auto"/>
              <w:right w:val="single" w:sz="4" w:space="0" w:color="auto"/>
            </w:tcBorders>
            <w:shd w:val="clear" w:color="auto" w:fill="auto"/>
            <w:vAlign w:val="center"/>
          </w:tcPr>
          <w:p w14:paraId="64937AA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European Personnel Selection Office</w:t>
            </w:r>
          </w:p>
        </w:tc>
        <w:tc>
          <w:tcPr>
            <w:tcW w:w="1900" w:type="dxa"/>
            <w:tcBorders>
              <w:top w:val="nil"/>
              <w:left w:val="nil"/>
              <w:bottom w:val="single" w:sz="4" w:space="0" w:color="auto"/>
              <w:right w:val="single" w:sz="4" w:space="0" w:color="auto"/>
            </w:tcBorders>
            <w:shd w:val="clear" w:color="auto" w:fill="auto"/>
            <w:vAlign w:val="center"/>
          </w:tcPr>
          <w:p w14:paraId="08D5D0D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366 000</w:t>
            </w:r>
          </w:p>
        </w:tc>
      </w:tr>
      <w:tr w:rsidR="00C55629" w:rsidRPr="00C55629" w14:paraId="063D6CA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17B131E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20 03 16 01</w:t>
            </w:r>
          </w:p>
        </w:tc>
        <w:tc>
          <w:tcPr>
            <w:tcW w:w="6460" w:type="dxa"/>
            <w:tcBorders>
              <w:top w:val="nil"/>
              <w:left w:val="nil"/>
              <w:bottom w:val="single" w:sz="4" w:space="0" w:color="auto"/>
              <w:right w:val="single" w:sz="4" w:space="0" w:color="auto"/>
            </w:tcBorders>
            <w:shd w:val="clear" w:color="auto" w:fill="auto"/>
            <w:vAlign w:val="center"/>
          </w:tcPr>
          <w:p w14:paraId="03D4C49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Office for the Administration and Payment of Individual Entitlements</w:t>
            </w:r>
          </w:p>
        </w:tc>
        <w:tc>
          <w:tcPr>
            <w:tcW w:w="1900" w:type="dxa"/>
            <w:tcBorders>
              <w:top w:val="nil"/>
              <w:left w:val="nil"/>
              <w:bottom w:val="single" w:sz="4" w:space="0" w:color="auto"/>
              <w:right w:val="single" w:sz="4" w:space="0" w:color="auto"/>
            </w:tcBorders>
            <w:shd w:val="clear" w:color="auto" w:fill="auto"/>
            <w:vAlign w:val="center"/>
          </w:tcPr>
          <w:p w14:paraId="14867B8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1 113 000</w:t>
            </w:r>
          </w:p>
        </w:tc>
      </w:tr>
      <w:tr w:rsidR="00C55629" w:rsidRPr="00C55629" w14:paraId="0C80C6A5" w14:textId="77777777" w:rsidTr="0028479A">
        <w:trPr>
          <w:trHeight w:val="381"/>
        </w:trPr>
        <w:tc>
          <w:tcPr>
            <w:tcW w:w="1600" w:type="dxa"/>
            <w:tcBorders>
              <w:top w:val="nil"/>
              <w:left w:val="single" w:sz="4" w:space="0" w:color="auto"/>
              <w:bottom w:val="single" w:sz="4" w:space="0" w:color="auto"/>
              <w:right w:val="single" w:sz="4" w:space="0" w:color="auto"/>
            </w:tcBorders>
            <w:shd w:val="clear" w:color="auto" w:fill="auto"/>
            <w:vAlign w:val="center"/>
          </w:tcPr>
          <w:p w14:paraId="7D7E9D4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20 03 16 02</w:t>
            </w:r>
          </w:p>
        </w:tc>
        <w:tc>
          <w:tcPr>
            <w:tcW w:w="6460" w:type="dxa"/>
            <w:tcBorders>
              <w:top w:val="nil"/>
              <w:left w:val="nil"/>
              <w:bottom w:val="single" w:sz="4" w:space="0" w:color="auto"/>
              <w:right w:val="single" w:sz="4" w:space="0" w:color="auto"/>
            </w:tcBorders>
            <w:shd w:val="clear" w:color="auto" w:fill="auto"/>
            <w:vAlign w:val="center"/>
          </w:tcPr>
          <w:p w14:paraId="7D65BA9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Office for Infrastructure and Logistics in Brussels</w:t>
            </w:r>
          </w:p>
        </w:tc>
        <w:tc>
          <w:tcPr>
            <w:tcW w:w="1900" w:type="dxa"/>
            <w:tcBorders>
              <w:top w:val="nil"/>
              <w:left w:val="nil"/>
              <w:bottom w:val="single" w:sz="4" w:space="0" w:color="auto"/>
              <w:right w:val="single" w:sz="4" w:space="0" w:color="auto"/>
            </w:tcBorders>
            <w:shd w:val="clear" w:color="auto" w:fill="auto"/>
            <w:vAlign w:val="center"/>
          </w:tcPr>
          <w:p w14:paraId="42B3F31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2 141 000</w:t>
            </w:r>
          </w:p>
        </w:tc>
      </w:tr>
      <w:tr w:rsidR="00C55629" w:rsidRPr="00C55629" w14:paraId="785DE328"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35157E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20 03 16 03</w:t>
            </w:r>
          </w:p>
        </w:tc>
        <w:tc>
          <w:tcPr>
            <w:tcW w:w="6460" w:type="dxa"/>
            <w:tcBorders>
              <w:top w:val="nil"/>
              <w:left w:val="nil"/>
              <w:bottom w:val="single" w:sz="4" w:space="0" w:color="auto"/>
              <w:right w:val="single" w:sz="4" w:space="0" w:color="auto"/>
            </w:tcBorders>
            <w:shd w:val="clear" w:color="auto" w:fill="auto"/>
            <w:vAlign w:val="center"/>
          </w:tcPr>
          <w:p w14:paraId="22A5CFA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Office for Infrastructure and Logistics in Luxembourg</w:t>
            </w:r>
          </w:p>
        </w:tc>
        <w:tc>
          <w:tcPr>
            <w:tcW w:w="1900" w:type="dxa"/>
            <w:tcBorders>
              <w:top w:val="nil"/>
              <w:left w:val="nil"/>
              <w:bottom w:val="single" w:sz="4" w:space="0" w:color="auto"/>
              <w:right w:val="single" w:sz="4" w:space="0" w:color="auto"/>
            </w:tcBorders>
            <w:shd w:val="clear" w:color="auto" w:fill="auto"/>
            <w:vAlign w:val="center"/>
          </w:tcPr>
          <w:p w14:paraId="4E1AE20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543 000</w:t>
            </w:r>
          </w:p>
        </w:tc>
      </w:tr>
      <w:tr w:rsidR="00C55629" w:rsidRPr="00C55629" w14:paraId="0B71F2F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4E073B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20 03 17</w:t>
            </w:r>
          </w:p>
        </w:tc>
        <w:tc>
          <w:tcPr>
            <w:tcW w:w="6460" w:type="dxa"/>
            <w:tcBorders>
              <w:top w:val="nil"/>
              <w:left w:val="nil"/>
              <w:bottom w:val="single" w:sz="4" w:space="0" w:color="auto"/>
              <w:right w:val="single" w:sz="4" w:space="0" w:color="auto"/>
            </w:tcBorders>
            <w:shd w:val="clear" w:color="auto" w:fill="auto"/>
            <w:vAlign w:val="center"/>
          </w:tcPr>
          <w:p w14:paraId="71C3E27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European Anti-Fraud Office</w:t>
            </w:r>
          </w:p>
        </w:tc>
        <w:tc>
          <w:tcPr>
            <w:tcW w:w="1900" w:type="dxa"/>
            <w:tcBorders>
              <w:top w:val="nil"/>
              <w:left w:val="nil"/>
              <w:bottom w:val="single" w:sz="4" w:space="0" w:color="auto"/>
              <w:right w:val="single" w:sz="4" w:space="0" w:color="auto"/>
            </w:tcBorders>
            <w:shd w:val="clear" w:color="auto" w:fill="auto"/>
            <w:vAlign w:val="center"/>
          </w:tcPr>
          <w:p w14:paraId="02D39E7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1 175 000</w:t>
            </w:r>
          </w:p>
        </w:tc>
      </w:tr>
      <w:tr w:rsidR="00C55629" w:rsidRPr="00C55629" w14:paraId="11F1D6D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bottom"/>
          </w:tcPr>
          <w:p w14:paraId="2D8219F7"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21 01 01</w:t>
            </w:r>
          </w:p>
        </w:tc>
        <w:tc>
          <w:tcPr>
            <w:tcW w:w="6460" w:type="dxa"/>
            <w:tcBorders>
              <w:top w:val="nil"/>
              <w:left w:val="nil"/>
              <w:bottom w:val="single" w:sz="4" w:space="0" w:color="auto"/>
              <w:right w:val="single" w:sz="4" w:space="0" w:color="auto"/>
            </w:tcBorders>
            <w:shd w:val="clear" w:color="auto" w:fill="auto"/>
            <w:vAlign w:val="center"/>
          </w:tcPr>
          <w:p w14:paraId="732AE05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and allowances</w:t>
            </w:r>
          </w:p>
        </w:tc>
        <w:tc>
          <w:tcPr>
            <w:tcW w:w="1900" w:type="dxa"/>
            <w:tcBorders>
              <w:top w:val="nil"/>
              <w:left w:val="nil"/>
              <w:bottom w:val="single" w:sz="4" w:space="0" w:color="auto"/>
              <w:right w:val="single" w:sz="4" w:space="0" w:color="auto"/>
            </w:tcBorders>
            <w:shd w:val="clear" w:color="auto" w:fill="auto"/>
            <w:vAlign w:val="center"/>
          </w:tcPr>
          <w:p w14:paraId="4EEDC029"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66 494 000</w:t>
            </w:r>
          </w:p>
        </w:tc>
      </w:tr>
      <w:tr w:rsidR="00C55629" w:rsidRPr="00C55629" w14:paraId="363D8F00"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05CC9A5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21 01 02 01</w:t>
            </w:r>
          </w:p>
        </w:tc>
        <w:tc>
          <w:tcPr>
            <w:tcW w:w="6460" w:type="dxa"/>
            <w:tcBorders>
              <w:top w:val="nil"/>
              <w:left w:val="nil"/>
              <w:bottom w:val="single" w:sz="4" w:space="0" w:color="auto"/>
              <w:right w:val="single" w:sz="4" w:space="0" w:color="auto"/>
            </w:tcBorders>
            <w:shd w:val="clear" w:color="auto" w:fill="auto"/>
            <w:vAlign w:val="center"/>
          </w:tcPr>
          <w:p w14:paraId="15494B4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the European Parliament</w:t>
            </w:r>
          </w:p>
        </w:tc>
        <w:tc>
          <w:tcPr>
            <w:tcW w:w="1900" w:type="dxa"/>
            <w:tcBorders>
              <w:top w:val="nil"/>
              <w:left w:val="nil"/>
              <w:bottom w:val="single" w:sz="4" w:space="0" w:color="auto"/>
              <w:right w:val="single" w:sz="4" w:space="0" w:color="auto"/>
            </w:tcBorders>
            <w:shd w:val="clear" w:color="auto" w:fill="auto"/>
            <w:vAlign w:val="center"/>
          </w:tcPr>
          <w:p w14:paraId="37D9B69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492 000</w:t>
            </w:r>
          </w:p>
        </w:tc>
      </w:tr>
      <w:tr w:rsidR="00C55629" w:rsidRPr="00C55629" w14:paraId="683A436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72A3C0E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21 01 02 02</w:t>
            </w:r>
          </w:p>
        </w:tc>
        <w:tc>
          <w:tcPr>
            <w:tcW w:w="6460" w:type="dxa"/>
            <w:tcBorders>
              <w:top w:val="nil"/>
              <w:left w:val="nil"/>
              <w:bottom w:val="single" w:sz="4" w:space="0" w:color="auto"/>
              <w:right w:val="single" w:sz="4" w:space="0" w:color="auto"/>
            </w:tcBorders>
            <w:shd w:val="clear" w:color="auto" w:fill="auto"/>
            <w:vAlign w:val="center"/>
          </w:tcPr>
          <w:p w14:paraId="0F2D1A5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Presidents of the European Council and of former Secretaries-General of the Council of the European Union</w:t>
            </w:r>
          </w:p>
        </w:tc>
        <w:tc>
          <w:tcPr>
            <w:tcW w:w="1900" w:type="dxa"/>
            <w:tcBorders>
              <w:top w:val="nil"/>
              <w:left w:val="nil"/>
              <w:bottom w:val="single" w:sz="4" w:space="0" w:color="auto"/>
              <w:right w:val="single" w:sz="4" w:space="0" w:color="auto"/>
            </w:tcBorders>
            <w:shd w:val="clear" w:color="auto" w:fill="auto"/>
            <w:vAlign w:val="center"/>
          </w:tcPr>
          <w:p w14:paraId="5058582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17 000</w:t>
            </w:r>
          </w:p>
        </w:tc>
      </w:tr>
      <w:tr w:rsidR="00C55629" w:rsidRPr="00C55629" w14:paraId="51C0302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bottom"/>
          </w:tcPr>
          <w:p w14:paraId="1E39B173"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21 01 02 03</w:t>
            </w:r>
          </w:p>
        </w:tc>
        <w:tc>
          <w:tcPr>
            <w:tcW w:w="6460" w:type="dxa"/>
            <w:tcBorders>
              <w:top w:val="nil"/>
              <w:left w:val="nil"/>
              <w:bottom w:val="single" w:sz="4" w:space="0" w:color="auto"/>
              <w:right w:val="single" w:sz="4" w:space="0" w:color="auto"/>
            </w:tcBorders>
            <w:shd w:val="clear" w:color="auto" w:fill="auto"/>
            <w:vAlign w:val="center"/>
          </w:tcPr>
          <w:p w14:paraId="26593E2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the Commission</w:t>
            </w:r>
          </w:p>
        </w:tc>
        <w:tc>
          <w:tcPr>
            <w:tcW w:w="1900" w:type="dxa"/>
            <w:tcBorders>
              <w:top w:val="nil"/>
              <w:left w:val="nil"/>
              <w:bottom w:val="single" w:sz="4" w:space="0" w:color="auto"/>
              <w:right w:val="single" w:sz="4" w:space="0" w:color="auto"/>
            </w:tcBorders>
            <w:shd w:val="clear" w:color="auto" w:fill="auto"/>
            <w:vAlign w:val="center"/>
          </w:tcPr>
          <w:p w14:paraId="48B1380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261 000</w:t>
            </w:r>
          </w:p>
        </w:tc>
      </w:tr>
      <w:tr w:rsidR="00C55629" w:rsidRPr="00C55629" w14:paraId="0A4A7E7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550505F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21 01 02 04</w:t>
            </w:r>
          </w:p>
        </w:tc>
        <w:tc>
          <w:tcPr>
            <w:tcW w:w="6460" w:type="dxa"/>
            <w:tcBorders>
              <w:top w:val="nil"/>
              <w:left w:val="nil"/>
              <w:bottom w:val="single" w:sz="4" w:space="0" w:color="auto"/>
              <w:right w:val="single" w:sz="4" w:space="0" w:color="auto"/>
            </w:tcBorders>
            <w:shd w:val="clear" w:color="auto" w:fill="auto"/>
            <w:vAlign w:val="center"/>
          </w:tcPr>
          <w:p w14:paraId="3CC1AEF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the Court of Justice of the European Union</w:t>
            </w:r>
          </w:p>
        </w:tc>
        <w:tc>
          <w:tcPr>
            <w:tcW w:w="1900" w:type="dxa"/>
            <w:tcBorders>
              <w:top w:val="nil"/>
              <w:left w:val="nil"/>
              <w:bottom w:val="single" w:sz="4" w:space="0" w:color="auto"/>
              <w:right w:val="single" w:sz="4" w:space="0" w:color="auto"/>
            </w:tcBorders>
            <w:shd w:val="clear" w:color="auto" w:fill="auto"/>
            <w:vAlign w:val="center"/>
          </w:tcPr>
          <w:p w14:paraId="6D6301D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427 000</w:t>
            </w:r>
          </w:p>
        </w:tc>
      </w:tr>
      <w:tr w:rsidR="00C55629" w:rsidRPr="00C55629" w14:paraId="63A3060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66E210F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21 01 02 05</w:t>
            </w:r>
          </w:p>
        </w:tc>
        <w:tc>
          <w:tcPr>
            <w:tcW w:w="6460" w:type="dxa"/>
            <w:tcBorders>
              <w:top w:val="nil"/>
              <w:left w:val="nil"/>
              <w:bottom w:val="single" w:sz="4" w:space="0" w:color="auto"/>
              <w:right w:val="single" w:sz="4" w:space="0" w:color="auto"/>
            </w:tcBorders>
            <w:shd w:val="clear" w:color="auto" w:fill="auto"/>
            <w:vAlign w:val="center"/>
          </w:tcPr>
          <w:p w14:paraId="09B1B1F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the Court of Auditors</w:t>
            </w:r>
          </w:p>
        </w:tc>
        <w:tc>
          <w:tcPr>
            <w:tcW w:w="1900" w:type="dxa"/>
            <w:tcBorders>
              <w:top w:val="nil"/>
              <w:left w:val="nil"/>
              <w:bottom w:val="single" w:sz="4" w:space="0" w:color="auto"/>
              <w:right w:val="single" w:sz="4" w:space="0" w:color="auto"/>
            </w:tcBorders>
            <w:shd w:val="clear" w:color="auto" w:fill="auto"/>
            <w:vAlign w:val="center"/>
          </w:tcPr>
          <w:p w14:paraId="0106241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170 000</w:t>
            </w:r>
          </w:p>
        </w:tc>
      </w:tr>
      <w:tr w:rsidR="00C55629" w:rsidRPr="00C55629" w14:paraId="45EB3C4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002C2B6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21 01 02 06</w:t>
            </w:r>
          </w:p>
        </w:tc>
        <w:tc>
          <w:tcPr>
            <w:tcW w:w="6460" w:type="dxa"/>
            <w:tcBorders>
              <w:top w:val="nil"/>
              <w:left w:val="nil"/>
              <w:bottom w:val="single" w:sz="4" w:space="0" w:color="auto"/>
              <w:right w:val="single" w:sz="4" w:space="0" w:color="auto"/>
            </w:tcBorders>
            <w:shd w:val="clear" w:color="auto" w:fill="auto"/>
            <w:vAlign w:val="center"/>
          </w:tcPr>
          <w:p w14:paraId="398A6F2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European Ombudsmen</w:t>
            </w:r>
          </w:p>
        </w:tc>
        <w:tc>
          <w:tcPr>
            <w:tcW w:w="1900" w:type="dxa"/>
            <w:tcBorders>
              <w:top w:val="nil"/>
              <w:left w:val="nil"/>
              <w:bottom w:val="single" w:sz="4" w:space="0" w:color="auto"/>
              <w:right w:val="single" w:sz="4" w:space="0" w:color="auto"/>
            </w:tcBorders>
            <w:shd w:val="clear" w:color="auto" w:fill="auto"/>
            <w:vAlign w:val="center"/>
          </w:tcPr>
          <w:p w14:paraId="0ED614D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7 000</w:t>
            </w:r>
          </w:p>
        </w:tc>
      </w:tr>
      <w:tr w:rsidR="00C55629" w:rsidRPr="00C55629" w14:paraId="7BD5D36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6C742909"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21 01 02 07</w:t>
            </w:r>
          </w:p>
        </w:tc>
        <w:tc>
          <w:tcPr>
            <w:tcW w:w="6460" w:type="dxa"/>
            <w:tcBorders>
              <w:top w:val="nil"/>
              <w:left w:val="nil"/>
              <w:bottom w:val="single" w:sz="4" w:space="0" w:color="auto"/>
              <w:right w:val="single" w:sz="4" w:space="0" w:color="auto"/>
            </w:tcBorders>
            <w:shd w:val="clear" w:color="auto" w:fill="auto"/>
            <w:vAlign w:val="center"/>
          </w:tcPr>
          <w:p w14:paraId="3F5735C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Pensions of former Members of European Data Protection Supervisors</w:t>
            </w:r>
          </w:p>
        </w:tc>
        <w:tc>
          <w:tcPr>
            <w:tcW w:w="1900" w:type="dxa"/>
            <w:tcBorders>
              <w:top w:val="nil"/>
              <w:left w:val="nil"/>
              <w:bottom w:val="single" w:sz="4" w:space="0" w:color="auto"/>
              <w:right w:val="single" w:sz="4" w:space="0" w:color="auto"/>
            </w:tcBorders>
            <w:shd w:val="clear" w:color="auto" w:fill="auto"/>
            <w:vAlign w:val="center"/>
          </w:tcPr>
          <w:p w14:paraId="0FB708B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10 000</w:t>
            </w:r>
          </w:p>
        </w:tc>
      </w:tr>
      <w:tr w:rsidR="00C55629" w:rsidRPr="00C55629" w14:paraId="103D0CF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551D0E5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21 02 01 01</w:t>
            </w:r>
          </w:p>
        </w:tc>
        <w:tc>
          <w:tcPr>
            <w:tcW w:w="6460" w:type="dxa"/>
            <w:tcBorders>
              <w:top w:val="nil"/>
              <w:left w:val="nil"/>
              <w:bottom w:val="single" w:sz="4" w:space="0" w:color="auto"/>
              <w:right w:val="single" w:sz="4" w:space="0" w:color="auto"/>
            </w:tcBorders>
            <w:shd w:val="clear" w:color="auto" w:fill="auto"/>
            <w:vAlign w:val="center"/>
          </w:tcPr>
          <w:p w14:paraId="56BBB7F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Office of the Secretary-General of the European Schools (Brussels)</w:t>
            </w:r>
          </w:p>
        </w:tc>
        <w:tc>
          <w:tcPr>
            <w:tcW w:w="1900" w:type="dxa"/>
            <w:tcBorders>
              <w:top w:val="nil"/>
              <w:left w:val="nil"/>
              <w:bottom w:val="single" w:sz="4" w:space="0" w:color="auto"/>
              <w:right w:val="single" w:sz="4" w:space="0" w:color="auto"/>
            </w:tcBorders>
            <w:shd w:val="clear" w:color="auto" w:fill="auto"/>
            <w:vAlign w:val="center"/>
          </w:tcPr>
          <w:p w14:paraId="7A8D0D1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29 677</w:t>
            </w:r>
          </w:p>
        </w:tc>
      </w:tr>
      <w:tr w:rsidR="00C55629" w:rsidRPr="00C55629" w14:paraId="1D894D9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12659B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21 02 01 02</w:t>
            </w:r>
          </w:p>
        </w:tc>
        <w:tc>
          <w:tcPr>
            <w:tcW w:w="6460" w:type="dxa"/>
            <w:tcBorders>
              <w:top w:val="nil"/>
              <w:left w:val="nil"/>
              <w:bottom w:val="single" w:sz="4" w:space="0" w:color="auto"/>
              <w:right w:val="single" w:sz="4" w:space="0" w:color="auto"/>
            </w:tcBorders>
            <w:shd w:val="clear" w:color="auto" w:fill="auto"/>
            <w:vAlign w:val="center"/>
          </w:tcPr>
          <w:p w14:paraId="074B6A2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Brussels I (Uccle)</w:t>
            </w:r>
          </w:p>
        </w:tc>
        <w:tc>
          <w:tcPr>
            <w:tcW w:w="1900" w:type="dxa"/>
            <w:tcBorders>
              <w:top w:val="nil"/>
              <w:left w:val="nil"/>
              <w:bottom w:val="single" w:sz="4" w:space="0" w:color="auto"/>
              <w:right w:val="single" w:sz="4" w:space="0" w:color="auto"/>
            </w:tcBorders>
            <w:shd w:val="clear" w:color="auto" w:fill="auto"/>
            <w:vAlign w:val="center"/>
          </w:tcPr>
          <w:p w14:paraId="7333993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765 081</w:t>
            </w:r>
          </w:p>
        </w:tc>
      </w:tr>
      <w:tr w:rsidR="00C55629" w:rsidRPr="00C55629" w14:paraId="6CF59E2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7724A5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21 02 01 03</w:t>
            </w:r>
          </w:p>
        </w:tc>
        <w:tc>
          <w:tcPr>
            <w:tcW w:w="6460" w:type="dxa"/>
            <w:tcBorders>
              <w:top w:val="nil"/>
              <w:left w:val="nil"/>
              <w:bottom w:val="single" w:sz="4" w:space="0" w:color="auto"/>
              <w:right w:val="single" w:sz="4" w:space="0" w:color="auto"/>
            </w:tcBorders>
            <w:shd w:val="clear" w:color="auto" w:fill="auto"/>
            <w:vAlign w:val="center"/>
          </w:tcPr>
          <w:p w14:paraId="369A8CB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Brussels II (Woluwe)</w:t>
            </w:r>
          </w:p>
        </w:tc>
        <w:tc>
          <w:tcPr>
            <w:tcW w:w="1900" w:type="dxa"/>
            <w:tcBorders>
              <w:top w:val="nil"/>
              <w:left w:val="nil"/>
              <w:bottom w:val="single" w:sz="4" w:space="0" w:color="auto"/>
              <w:right w:val="single" w:sz="4" w:space="0" w:color="auto"/>
            </w:tcBorders>
            <w:shd w:val="clear" w:color="auto" w:fill="auto"/>
            <w:vAlign w:val="center"/>
          </w:tcPr>
          <w:p w14:paraId="621579F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644 955</w:t>
            </w:r>
          </w:p>
        </w:tc>
      </w:tr>
      <w:tr w:rsidR="00C55629" w:rsidRPr="00C55629" w14:paraId="2781257F"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5C0FD5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21 02 01 04</w:t>
            </w:r>
          </w:p>
        </w:tc>
        <w:tc>
          <w:tcPr>
            <w:tcW w:w="6460" w:type="dxa"/>
            <w:tcBorders>
              <w:top w:val="nil"/>
              <w:left w:val="nil"/>
              <w:bottom w:val="single" w:sz="4" w:space="0" w:color="auto"/>
              <w:right w:val="single" w:sz="4" w:space="0" w:color="auto"/>
            </w:tcBorders>
            <w:shd w:val="clear" w:color="auto" w:fill="auto"/>
            <w:vAlign w:val="center"/>
          </w:tcPr>
          <w:p w14:paraId="77C3848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Brussels III (Ixelles)</w:t>
            </w:r>
          </w:p>
        </w:tc>
        <w:tc>
          <w:tcPr>
            <w:tcW w:w="1900" w:type="dxa"/>
            <w:tcBorders>
              <w:top w:val="nil"/>
              <w:left w:val="nil"/>
              <w:bottom w:val="single" w:sz="4" w:space="0" w:color="auto"/>
              <w:right w:val="single" w:sz="4" w:space="0" w:color="auto"/>
            </w:tcBorders>
            <w:shd w:val="clear" w:color="auto" w:fill="auto"/>
            <w:vAlign w:val="center"/>
          </w:tcPr>
          <w:p w14:paraId="22BF7F3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571 040</w:t>
            </w:r>
          </w:p>
        </w:tc>
      </w:tr>
      <w:tr w:rsidR="00C55629" w:rsidRPr="00C55629" w14:paraId="02B9B9D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08846E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21 02 01 05</w:t>
            </w:r>
          </w:p>
        </w:tc>
        <w:tc>
          <w:tcPr>
            <w:tcW w:w="6460" w:type="dxa"/>
            <w:tcBorders>
              <w:top w:val="nil"/>
              <w:left w:val="nil"/>
              <w:bottom w:val="single" w:sz="4" w:space="0" w:color="auto"/>
              <w:right w:val="single" w:sz="4" w:space="0" w:color="auto"/>
            </w:tcBorders>
            <w:shd w:val="clear" w:color="auto" w:fill="auto"/>
            <w:vAlign w:val="center"/>
          </w:tcPr>
          <w:p w14:paraId="2715475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Brussels IV (Laeken)</w:t>
            </w:r>
          </w:p>
        </w:tc>
        <w:tc>
          <w:tcPr>
            <w:tcW w:w="1900" w:type="dxa"/>
            <w:tcBorders>
              <w:top w:val="nil"/>
              <w:left w:val="nil"/>
              <w:bottom w:val="single" w:sz="4" w:space="0" w:color="auto"/>
              <w:right w:val="single" w:sz="4" w:space="0" w:color="auto"/>
            </w:tcBorders>
            <w:shd w:val="clear" w:color="auto" w:fill="auto"/>
            <w:vAlign w:val="center"/>
          </w:tcPr>
          <w:p w14:paraId="765DACC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555 394</w:t>
            </w:r>
          </w:p>
        </w:tc>
      </w:tr>
      <w:tr w:rsidR="00C55629" w:rsidRPr="00C55629" w14:paraId="6F9D29C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A1B307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21 02 01 06</w:t>
            </w:r>
          </w:p>
        </w:tc>
        <w:tc>
          <w:tcPr>
            <w:tcW w:w="6460" w:type="dxa"/>
            <w:tcBorders>
              <w:top w:val="nil"/>
              <w:left w:val="nil"/>
              <w:bottom w:val="single" w:sz="4" w:space="0" w:color="auto"/>
              <w:right w:val="single" w:sz="4" w:space="0" w:color="auto"/>
            </w:tcBorders>
            <w:shd w:val="clear" w:color="auto" w:fill="auto"/>
            <w:vAlign w:val="center"/>
          </w:tcPr>
          <w:p w14:paraId="701F2A6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Luxembourg I</w:t>
            </w:r>
          </w:p>
        </w:tc>
        <w:tc>
          <w:tcPr>
            <w:tcW w:w="1900" w:type="dxa"/>
            <w:tcBorders>
              <w:top w:val="nil"/>
              <w:left w:val="nil"/>
              <w:bottom w:val="single" w:sz="4" w:space="0" w:color="auto"/>
              <w:right w:val="single" w:sz="4" w:space="0" w:color="auto"/>
            </w:tcBorders>
            <w:shd w:val="clear" w:color="auto" w:fill="auto"/>
            <w:vAlign w:val="center"/>
          </w:tcPr>
          <w:p w14:paraId="76A9EAAF"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410 262</w:t>
            </w:r>
          </w:p>
        </w:tc>
      </w:tr>
      <w:tr w:rsidR="00C55629" w:rsidRPr="00C55629" w14:paraId="41EADE91"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B59321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21 02 01 07</w:t>
            </w:r>
          </w:p>
        </w:tc>
        <w:tc>
          <w:tcPr>
            <w:tcW w:w="6460" w:type="dxa"/>
            <w:tcBorders>
              <w:top w:val="nil"/>
              <w:left w:val="nil"/>
              <w:bottom w:val="single" w:sz="4" w:space="0" w:color="auto"/>
              <w:right w:val="single" w:sz="4" w:space="0" w:color="auto"/>
            </w:tcBorders>
            <w:shd w:val="clear" w:color="auto" w:fill="auto"/>
            <w:vAlign w:val="center"/>
          </w:tcPr>
          <w:p w14:paraId="27E3014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Luxembourg II</w:t>
            </w:r>
          </w:p>
        </w:tc>
        <w:tc>
          <w:tcPr>
            <w:tcW w:w="1900" w:type="dxa"/>
            <w:tcBorders>
              <w:top w:val="nil"/>
              <w:left w:val="nil"/>
              <w:bottom w:val="single" w:sz="4" w:space="0" w:color="auto"/>
              <w:right w:val="single" w:sz="4" w:space="0" w:color="auto"/>
            </w:tcBorders>
            <w:shd w:val="clear" w:color="auto" w:fill="auto"/>
            <w:vAlign w:val="center"/>
          </w:tcPr>
          <w:p w14:paraId="4AB5F7A9"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347 787</w:t>
            </w:r>
          </w:p>
        </w:tc>
      </w:tr>
      <w:tr w:rsidR="00C55629" w:rsidRPr="00C55629" w14:paraId="62FF851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A69482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21 02 01 08</w:t>
            </w:r>
          </w:p>
        </w:tc>
        <w:tc>
          <w:tcPr>
            <w:tcW w:w="6460" w:type="dxa"/>
            <w:tcBorders>
              <w:top w:val="nil"/>
              <w:left w:val="nil"/>
              <w:bottom w:val="single" w:sz="4" w:space="0" w:color="auto"/>
              <w:right w:val="single" w:sz="4" w:space="0" w:color="auto"/>
            </w:tcBorders>
            <w:shd w:val="clear" w:color="auto" w:fill="auto"/>
            <w:vAlign w:val="center"/>
          </w:tcPr>
          <w:p w14:paraId="6401D41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Mol (BE)</w:t>
            </w:r>
          </w:p>
        </w:tc>
        <w:tc>
          <w:tcPr>
            <w:tcW w:w="1900" w:type="dxa"/>
            <w:tcBorders>
              <w:top w:val="nil"/>
              <w:left w:val="nil"/>
              <w:bottom w:val="single" w:sz="4" w:space="0" w:color="auto"/>
              <w:right w:val="single" w:sz="4" w:space="0" w:color="auto"/>
            </w:tcBorders>
            <w:shd w:val="clear" w:color="auto" w:fill="auto"/>
            <w:vAlign w:val="center"/>
          </w:tcPr>
          <w:p w14:paraId="35323A9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189 966</w:t>
            </w:r>
          </w:p>
        </w:tc>
      </w:tr>
      <w:tr w:rsidR="00C55629" w:rsidRPr="00C55629" w14:paraId="50C5A63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FA14D9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21 02 01 09</w:t>
            </w:r>
          </w:p>
        </w:tc>
        <w:tc>
          <w:tcPr>
            <w:tcW w:w="6460" w:type="dxa"/>
            <w:tcBorders>
              <w:top w:val="nil"/>
              <w:left w:val="nil"/>
              <w:bottom w:val="single" w:sz="4" w:space="0" w:color="auto"/>
              <w:right w:val="single" w:sz="4" w:space="0" w:color="auto"/>
            </w:tcBorders>
            <w:shd w:val="clear" w:color="auto" w:fill="auto"/>
            <w:vAlign w:val="center"/>
          </w:tcPr>
          <w:p w14:paraId="6A2BA22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Frankfurt am Main (DE)</w:t>
            </w:r>
          </w:p>
        </w:tc>
        <w:tc>
          <w:tcPr>
            <w:tcW w:w="1900" w:type="dxa"/>
            <w:tcBorders>
              <w:top w:val="nil"/>
              <w:left w:val="nil"/>
              <w:bottom w:val="single" w:sz="4" w:space="0" w:color="auto"/>
              <w:right w:val="single" w:sz="4" w:space="0" w:color="auto"/>
            </w:tcBorders>
            <w:shd w:val="clear" w:color="auto" w:fill="auto"/>
            <w:vAlign w:val="center"/>
          </w:tcPr>
          <w:p w14:paraId="26F99B4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162 064</w:t>
            </w:r>
          </w:p>
        </w:tc>
      </w:tr>
      <w:tr w:rsidR="00C55629" w:rsidRPr="00C55629" w14:paraId="69AD242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498750A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 xml:space="preserve">21 02 01 10 </w:t>
            </w:r>
          </w:p>
        </w:tc>
        <w:tc>
          <w:tcPr>
            <w:tcW w:w="6460" w:type="dxa"/>
            <w:tcBorders>
              <w:top w:val="nil"/>
              <w:left w:val="nil"/>
              <w:bottom w:val="single" w:sz="4" w:space="0" w:color="auto"/>
              <w:right w:val="single" w:sz="4" w:space="0" w:color="auto"/>
            </w:tcBorders>
            <w:shd w:val="clear" w:color="auto" w:fill="auto"/>
            <w:vAlign w:val="center"/>
          </w:tcPr>
          <w:p w14:paraId="672DA5A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Karlsruhe (DE)</w:t>
            </w:r>
          </w:p>
        </w:tc>
        <w:tc>
          <w:tcPr>
            <w:tcW w:w="1900" w:type="dxa"/>
            <w:tcBorders>
              <w:top w:val="nil"/>
              <w:left w:val="nil"/>
              <w:bottom w:val="single" w:sz="4" w:space="0" w:color="auto"/>
              <w:right w:val="single" w:sz="4" w:space="0" w:color="auto"/>
            </w:tcBorders>
            <w:shd w:val="clear" w:color="auto" w:fill="auto"/>
            <w:vAlign w:val="center"/>
          </w:tcPr>
          <w:p w14:paraId="5D38DE18"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193 745</w:t>
            </w:r>
          </w:p>
        </w:tc>
      </w:tr>
      <w:tr w:rsidR="00C55629" w:rsidRPr="00C55629" w14:paraId="50494AB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251839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21 02 01 11</w:t>
            </w:r>
          </w:p>
        </w:tc>
        <w:tc>
          <w:tcPr>
            <w:tcW w:w="6460" w:type="dxa"/>
            <w:tcBorders>
              <w:top w:val="nil"/>
              <w:left w:val="nil"/>
              <w:bottom w:val="single" w:sz="4" w:space="0" w:color="auto"/>
              <w:right w:val="single" w:sz="4" w:space="0" w:color="auto"/>
            </w:tcBorders>
            <w:shd w:val="clear" w:color="auto" w:fill="auto"/>
            <w:vAlign w:val="center"/>
          </w:tcPr>
          <w:p w14:paraId="7C31853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Munich (DE)</w:t>
            </w:r>
          </w:p>
        </w:tc>
        <w:tc>
          <w:tcPr>
            <w:tcW w:w="1900" w:type="dxa"/>
            <w:tcBorders>
              <w:top w:val="nil"/>
              <w:left w:val="nil"/>
              <w:bottom w:val="single" w:sz="4" w:space="0" w:color="auto"/>
              <w:right w:val="single" w:sz="4" w:space="0" w:color="auto"/>
            </w:tcBorders>
            <w:shd w:val="clear" w:color="auto" w:fill="auto"/>
            <w:vAlign w:val="center"/>
          </w:tcPr>
          <w:p w14:paraId="12CFFDD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8 185</w:t>
            </w:r>
          </w:p>
        </w:tc>
      </w:tr>
      <w:tr w:rsidR="00C55629" w:rsidRPr="00C55629" w14:paraId="1236D86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26C417C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21 02 01 12</w:t>
            </w:r>
          </w:p>
        </w:tc>
        <w:tc>
          <w:tcPr>
            <w:tcW w:w="6460" w:type="dxa"/>
            <w:tcBorders>
              <w:top w:val="nil"/>
              <w:left w:val="nil"/>
              <w:bottom w:val="single" w:sz="4" w:space="0" w:color="auto"/>
              <w:right w:val="single" w:sz="4" w:space="0" w:color="auto"/>
            </w:tcBorders>
            <w:shd w:val="clear" w:color="auto" w:fill="auto"/>
            <w:vAlign w:val="center"/>
          </w:tcPr>
          <w:p w14:paraId="4BD0600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Alicante (ES)</w:t>
            </w:r>
          </w:p>
        </w:tc>
        <w:tc>
          <w:tcPr>
            <w:tcW w:w="1900" w:type="dxa"/>
            <w:tcBorders>
              <w:top w:val="nil"/>
              <w:left w:val="nil"/>
              <w:bottom w:val="single" w:sz="4" w:space="0" w:color="auto"/>
              <w:right w:val="single" w:sz="4" w:space="0" w:color="auto"/>
            </w:tcBorders>
            <w:shd w:val="clear" w:color="auto" w:fill="auto"/>
            <w:vAlign w:val="center"/>
          </w:tcPr>
          <w:p w14:paraId="1401556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31 171</w:t>
            </w:r>
          </w:p>
        </w:tc>
      </w:tr>
      <w:tr w:rsidR="00C55629" w:rsidRPr="00C55629" w14:paraId="0EF08221"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5D184B1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21 02 01 13</w:t>
            </w:r>
          </w:p>
        </w:tc>
        <w:tc>
          <w:tcPr>
            <w:tcW w:w="6460" w:type="dxa"/>
            <w:tcBorders>
              <w:top w:val="nil"/>
              <w:left w:val="nil"/>
              <w:bottom w:val="single" w:sz="4" w:space="0" w:color="auto"/>
              <w:right w:val="single" w:sz="4" w:space="0" w:color="auto"/>
            </w:tcBorders>
            <w:shd w:val="clear" w:color="auto" w:fill="auto"/>
            <w:vAlign w:val="center"/>
          </w:tcPr>
          <w:p w14:paraId="0805BE99"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Varese (IT)</w:t>
            </w:r>
          </w:p>
        </w:tc>
        <w:tc>
          <w:tcPr>
            <w:tcW w:w="1900" w:type="dxa"/>
            <w:tcBorders>
              <w:top w:val="nil"/>
              <w:left w:val="nil"/>
              <w:bottom w:val="single" w:sz="4" w:space="0" w:color="auto"/>
              <w:right w:val="single" w:sz="4" w:space="0" w:color="auto"/>
            </w:tcBorders>
            <w:shd w:val="clear" w:color="auto" w:fill="auto"/>
            <w:vAlign w:val="center"/>
          </w:tcPr>
          <w:p w14:paraId="5F6DB61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300 239</w:t>
            </w:r>
          </w:p>
        </w:tc>
      </w:tr>
      <w:tr w:rsidR="00C55629" w:rsidRPr="00C55629" w14:paraId="700B2A1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BBCEEA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14:ligatures w14:val="none"/>
              </w:rPr>
              <w:t>21 02 01 14</w:t>
            </w:r>
          </w:p>
        </w:tc>
        <w:tc>
          <w:tcPr>
            <w:tcW w:w="6460" w:type="dxa"/>
            <w:tcBorders>
              <w:top w:val="nil"/>
              <w:left w:val="nil"/>
              <w:bottom w:val="single" w:sz="4" w:space="0" w:color="auto"/>
              <w:right w:val="single" w:sz="4" w:space="0" w:color="auto"/>
            </w:tcBorders>
            <w:shd w:val="clear" w:color="auto" w:fill="auto"/>
            <w:vAlign w:val="center"/>
          </w:tcPr>
          <w:p w14:paraId="5A1D2FA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Bergen (NL)</w:t>
            </w:r>
          </w:p>
        </w:tc>
        <w:tc>
          <w:tcPr>
            <w:tcW w:w="1900" w:type="dxa"/>
            <w:tcBorders>
              <w:top w:val="nil"/>
              <w:left w:val="nil"/>
              <w:bottom w:val="single" w:sz="4" w:space="0" w:color="auto"/>
              <w:right w:val="single" w:sz="4" w:space="0" w:color="auto"/>
            </w:tcBorders>
            <w:shd w:val="clear" w:color="auto" w:fill="auto"/>
            <w:vAlign w:val="center"/>
          </w:tcPr>
          <w:p w14:paraId="2CB9D41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75 024</w:t>
            </w:r>
          </w:p>
        </w:tc>
      </w:tr>
      <w:tr w:rsidR="00C55629" w:rsidRPr="00C55629" w14:paraId="7D22AA09"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5A67C1"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III</w:t>
            </w:r>
          </w:p>
        </w:tc>
        <w:tc>
          <w:tcPr>
            <w:tcW w:w="1900" w:type="dxa"/>
            <w:tcBorders>
              <w:top w:val="nil"/>
              <w:left w:val="nil"/>
              <w:bottom w:val="single" w:sz="4" w:space="0" w:color="auto"/>
              <w:right w:val="single" w:sz="4" w:space="0" w:color="auto"/>
            </w:tcBorders>
            <w:shd w:val="clear" w:color="auto" w:fill="auto"/>
            <w:vAlign w:val="center"/>
          </w:tcPr>
          <w:p w14:paraId="624B4854"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149 455 707</w:t>
            </w:r>
          </w:p>
        </w:tc>
      </w:tr>
      <w:tr w:rsidR="00C55629" w:rsidRPr="00C55629" w14:paraId="3041FCF9"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35E20E36"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IV - Court of Justice</w:t>
            </w:r>
          </w:p>
        </w:tc>
        <w:tc>
          <w:tcPr>
            <w:tcW w:w="1900" w:type="dxa"/>
            <w:tcBorders>
              <w:top w:val="nil"/>
              <w:left w:val="single" w:sz="4" w:space="0" w:color="auto"/>
              <w:bottom w:val="single" w:sz="4" w:space="0" w:color="auto"/>
              <w:right w:val="single" w:sz="4" w:space="0" w:color="auto"/>
            </w:tcBorders>
            <w:shd w:val="clear" w:color="auto" w:fill="F2F2F2"/>
            <w:vAlign w:val="center"/>
            <w:hideMark/>
          </w:tcPr>
          <w:p w14:paraId="3C47F9AC"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4E8AB18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E92ACD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hideMark/>
          </w:tcPr>
          <w:p w14:paraId="0BFE239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Remunerations and allowances</w:t>
            </w:r>
          </w:p>
        </w:tc>
        <w:tc>
          <w:tcPr>
            <w:tcW w:w="1900" w:type="dxa"/>
            <w:tcBorders>
              <w:top w:val="nil"/>
              <w:left w:val="nil"/>
              <w:bottom w:val="single" w:sz="4" w:space="0" w:color="auto"/>
              <w:right w:val="single" w:sz="4" w:space="0" w:color="auto"/>
            </w:tcBorders>
            <w:shd w:val="clear" w:color="auto" w:fill="auto"/>
            <w:vAlign w:val="center"/>
          </w:tcPr>
          <w:p w14:paraId="2FA7AC5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904 000</w:t>
            </w:r>
          </w:p>
        </w:tc>
      </w:tr>
      <w:tr w:rsidR="00C55629" w:rsidRPr="00C55629" w14:paraId="1283795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C9B64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1 0 0 2</w:t>
            </w:r>
          </w:p>
        </w:tc>
        <w:tc>
          <w:tcPr>
            <w:tcW w:w="6460" w:type="dxa"/>
            <w:tcBorders>
              <w:top w:val="nil"/>
              <w:left w:val="nil"/>
              <w:bottom w:val="single" w:sz="4" w:space="0" w:color="auto"/>
              <w:right w:val="single" w:sz="4" w:space="0" w:color="auto"/>
            </w:tcBorders>
            <w:shd w:val="clear" w:color="auto" w:fill="auto"/>
            <w:vAlign w:val="center"/>
            <w:hideMark/>
          </w:tcPr>
          <w:p w14:paraId="0A619B2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on entering the service, transfer and leaving the service</w:t>
            </w:r>
          </w:p>
        </w:tc>
        <w:tc>
          <w:tcPr>
            <w:tcW w:w="1900" w:type="dxa"/>
            <w:tcBorders>
              <w:top w:val="nil"/>
              <w:left w:val="nil"/>
              <w:bottom w:val="single" w:sz="4" w:space="0" w:color="auto"/>
              <w:right w:val="single" w:sz="4" w:space="0" w:color="auto"/>
            </w:tcBorders>
            <w:shd w:val="clear" w:color="auto" w:fill="auto"/>
            <w:vAlign w:val="center"/>
          </w:tcPr>
          <w:p w14:paraId="5D8A023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48 000</w:t>
            </w:r>
          </w:p>
        </w:tc>
      </w:tr>
      <w:tr w:rsidR="00C55629" w:rsidRPr="00C55629" w14:paraId="069C8A5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D26FB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1 0 2</w:t>
            </w:r>
          </w:p>
        </w:tc>
        <w:tc>
          <w:tcPr>
            <w:tcW w:w="6460" w:type="dxa"/>
            <w:tcBorders>
              <w:top w:val="nil"/>
              <w:left w:val="nil"/>
              <w:bottom w:val="single" w:sz="4" w:space="0" w:color="auto"/>
              <w:right w:val="single" w:sz="4" w:space="0" w:color="auto"/>
            </w:tcBorders>
            <w:shd w:val="clear" w:color="auto" w:fill="auto"/>
            <w:vAlign w:val="center"/>
            <w:hideMark/>
          </w:tcPr>
          <w:p w14:paraId="1C13D3E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Temporary allowances</w:t>
            </w:r>
          </w:p>
        </w:tc>
        <w:tc>
          <w:tcPr>
            <w:tcW w:w="1900" w:type="dxa"/>
            <w:tcBorders>
              <w:top w:val="nil"/>
              <w:left w:val="nil"/>
              <w:bottom w:val="single" w:sz="4" w:space="0" w:color="auto"/>
              <w:right w:val="single" w:sz="4" w:space="0" w:color="auto"/>
            </w:tcBorders>
            <w:shd w:val="clear" w:color="auto" w:fill="auto"/>
            <w:vAlign w:val="center"/>
          </w:tcPr>
          <w:p w14:paraId="3FB4653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81 000</w:t>
            </w:r>
          </w:p>
        </w:tc>
      </w:tr>
      <w:tr w:rsidR="00C55629" w:rsidRPr="00C55629" w14:paraId="476CCA4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E74C3E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208CAF5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Remunerations and allowances</w:t>
            </w:r>
          </w:p>
        </w:tc>
        <w:tc>
          <w:tcPr>
            <w:tcW w:w="1900" w:type="dxa"/>
            <w:tcBorders>
              <w:top w:val="nil"/>
              <w:left w:val="nil"/>
              <w:bottom w:val="single" w:sz="4" w:space="0" w:color="auto"/>
              <w:right w:val="single" w:sz="4" w:space="0" w:color="auto"/>
            </w:tcBorders>
            <w:shd w:val="clear" w:color="auto" w:fill="auto"/>
            <w:vAlign w:val="center"/>
          </w:tcPr>
          <w:p w14:paraId="502F737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7 612 000</w:t>
            </w:r>
          </w:p>
        </w:tc>
      </w:tr>
      <w:tr w:rsidR="00C55629" w:rsidRPr="00C55629" w14:paraId="17C9E05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3982AC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1 2 0 2</w:t>
            </w:r>
          </w:p>
        </w:tc>
        <w:tc>
          <w:tcPr>
            <w:tcW w:w="6460" w:type="dxa"/>
            <w:tcBorders>
              <w:top w:val="nil"/>
              <w:left w:val="nil"/>
              <w:bottom w:val="single" w:sz="4" w:space="0" w:color="auto"/>
              <w:right w:val="single" w:sz="4" w:space="0" w:color="auto"/>
            </w:tcBorders>
            <w:shd w:val="clear" w:color="auto" w:fill="auto"/>
            <w:vAlign w:val="center"/>
            <w:hideMark/>
          </w:tcPr>
          <w:p w14:paraId="6FAD13B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Paid overtime</w:t>
            </w:r>
          </w:p>
        </w:tc>
        <w:tc>
          <w:tcPr>
            <w:tcW w:w="1900" w:type="dxa"/>
            <w:tcBorders>
              <w:top w:val="nil"/>
              <w:left w:val="nil"/>
              <w:bottom w:val="single" w:sz="4" w:space="0" w:color="auto"/>
              <w:right w:val="single" w:sz="4" w:space="0" w:color="auto"/>
            </w:tcBorders>
            <w:shd w:val="clear" w:color="auto" w:fill="auto"/>
            <w:vAlign w:val="center"/>
          </w:tcPr>
          <w:p w14:paraId="5DDA390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18 000</w:t>
            </w:r>
          </w:p>
        </w:tc>
      </w:tr>
      <w:tr w:rsidR="00C55629" w:rsidRPr="00C55629" w14:paraId="3E4DBEB1"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6B1131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1 2 0 4</w:t>
            </w:r>
          </w:p>
        </w:tc>
        <w:tc>
          <w:tcPr>
            <w:tcW w:w="6460" w:type="dxa"/>
            <w:tcBorders>
              <w:top w:val="nil"/>
              <w:left w:val="nil"/>
              <w:bottom w:val="single" w:sz="4" w:space="0" w:color="auto"/>
              <w:right w:val="single" w:sz="4" w:space="0" w:color="auto"/>
            </w:tcBorders>
            <w:shd w:val="clear" w:color="auto" w:fill="auto"/>
            <w:vAlign w:val="center"/>
          </w:tcPr>
          <w:p w14:paraId="423577B9"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related to entering the service, transfer and leaving the service</w:t>
            </w:r>
          </w:p>
        </w:tc>
        <w:tc>
          <w:tcPr>
            <w:tcW w:w="1900" w:type="dxa"/>
            <w:tcBorders>
              <w:top w:val="nil"/>
              <w:left w:val="nil"/>
              <w:bottom w:val="single" w:sz="4" w:space="0" w:color="auto"/>
              <w:right w:val="single" w:sz="4" w:space="0" w:color="auto"/>
            </w:tcBorders>
            <w:shd w:val="clear" w:color="auto" w:fill="auto"/>
            <w:vAlign w:val="center"/>
          </w:tcPr>
          <w:p w14:paraId="183EDA69"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45 000</w:t>
            </w:r>
          </w:p>
        </w:tc>
      </w:tr>
      <w:tr w:rsidR="00C55629" w:rsidRPr="00C55629" w14:paraId="30E2A5A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99704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1 4 0 0</w:t>
            </w:r>
          </w:p>
        </w:tc>
        <w:tc>
          <w:tcPr>
            <w:tcW w:w="6460" w:type="dxa"/>
            <w:tcBorders>
              <w:top w:val="nil"/>
              <w:left w:val="nil"/>
              <w:bottom w:val="single" w:sz="4" w:space="0" w:color="auto"/>
              <w:right w:val="single" w:sz="4" w:space="0" w:color="auto"/>
            </w:tcBorders>
            <w:shd w:val="clear" w:color="auto" w:fill="auto"/>
            <w:vAlign w:val="center"/>
            <w:hideMark/>
          </w:tcPr>
          <w:p w14:paraId="6474534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w:t>
            </w:r>
          </w:p>
        </w:tc>
        <w:tc>
          <w:tcPr>
            <w:tcW w:w="1900" w:type="dxa"/>
            <w:tcBorders>
              <w:top w:val="nil"/>
              <w:left w:val="nil"/>
              <w:bottom w:val="single" w:sz="4" w:space="0" w:color="auto"/>
              <w:right w:val="single" w:sz="4" w:space="0" w:color="auto"/>
            </w:tcBorders>
            <w:shd w:val="clear" w:color="auto" w:fill="auto"/>
            <w:vAlign w:val="center"/>
          </w:tcPr>
          <w:p w14:paraId="5DAC2A61"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290 000</w:t>
            </w:r>
          </w:p>
        </w:tc>
      </w:tr>
      <w:tr w:rsidR="00C55629" w:rsidRPr="00C55629" w14:paraId="7B4EF1F8"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1FAC0E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1 4 0 4</w:t>
            </w:r>
          </w:p>
        </w:tc>
        <w:tc>
          <w:tcPr>
            <w:tcW w:w="6460" w:type="dxa"/>
            <w:tcBorders>
              <w:top w:val="nil"/>
              <w:left w:val="nil"/>
              <w:bottom w:val="single" w:sz="4" w:space="0" w:color="auto"/>
              <w:right w:val="single" w:sz="4" w:space="0" w:color="auto"/>
            </w:tcBorders>
            <w:shd w:val="clear" w:color="auto" w:fill="auto"/>
            <w:vAlign w:val="center"/>
            <w:hideMark/>
          </w:tcPr>
          <w:p w14:paraId="0BC73CB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In-service training and staff exchanges</w:t>
            </w:r>
          </w:p>
        </w:tc>
        <w:tc>
          <w:tcPr>
            <w:tcW w:w="1900" w:type="dxa"/>
            <w:tcBorders>
              <w:top w:val="nil"/>
              <w:left w:val="nil"/>
              <w:bottom w:val="single" w:sz="4" w:space="0" w:color="auto"/>
              <w:right w:val="single" w:sz="4" w:space="0" w:color="auto"/>
            </w:tcBorders>
            <w:shd w:val="clear" w:color="auto" w:fill="auto"/>
            <w:vAlign w:val="center"/>
          </w:tcPr>
          <w:p w14:paraId="7570969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77 000</w:t>
            </w:r>
          </w:p>
        </w:tc>
      </w:tr>
      <w:tr w:rsidR="00C55629" w:rsidRPr="00C55629" w14:paraId="3B463B99"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A5AC36"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IV</w:t>
            </w:r>
          </w:p>
        </w:tc>
        <w:tc>
          <w:tcPr>
            <w:tcW w:w="1900" w:type="dxa"/>
            <w:tcBorders>
              <w:top w:val="nil"/>
              <w:left w:val="nil"/>
              <w:bottom w:val="single" w:sz="4" w:space="0" w:color="auto"/>
              <w:right w:val="single" w:sz="4" w:space="0" w:color="auto"/>
            </w:tcBorders>
            <w:shd w:val="clear" w:color="auto" w:fill="auto"/>
            <w:vAlign w:val="center"/>
          </w:tcPr>
          <w:p w14:paraId="54CC437F"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9 075 000</w:t>
            </w:r>
          </w:p>
        </w:tc>
      </w:tr>
      <w:tr w:rsidR="00C55629" w:rsidRPr="00C55629" w14:paraId="7C8C9F94"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0693BF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 - Court of Auditors</w:t>
            </w:r>
          </w:p>
        </w:tc>
        <w:tc>
          <w:tcPr>
            <w:tcW w:w="1900" w:type="dxa"/>
            <w:tcBorders>
              <w:top w:val="nil"/>
              <w:left w:val="single" w:sz="4" w:space="0" w:color="auto"/>
              <w:bottom w:val="single" w:sz="4" w:space="0" w:color="auto"/>
              <w:right w:val="single" w:sz="4" w:space="0" w:color="auto"/>
            </w:tcBorders>
            <w:shd w:val="clear" w:color="auto" w:fill="F2F2F2"/>
            <w:vAlign w:val="center"/>
            <w:hideMark/>
          </w:tcPr>
          <w:p w14:paraId="302E5556"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08F9780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9D2DAB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hideMark/>
          </w:tcPr>
          <w:p w14:paraId="691D725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allowances and pensions</w:t>
            </w:r>
          </w:p>
        </w:tc>
        <w:tc>
          <w:tcPr>
            <w:tcW w:w="1900" w:type="dxa"/>
            <w:tcBorders>
              <w:top w:val="nil"/>
              <w:left w:val="nil"/>
              <w:bottom w:val="single" w:sz="4" w:space="0" w:color="auto"/>
              <w:right w:val="single" w:sz="4" w:space="0" w:color="auto"/>
            </w:tcBorders>
            <w:shd w:val="clear" w:color="auto" w:fill="auto"/>
            <w:vAlign w:val="center"/>
          </w:tcPr>
          <w:p w14:paraId="29B7BDCF"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246 000</w:t>
            </w:r>
          </w:p>
        </w:tc>
      </w:tr>
      <w:tr w:rsidR="00C55629" w:rsidRPr="00C55629" w14:paraId="45945BE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57D94F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1 0 0 2</w:t>
            </w:r>
          </w:p>
        </w:tc>
        <w:tc>
          <w:tcPr>
            <w:tcW w:w="6460" w:type="dxa"/>
            <w:tcBorders>
              <w:top w:val="nil"/>
              <w:left w:val="nil"/>
              <w:bottom w:val="single" w:sz="4" w:space="0" w:color="auto"/>
              <w:right w:val="single" w:sz="4" w:space="0" w:color="auto"/>
            </w:tcBorders>
            <w:shd w:val="clear" w:color="auto" w:fill="auto"/>
            <w:vAlign w:val="center"/>
          </w:tcPr>
          <w:p w14:paraId="1DC93A2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on entering and leaving the service</w:t>
            </w:r>
          </w:p>
        </w:tc>
        <w:tc>
          <w:tcPr>
            <w:tcW w:w="1900" w:type="dxa"/>
            <w:tcBorders>
              <w:top w:val="nil"/>
              <w:left w:val="nil"/>
              <w:bottom w:val="single" w:sz="4" w:space="0" w:color="auto"/>
              <w:right w:val="single" w:sz="4" w:space="0" w:color="auto"/>
            </w:tcBorders>
            <w:shd w:val="clear" w:color="auto" w:fill="auto"/>
            <w:vAlign w:val="center"/>
          </w:tcPr>
          <w:p w14:paraId="4BC7A86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4 000</w:t>
            </w:r>
          </w:p>
        </w:tc>
      </w:tr>
      <w:tr w:rsidR="00C55629" w:rsidRPr="00C55629" w14:paraId="4193A9F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796504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1 0 2 0</w:t>
            </w:r>
          </w:p>
        </w:tc>
        <w:tc>
          <w:tcPr>
            <w:tcW w:w="6460" w:type="dxa"/>
            <w:tcBorders>
              <w:top w:val="nil"/>
              <w:left w:val="nil"/>
              <w:bottom w:val="single" w:sz="4" w:space="0" w:color="auto"/>
              <w:right w:val="single" w:sz="4" w:space="0" w:color="auto"/>
            </w:tcBorders>
            <w:shd w:val="clear" w:color="auto" w:fill="auto"/>
            <w:vAlign w:val="center"/>
            <w:hideMark/>
          </w:tcPr>
          <w:p w14:paraId="0C92D02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Temporary allowances</w:t>
            </w:r>
          </w:p>
        </w:tc>
        <w:tc>
          <w:tcPr>
            <w:tcW w:w="1900" w:type="dxa"/>
            <w:tcBorders>
              <w:top w:val="nil"/>
              <w:left w:val="nil"/>
              <w:bottom w:val="single" w:sz="4" w:space="0" w:color="auto"/>
              <w:right w:val="single" w:sz="4" w:space="0" w:color="auto"/>
            </w:tcBorders>
            <w:shd w:val="clear" w:color="auto" w:fill="auto"/>
            <w:vAlign w:val="center"/>
          </w:tcPr>
          <w:p w14:paraId="7748DEA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11 000</w:t>
            </w:r>
          </w:p>
        </w:tc>
      </w:tr>
      <w:tr w:rsidR="00C55629" w:rsidRPr="00C55629" w14:paraId="19A7566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ECC3E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0E240D7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vAlign w:val="center"/>
          </w:tcPr>
          <w:p w14:paraId="18268AC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3 243 000</w:t>
            </w:r>
          </w:p>
        </w:tc>
      </w:tr>
      <w:tr w:rsidR="00C55629" w:rsidRPr="00C55629" w14:paraId="4C8C92A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3AB74C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1 2 0 2</w:t>
            </w:r>
          </w:p>
        </w:tc>
        <w:tc>
          <w:tcPr>
            <w:tcW w:w="6460" w:type="dxa"/>
            <w:tcBorders>
              <w:top w:val="nil"/>
              <w:left w:val="nil"/>
              <w:bottom w:val="single" w:sz="4" w:space="0" w:color="auto"/>
              <w:right w:val="single" w:sz="4" w:space="0" w:color="auto"/>
            </w:tcBorders>
            <w:shd w:val="clear" w:color="auto" w:fill="auto"/>
            <w:vAlign w:val="center"/>
            <w:hideMark/>
          </w:tcPr>
          <w:p w14:paraId="23ABE6B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Paid overtime</w:t>
            </w:r>
          </w:p>
        </w:tc>
        <w:tc>
          <w:tcPr>
            <w:tcW w:w="1900" w:type="dxa"/>
            <w:tcBorders>
              <w:top w:val="nil"/>
              <w:left w:val="nil"/>
              <w:bottom w:val="single" w:sz="4" w:space="0" w:color="auto"/>
              <w:right w:val="single" w:sz="4" w:space="0" w:color="auto"/>
            </w:tcBorders>
            <w:shd w:val="clear" w:color="auto" w:fill="auto"/>
            <w:vAlign w:val="center"/>
          </w:tcPr>
          <w:p w14:paraId="14BDB319"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5 000</w:t>
            </w:r>
          </w:p>
        </w:tc>
      </w:tr>
      <w:tr w:rsidR="00C55629" w:rsidRPr="00C55629" w14:paraId="31C5EA2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7E3294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1 2 0 4</w:t>
            </w:r>
          </w:p>
        </w:tc>
        <w:tc>
          <w:tcPr>
            <w:tcW w:w="6460" w:type="dxa"/>
            <w:tcBorders>
              <w:top w:val="nil"/>
              <w:left w:val="nil"/>
              <w:bottom w:val="single" w:sz="4" w:space="0" w:color="auto"/>
              <w:right w:val="single" w:sz="4" w:space="0" w:color="auto"/>
            </w:tcBorders>
            <w:shd w:val="clear" w:color="auto" w:fill="auto"/>
            <w:vAlign w:val="center"/>
            <w:hideMark/>
          </w:tcPr>
          <w:p w14:paraId="70B4228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Entitlements on entering the service, transfer and leaving the service</w:t>
            </w:r>
          </w:p>
        </w:tc>
        <w:tc>
          <w:tcPr>
            <w:tcW w:w="1900" w:type="dxa"/>
            <w:tcBorders>
              <w:top w:val="nil"/>
              <w:left w:val="nil"/>
              <w:bottom w:val="single" w:sz="4" w:space="0" w:color="auto"/>
              <w:right w:val="single" w:sz="4" w:space="0" w:color="auto"/>
            </w:tcBorders>
            <w:shd w:val="clear" w:color="auto" w:fill="auto"/>
            <w:vAlign w:val="center"/>
          </w:tcPr>
          <w:p w14:paraId="499D475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16 000</w:t>
            </w:r>
          </w:p>
        </w:tc>
      </w:tr>
      <w:tr w:rsidR="00C55629" w:rsidRPr="00C55629" w14:paraId="14DC6D01"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0B3EFE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1 4 0 0</w:t>
            </w:r>
          </w:p>
        </w:tc>
        <w:tc>
          <w:tcPr>
            <w:tcW w:w="6460" w:type="dxa"/>
            <w:tcBorders>
              <w:top w:val="nil"/>
              <w:left w:val="nil"/>
              <w:bottom w:val="single" w:sz="4" w:space="0" w:color="auto"/>
              <w:right w:val="single" w:sz="4" w:space="0" w:color="auto"/>
            </w:tcBorders>
            <w:shd w:val="clear" w:color="auto" w:fill="auto"/>
            <w:vAlign w:val="center"/>
            <w:hideMark/>
          </w:tcPr>
          <w:p w14:paraId="6207F4D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 xml:space="preserve">Other staff </w:t>
            </w:r>
          </w:p>
        </w:tc>
        <w:tc>
          <w:tcPr>
            <w:tcW w:w="1900" w:type="dxa"/>
            <w:tcBorders>
              <w:top w:val="nil"/>
              <w:left w:val="nil"/>
              <w:bottom w:val="single" w:sz="4" w:space="0" w:color="auto"/>
              <w:right w:val="single" w:sz="4" w:space="0" w:color="auto"/>
            </w:tcBorders>
            <w:shd w:val="clear" w:color="auto" w:fill="auto"/>
            <w:vAlign w:val="center"/>
          </w:tcPr>
          <w:p w14:paraId="6648E09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140 000</w:t>
            </w:r>
          </w:p>
        </w:tc>
      </w:tr>
      <w:tr w:rsidR="00C55629" w:rsidRPr="00C55629" w14:paraId="7C10D3C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74E6DA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1 4 0 4</w:t>
            </w:r>
          </w:p>
        </w:tc>
        <w:tc>
          <w:tcPr>
            <w:tcW w:w="6460" w:type="dxa"/>
            <w:tcBorders>
              <w:top w:val="nil"/>
              <w:left w:val="nil"/>
              <w:bottom w:val="single" w:sz="4" w:space="0" w:color="auto"/>
              <w:right w:val="single" w:sz="4" w:space="0" w:color="auto"/>
            </w:tcBorders>
            <w:shd w:val="clear" w:color="auto" w:fill="auto"/>
            <w:vAlign w:val="center"/>
          </w:tcPr>
          <w:p w14:paraId="46D21CB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In-service training and staff exchanges</w:t>
            </w:r>
          </w:p>
        </w:tc>
        <w:tc>
          <w:tcPr>
            <w:tcW w:w="1900" w:type="dxa"/>
            <w:tcBorders>
              <w:top w:val="nil"/>
              <w:left w:val="nil"/>
              <w:bottom w:val="single" w:sz="4" w:space="0" w:color="auto"/>
              <w:right w:val="single" w:sz="4" w:space="0" w:color="auto"/>
            </w:tcBorders>
            <w:shd w:val="clear" w:color="auto" w:fill="auto"/>
            <w:vAlign w:val="center"/>
          </w:tcPr>
          <w:p w14:paraId="05A3E83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26 000</w:t>
            </w:r>
          </w:p>
        </w:tc>
      </w:tr>
      <w:tr w:rsidR="00C55629" w:rsidRPr="00C55629" w14:paraId="50EBE453"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9A84C4"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w:t>
            </w:r>
          </w:p>
        </w:tc>
        <w:tc>
          <w:tcPr>
            <w:tcW w:w="1900" w:type="dxa"/>
            <w:tcBorders>
              <w:top w:val="nil"/>
              <w:left w:val="nil"/>
              <w:bottom w:val="single" w:sz="4" w:space="0" w:color="auto"/>
              <w:right w:val="single" w:sz="4" w:space="0" w:color="auto"/>
            </w:tcBorders>
            <w:shd w:val="clear" w:color="auto" w:fill="auto"/>
            <w:vAlign w:val="center"/>
          </w:tcPr>
          <w:p w14:paraId="3EE421A7"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3 691 000</w:t>
            </w:r>
          </w:p>
        </w:tc>
      </w:tr>
      <w:tr w:rsidR="00C55629" w:rsidRPr="00C55629" w14:paraId="061CA198"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04A32A22"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 - European Economic and Social Committee</w:t>
            </w:r>
          </w:p>
        </w:tc>
        <w:tc>
          <w:tcPr>
            <w:tcW w:w="1900" w:type="dxa"/>
            <w:tcBorders>
              <w:top w:val="nil"/>
              <w:left w:val="single" w:sz="4" w:space="0" w:color="auto"/>
              <w:bottom w:val="single" w:sz="4" w:space="0" w:color="auto"/>
              <w:right w:val="single" w:sz="4" w:space="0" w:color="auto"/>
            </w:tcBorders>
            <w:shd w:val="clear" w:color="auto" w:fill="F2F2F2"/>
            <w:vAlign w:val="center"/>
          </w:tcPr>
          <w:p w14:paraId="02941600"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38DF7A3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370026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4B195DD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vAlign w:val="center"/>
          </w:tcPr>
          <w:p w14:paraId="2731B45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2 143 237</w:t>
            </w:r>
          </w:p>
        </w:tc>
      </w:tr>
      <w:tr w:rsidR="00C55629" w:rsidRPr="00C55629" w14:paraId="3892F8D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060744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1 2 2 0</w:t>
            </w:r>
          </w:p>
        </w:tc>
        <w:tc>
          <w:tcPr>
            <w:tcW w:w="6460" w:type="dxa"/>
            <w:tcBorders>
              <w:top w:val="nil"/>
              <w:left w:val="nil"/>
              <w:bottom w:val="single" w:sz="4" w:space="0" w:color="auto"/>
              <w:right w:val="single" w:sz="4" w:space="0" w:color="auto"/>
            </w:tcBorders>
            <w:shd w:val="clear" w:color="auto" w:fill="auto"/>
            <w:vAlign w:val="center"/>
            <w:hideMark/>
          </w:tcPr>
          <w:p w14:paraId="3F5ADCD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Allowances for staff retired or placed on leave in the interests of the service</w:t>
            </w:r>
          </w:p>
        </w:tc>
        <w:tc>
          <w:tcPr>
            <w:tcW w:w="1900" w:type="dxa"/>
            <w:tcBorders>
              <w:top w:val="nil"/>
              <w:left w:val="nil"/>
              <w:bottom w:val="single" w:sz="4" w:space="0" w:color="auto"/>
              <w:right w:val="single" w:sz="4" w:space="0" w:color="auto"/>
            </w:tcBorders>
            <w:shd w:val="clear" w:color="auto" w:fill="auto"/>
            <w:vAlign w:val="center"/>
          </w:tcPr>
          <w:p w14:paraId="1BD7959A"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7 300</w:t>
            </w:r>
          </w:p>
        </w:tc>
      </w:tr>
      <w:tr w:rsidR="00C55629" w:rsidRPr="00C55629" w14:paraId="7ADFC0AD"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960CC9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1 4 0 0</w:t>
            </w:r>
          </w:p>
        </w:tc>
        <w:tc>
          <w:tcPr>
            <w:tcW w:w="6460" w:type="dxa"/>
            <w:tcBorders>
              <w:top w:val="nil"/>
              <w:left w:val="nil"/>
              <w:bottom w:val="single" w:sz="4" w:space="0" w:color="auto"/>
              <w:right w:val="single" w:sz="4" w:space="0" w:color="auto"/>
            </w:tcBorders>
            <w:shd w:val="clear" w:color="auto" w:fill="auto"/>
            <w:vAlign w:val="center"/>
            <w:hideMark/>
          </w:tcPr>
          <w:p w14:paraId="11955BB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w:t>
            </w:r>
          </w:p>
        </w:tc>
        <w:tc>
          <w:tcPr>
            <w:tcW w:w="1900" w:type="dxa"/>
            <w:tcBorders>
              <w:top w:val="nil"/>
              <w:left w:val="nil"/>
              <w:bottom w:val="single" w:sz="4" w:space="0" w:color="auto"/>
              <w:right w:val="single" w:sz="4" w:space="0" w:color="auto"/>
            </w:tcBorders>
            <w:shd w:val="clear" w:color="auto" w:fill="auto"/>
            <w:vAlign w:val="center"/>
          </w:tcPr>
          <w:p w14:paraId="29ECC21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70 196</w:t>
            </w:r>
          </w:p>
        </w:tc>
      </w:tr>
      <w:tr w:rsidR="00C55629" w:rsidRPr="00C55629" w14:paraId="1DD7EFD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EFAD7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1 4 0 4</w:t>
            </w:r>
          </w:p>
        </w:tc>
        <w:tc>
          <w:tcPr>
            <w:tcW w:w="6460" w:type="dxa"/>
            <w:tcBorders>
              <w:top w:val="nil"/>
              <w:left w:val="nil"/>
              <w:bottom w:val="single" w:sz="4" w:space="0" w:color="auto"/>
              <w:right w:val="single" w:sz="4" w:space="0" w:color="auto"/>
            </w:tcBorders>
            <w:shd w:val="clear" w:color="auto" w:fill="auto"/>
            <w:vAlign w:val="center"/>
            <w:hideMark/>
          </w:tcPr>
          <w:p w14:paraId="29DFDCB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Graduate traineeships, grants and exchanges of officials</w:t>
            </w:r>
          </w:p>
        </w:tc>
        <w:tc>
          <w:tcPr>
            <w:tcW w:w="1900" w:type="dxa"/>
            <w:tcBorders>
              <w:top w:val="nil"/>
              <w:left w:val="nil"/>
              <w:bottom w:val="single" w:sz="4" w:space="0" w:color="auto"/>
              <w:right w:val="single" w:sz="4" w:space="0" w:color="auto"/>
            </w:tcBorders>
            <w:shd w:val="clear" w:color="auto" w:fill="auto"/>
            <w:vAlign w:val="center"/>
          </w:tcPr>
          <w:p w14:paraId="0C22606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22 151</w:t>
            </w:r>
          </w:p>
        </w:tc>
      </w:tr>
      <w:tr w:rsidR="00C55629" w:rsidRPr="00C55629" w14:paraId="491A19B8" w14:textId="77777777" w:rsidTr="00C55629">
        <w:trPr>
          <w:trHeight w:val="345"/>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18979F"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w:t>
            </w:r>
          </w:p>
        </w:tc>
        <w:tc>
          <w:tcPr>
            <w:tcW w:w="1900" w:type="dxa"/>
            <w:tcBorders>
              <w:top w:val="nil"/>
              <w:left w:val="nil"/>
              <w:bottom w:val="single" w:sz="4" w:space="0" w:color="auto"/>
              <w:right w:val="single" w:sz="4" w:space="0" w:color="auto"/>
            </w:tcBorders>
            <w:shd w:val="clear" w:color="auto" w:fill="auto"/>
            <w:vAlign w:val="center"/>
          </w:tcPr>
          <w:p w14:paraId="4A7D6F0D"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2 242 884</w:t>
            </w:r>
          </w:p>
        </w:tc>
      </w:tr>
      <w:tr w:rsidR="00C55629" w:rsidRPr="00C55629" w14:paraId="54D731B2" w14:textId="77777777" w:rsidTr="00C55629">
        <w:trPr>
          <w:trHeight w:val="345"/>
        </w:trPr>
        <w:tc>
          <w:tcPr>
            <w:tcW w:w="8060"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095980B6"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VII - European Committee of the Regions</w:t>
            </w:r>
          </w:p>
        </w:tc>
        <w:tc>
          <w:tcPr>
            <w:tcW w:w="1900" w:type="dxa"/>
            <w:tcBorders>
              <w:top w:val="nil"/>
              <w:left w:val="nil"/>
              <w:bottom w:val="single" w:sz="4" w:space="0" w:color="auto"/>
              <w:right w:val="single" w:sz="4" w:space="0" w:color="auto"/>
            </w:tcBorders>
            <w:shd w:val="clear" w:color="auto" w:fill="F2F2F2"/>
            <w:vAlign w:val="center"/>
          </w:tcPr>
          <w:p w14:paraId="49AB89ED" w14:textId="77777777" w:rsidR="00C55629" w:rsidRPr="00C55629" w:rsidRDefault="00C55629" w:rsidP="00C55629">
            <w:pPr>
              <w:spacing w:after="0" w:line="240" w:lineRule="auto"/>
              <w:jc w:val="right"/>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62CC2053"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E9A6961"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 xml:space="preserve">1 2 0 0 </w:t>
            </w:r>
          </w:p>
        </w:tc>
        <w:tc>
          <w:tcPr>
            <w:tcW w:w="6460" w:type="dxa"/>
            <w:tcBorders>
              <w:top w:val="single" w:sz="4" w:space="0" w:color="auto"/>
              <w:left w:val="single" w:sz="4" w:space="0" w:color="auto"/>
              <w:bottom w:val="single" w:sz="4" w:space="0" w:color="auto"/>
              <w:right w:val="single" w:sz="4" w:space="0" w:color="000000"/>
            </w:tcBorders>
            <w:shd w:val="clear" w:color="auto" w:fill="auto"/>
            <w:vAlign w:val="center"/>
          </w:tcPr>
          <w:p w14:paraId="64C9A7C5"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vAlign w:val="center"/>
          </w:tcPr>
          <w:p w14:paraId="2736223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1 660 000</w:t>
            </w:r>
          </w:p>
        </w:tc>
      </w:tr>
      <w:tr w:rsidR="00C55629" w:rsidRPr="00C55629" w14:paraId="43BF1389"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C0109C3"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1 2 0 2</w:t>
            </w:r>
          </w:p>
        </w:tc>
        <w:tc>
          <w:tcPr>
            <w:tcW w:w="6460" w:type="dxa"/>
            <w:tcBorders>
              <w:top w:val="single" w:sz="4" w:space="0" w:color="auto"/>
              <w:left w:val="single" w:sz="4" w:space="0" w:color="auto"/>
              <w:bottom w:val="single" w:sz="4" w:space="0" w:color="auto"/>
              <w:right w:val="single" w:sz="4" w:space="0" w:color="000000"/>
            </w:tcBorders>
            <w:shd w:val="clear" w:color="auto" w:fill="auto"/>
            <w:vAlign w:val="center"/>
          </w:tcPr>
          <w:p w14:paraId="5EE0501C"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Paid overtime</w:t>
            </w:r>
          </w:p>
        </w:tc>
        <w:tc>
          <w:tcPr>
            <w:tcW w:w="1900" w:type="dxa"/>
            <w:tcBorders>
              <w:top w:val="nil"/>
              <w:left w:val="nil"/>
              <w:bottom w:val="single" w:sz="4" w:space="0" w:color="auto"/>
              <w:right w:val="single" w:sz="4" w:space="0" w:color="auto"/>
            </w:tcBorders>
            <w:shd w:val="clear" w:color="auto" w:fill="auto"/>
            <w:vAlign w:val="center"/>
          </w:tcPr>
          <w:p w14:paraId="5E6E2CF1"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700</w:t>
            </w:r>
          </w:p>
        </w:tc>
      </w:tr>
      <w:tr w:rsidR="00C55629" w:rsidRPr="00C55629" w14:paraId="5D2F28A3"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45D3D86"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1 2 0 4</w:t>
            </w:r>
          </w:p>
        </w:tc>
        <w:tc>
          <w:tcPr>
            <w:tcW w:w="6460" w:type="dxa"/>
            <w:tcBorders>
              <w:top w:val="single" w:sz="4" w:space="0" w:color="auto"/>
              <w:left w:val="single" w:sz="4" w:space="0" w:color="auto"/>
              <w:bottom w:val="single" w:sz="4" w:space="0" w:color="auto"/>
              <w:right w:val="single" w:sz="4" w:space="0" w:color="000000"/>
            </w:tcBorders>
            <w:shd w:val="clear" w:color="auto" w:fill="auto"/>
            <w:vAlign w:val="center"/>
          </w:tcPr>
          <w:p w14:paraId="580DED7C"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Entitlements on entering the service, transfer and leaving the service</w:t>
            </w:r>
          </w:p>
        </w:tc>
        <w:tc>
          <w:tcPr>
            <w:tcW w:w="1900" w:type="dxa"/>
            <w:tcBorders>
              <w:top w:val="nil"/>
              <w:left w:val="nil"/>
              <w:bottom w:val="single" w:sz="4" w:space="0" w:color="auto"/>
              <w:right w:val="single" w:sz="4" w:space="0" w:color="auto"/>
            </w:tcBorders>
            <w:shd w:val="clear" w:color="auto" w:fill="auto"/>
            <w:vAlign w:val="center"/>
          </w:tcPr>
          <w:p w14:paraId="295C838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5 100</w:t>
            </w:r>
          </w:p>
        </w:tc>
      </w:tr>
      <w:tr w:rsidR="00C55629" w:rsidRPr="00C55629" w14:paraId="33F50D53"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tcPr>
          <w:p w14:paraId="7536D771"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1 2 2 0</w:t>
            </w:r>
          </w:p>
        </w:tc>
        <w:tc>
          <w:tcPr>
            <w:tcW w:w="6460" w:type="dxa"/>
            <w:tcBorders>
              <w:top w:val="single" w:sz="4" w:space="0" w:color="auto"/>
              <w:left w:val="single" w:sz="4" w:space="0" w:color="auto"/>
              <w:bottom w:val="single" w:sz="4" w:space="0" w:color="auto"/>
              <w:right w:val="single" w:sz="4" w:space="0" w:color="000000"/>
            </w:tcBorders>
            <w:shd w:val="clear" w:color="auto" w:fill="auto"/>
          </w:tcPr>
          <w:p w14:paraId="53F40F46"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Allowance for staff retired in the interests of the service</w:t>
            </w:r>
          </w:p>
        </w:tc>
        <w:tc>
          <w:tcPr>
            <w:tcW w:w="1900" w:type="dxa"/>
            <w:tcBorders>
              <w:top w:val="nil"/>
              <w:left w:val="nil"/>
              <w:bottom w:val="single" w:sz="4" w:space="0" w:color="auto"/>
              <w:right w:val="single" w:sz="4" w:space="0" w:color="auto"/>
            </w:tcBorders>
            <w:shd w:val="clear" w:color="auto" w:fill="auto"/>
            <w:vAlign w:val="center"/>
          </w:tcPr>
          <w:p w14:paraId="54FAC8C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8 300</w:t>
            </w:r>
          </w:p>
        </w:tc>
      </w:tr>
      <w:tr w:rsidR="00C55629" w:rsidRPr="00C55629" w14:paraId="0DFCA8C2"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0D083C"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1 4 0 0</w:t>
            </w:r>
          </w:p>
        </w:tc>
        <w:tc>
          <w:tcPr>
            <w:tcW w:w="6460" w:type="dxa"/>
            <w:tcBorders>
              <w:top w:val="single" w:sz="4" w:space="0" w:color="auto"/>
              <w:left w:val="single" w:sz="4" w:space="0" w:color="auto"/>
              <w:bottom w:val="single" w:sz="4" w:space="0" w:color="auto"/>
              <w:right w:val="single" w:sz="4" w:space="0" w:color="000000"/>
            </w:tcBorders>
            <w:shd w:val="clear" w:color="auto" w:fill="auto"/>
            <w:vAlign w:val="center"/>
          </w:tcPr>
          <w:p w14:paraId="1E01D2E5"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Other staff</w:t>
            </w:r>
          </w:p>
        </w:tc>
        <w:tc>
          <w:tcPr>
            <w:tcW w:w="1900" w:type="dxa"/>
            <w:tcBorders>
              <w:top w:val="nil"/>
              <w:left w:val="nil"/>
              <w:bottom w:val="single" w:sz="4" w:space="0" w:color="auto"/>
              <w:right w:val="single" w:sz="4" w:space="0" w:color="auto"/>
            </w:tcBorders>
            <w:shd w:val="clear" w:color="auto" w:fill="auto"/>
            <w:vAlign w:val="center"/>
          </w:tcPr>
          <w:p w14:paraId="470460A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124 100</w:t>
            </w:r>
          </w:p>
        </w:tc>
      </w:tr>
      <w:tr w:rsidR="00C55629" w:rsidRPr="00C55629" w14:paraId="093716DD"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tcPr>
          <w:p w14:paraId="30E2D5E5"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1 4 0 4</w:t>
            </w:r>
          </w:p>
        </w:tc>
        <w:tc>
          <w:tcPr>
            <w:tcW w:w="6460" w:type="dxa"/>
            <w:tcBorders>
              <w:top w:val="single" w:sz="4" w:space="0" w:color="auto"/>
              <w:left w:val="single" w:sz="4" w:space="0" w:color="auto"/>
              <w:bottom w:val="single" w:sz="4" w:space="0" w:color="auto"/>
              <w:right w:val="single" w:sz="4" w:space="0" w:color="000000"/>
            </w:tcBorders>
            <w:shd w:val="clear" w:color="auto" w:fill="auto"/>
          </w:tcPr>
          <w:p w14:paraId="09348D9C"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Graduate traineeships, grants and exchanges of officials</w:t>
            </w:r>
          </w:p>
        </w:tc>
        <w:tc>
          <w:tcPr>
            <w:tcW w:w="1900" w:type="dxa"/>
            <w:tcBorders>
              <w:top w:val="nil"/>
              <w:left w:val="nil"/>
              <w:bottom w:val="single" w:sz="4" w:space="0" w:color="auto"/>
              <w:right w:val="single" w:sz="4" w:space="0" w:color="auto"/>
            </w:tcBorders>
            <w:shd w:val="clear" w:color="auto" w:fill="auto"/>
            <w:vAlign w:val="center"/>
          </w:tcPr>
          <w:p w14:paraId="40293DDD"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14 900</w:t>
            </w:r>
          </w:p>
        </w:tc>
      </w:tr>
      <w:tr w:rsidR="00C55629" w:rsidRPr="00C55629" w14:paraId="1FAAF573" w14:textId="77777777" w:rsidTr="0028479A">
        <w:trPr>
          <w:trHeight w:val="270"/>
        </w:trPr>
        <w:tc>
          <w:tcPr>
            <w:tcW w:w="8060" w:type="dxa"/>
            <w:gridSpan w:val="2"/>
            <w:tcBorders>
              <w:top w:val="single" w:sz="4" w:space="0" w:color="auto"/>
              <w:left w:val="single" w:sz="4" w:space="0" w:color="auto"/>
              <w:bottom w:val="single" w:sz="4" w:space="0" w:color="auto"/>
              <w:right w:val="nil"/>
            </w:tcBorders>
            <w:shd w:val="clear" w:color="auto" w:fill="auto"/>
            <w:vAlign w:val="center"/>
          </w:tcPr>
          <w:p w14:paraId="2174CC04" w14:textId="77777777" w:rsidR="00C55629" w:rsidRPr="00C55629" w:rsidRDefault="00C55629" w:rsidP="00C55629">
            <w:pPr>
              <w:spacing w:after="0" w:line="240" w:lineRule="auto"/>
              <w:rPr>
                <w:rFonts w:ascii="Times New Roman" w:eastAsia="Times New Roman" w:hAnsi="Times New Roman" w:cs="Times New Roman"/>
                <w:b/>
                <w:bCs/>
                <w:i/>
                <w:i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VII</w:t>
            </w:r>
          </w:p>
        </w:tc>
        <w:tc>
          <w:tcPr>
            <w:tcW w:w="1900" w:type="dxa"/>
            <w:tcBorders>
              <w:top w:val="nil"/>
              <w:left w:val="single" w:sz="4" w:space="0" w:color="auto"/>
              <w:bottom w:val="single" w:sz="4" w:space="0" w:color="auto"/>
              <w:right w:val="single" w:sz="4" w:space="0" w:color="auto"/>
            </w:tcBorders>
            <w:shd w:val="clear" w:color="auto" w:fill="auto"/>
            <w:vAlign w:val="center"/>
          </w:tcPr>
          <w:p w14:paraId="18C383FB" w14:textId="77777777" w:rsidR="00C55629" w:rsidRPr="00C55629" w:rsidRDefault="00C55629" w:rsidP="00C55629">
            <w:pPr>
              <w:spacing w:after="0" w:line="240" w:lineRule="auto"/>
              <w:jc w:val="right"/>
              <w:rPr>
                <w:rFonts w:ascii="Times New Roman" w:eastAsia="Times New Roman" w:hAnsi="Times New Roman" w:cs="Times New Roman"/>
                <w:b/>
                <w:bCs/>
                <w:iCs/>
                <w:noProof/>
                <w:kern w:val="0"/>
                <w:sz w:val="16"/>
                <w:szCs w:val="16"/>
                <w:lang w:val="en-GB" w:eastAsia="en-GB"/>
                <w14:ligatures w14:val="none"/>
              </w:rPr>
            </w:pPr>
            <w:r w:rsidRPr="00C55629">
              <w:rPr>
                <w:rFonts w:ascii="Times New Roman" w:eastAsia="Times New Roman" w:hAnsi="Times New Roman" w:cs="Times New Roman"/>
                <w:b/>
                <w:bCs/>
                <w:iCs/>
                <w:noProof/>
                <w:kern w:val="0"/>
                <w:sz w:val="16"/>
                <w:szCs w:val="16"/>
                <w:lang w:val="en-GB" w:eastAsia="en-GB"/>
                <w14:ligatures w14:val="none"/>
              </w:rPr>
              <w:t>1 813 100</w:t>
            </w:r>
          </w:p>
        </w:tc>
      </w:tr>
      <w:tr w:rsidR="00C55629" w:rsidRPr="00C55629" w14:paraId="34A46F49" w14:textId="77777777" w:rsidTr="00C55629">
        <w:trPr>
          <w:trHeight w:val="270"/>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7C96F844"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VIII - European Ombudsman</w:t>
            </w:r>
          </w:p>
        </w:tc>
        <w:tc>
          <w:tcPr>
            <w:tcW w:w="1900" w:type="dxa"/>
            <w:tcBorders>
              <w:top w:val="nil"/>
              <w:left w:val="single" w:sz="4" w:space="0" w:color="auto"/>
              <w:bottom w:val="single" w:sz="4" w:space="0" w:color="auto"/>
              <w:right w:val="single" w:sz="4" w:space="0" w:color="auto"/>
            </w:tcBorders>
            <w:shd w:val="clear" w:color="auto" w:fill="F2F2F2"/>
            <w:vAlign w:val="center"/>
          </w:tcPr>
          <w:p w14:paraId="46BF5172"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0FD7767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34E1A7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w:t>
            </w:r>
          </w:p>
        </w:tc>
        <w:tc>
          <w:tcPr>
            <w:tcW w:w="6460" w:type="dxa"/>
            <w:tcBorders>
              <w:top w:val="nil"/>
              <w:left w:val="nil"/>
              <w:bottom w:val="single" w:sz="4" w:space="0" w:color="auto"/>
              <w:right w:val="single" w:sz="4" w:space="0" w:color="auto"/>
            </w:tcBorders>
            <w:shd w:val="clear" w:color="auto" w:fill="auto"/>
            <w:vAlign w:val="center"/>
            <w:hideMark/>
          </w:tcPr>
          <w:p w14:paraId="0659092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Salaries, allowances and payments related to salaries</w:t>
            </w:r>
          </w:p>
        </w:tc>
        <w:tc>
          <w:tcPr>
            <w:tcW w:w="1900" w:type="dxa"/>
            <w:tcBorders>
              <w:top w:val="nil"/>
              <w:left w:val="nil"/>
              <w:bottom w:val="single" w:sz="4" w:space="0" w:color="auto"/>
              <w:right w:val="single" w:sz="4" w:space="0" w:color="auto"/>
            </w:tcBorders>
            <w:shd w:val="clear" w:color="auto" w:fill="auto"/>
            <w:vAlign w:val="center"/>
          </w:tcPr>
          <w:p w14:paraId="20C0646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20 000</w:t>
            </w:r>
          </w:p>
        </w:tc>
      </w:tr>
      <w:tr w:rsidR="00C55629" w:rsidRPr="00C55629" w14:paraId="5504A1F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57E97B6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tcPr>
          <w:p w14:paraId="333081D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vAlign w:val="center"/>
          </w:tcPr>
          <w:p w14:paraId="66F1603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320 000</w:t>
            </w:r>
          </w:p>
        </w:tc>
      </w:tr>
      <w:tr w:rsidR="00C55629" w:rsidRPr="00C55629" w14:paraId="7054024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2DC5D92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1 4 0 0</w:t>
            </w:r>
          </w:p>
        </w:tc>
        <w:tc>
          <w:tcPr>
            <w:tcW w:w="6460" w:type="dxa"/>
            <w:tcBorders>
              <w:top w:val="nil"/>
              <w:left w:val="nil"/>
              <w:bottom w:val="single" w:sz="4" w:space="0" w:color="auto"/>
              <w:right w:val="single" w:sz="4" w:space="0" w:color="auto"/>
            </w:tcBorders>
            <w:shd w:val="clear" w:color="auto" w:fill="auto"/>
            <w:vAlign w:val="center"/>
          </w:tcPr>
          <w:p w14:paraId="1A29240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Other staff</w:t>
            </w:r>
          </w:p>
        </w:tc>
        <w:tc>
          <w:tcPr>
            <w:tcW w:w="1900" w:type="dxa"/>
            <w:tcBorders>
              <w:top w:val="nil"/>
              <w:left w:val="nil"/>
              <w:bottom w:val="single" w:sz="4" w:space="0" w:color="auto"/>
              <w:right w:val="single" w:sz="4" w:space="0" w:color="auto"/>
            </w:tcBorders>
            <w:shd w:val="clear" w:color="auto" w:fill="auto"/>
            <w:vAlign w:val="center"/>
          </w:tcPr>
          <w:p w14:paraId="37591A5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57 000</w:t>
            </w:r>
          </w:p>
        </w:tc>
      </w:tr>
      <w:tr w:rsidR="00C55629" w:rsidRPr="00C55629" w14:paraId="1D691B2F"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61E817A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1 4 0 4</w:t>
            </w:r>
          </w:p>
        </w:tc>
        <w:tc>
          <w:tcPr>
            <w:tcW w:w="6460" w:type="dxa"/>
            <w:tcBorders>
              <w:top w:val="nil"/>
              <w:left w:val="nil"/>
              <w:bottom w:val="single" w:sz="4" w:space="0" w:color="auto"/>
              <w:right w:val="single" w:sz="4" w:space="0" w:color="auto"/>
            </w:tcBorders>
            <w:shd w:val="clear" w:color="auto" w:fill="auto"/>
            <w:vAlign w:val="center"/>
          </w:tcPr>
          <w:p w14:paraId="1FDFAAB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Graduate traineeships, grants and exchanges of officials</w:t>
            </w:r>
          </w:p>
        </w:tc>
        <w:tc>
          <w:tcPr>
            <w:tcW w:w="1900" w:type="dxa"/>
            <w:tcBorders>
              <w:top w:val="nil"/>
              <w:left w:val="nil"/>
              <w:bottom w:val="single" w:sz="4" w:space="0" w:color="auto"/>
              <w:right w:val="single" w:sz="4" w:space="0" w:color="auto"/>
            </w:tcBorders>
            <w:shd w:val="clear" w:color="auto" w:fill="auto"/>
            <w:vAlign w:val="center"/>
          </w:tcPr>
          <w:p w14:paraId="62A635C1"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23 000</w:t>
            </w:r>
          </w:p>
        </w:tc>
      </w:tr>
      <w:tr w:rsidR="00C55629" w:rsidRPr="00C55629" w14:paraId="1C41951D"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44AD65"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VIII</w:t>
            </w:r>
          </w:p>
        </w:tc>
        <w:tc>
          <w:tcPr>
            <w:tcW w:w="1900" w:type="dxa"/>
            <w:tcBorders>
              <w:top w:val="nil"/>
              <w:left w:val="nil"/>
              <w:bottom w:val="single" w:sz="4" w:space="0" w:color="auto"/>
              <w:right w:val="single" w:sz="4" w:space="0" w:color="auto"/>
            </w:tcBorders>
            <w:shd w:val="clear" w:color="auto" w:fill="auto"/>
            <w:vAlign w:val="center"/>
          </w:tcPr>
          <w:p w14:paraId="39BCD4EF"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420 000</w:t>
            </w:r>
          </w:p>
        </w:tc>
      </w:tr>
      <w:tr w:rsidR="00C55629" w:rsidRPr="00C55629" w14:paraId="3D619FC7"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B024D8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IX - European Data Protection Supervisor</w:t>
            </w:r>
          </w:p>
        </w:tc>
        <w:tc>
          <w:tcPr>
            <w:tcW w:w="1900" w:type="dxa"/>
            <w:tcBorders>
              <w:top w:val="nil"/>
              <w:left w:val="single" w:sz="4" w:space="0" w:color="auto"/>
              <w:bottom w:val="single" w:sz="4" w:space="0" w:color="auto"/>
              <w:right w:val="single" w:sz="4" w:space="0" w:color="auto"/>
            </w:tcBorders>
            <w:shd w:val="clear" w:color="auto" w:fill="F2F2F2"/>
            <w:vAlign w:val="center"/>
          </w:tcPr>
          <w:p w14:paraId="426525A2"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0358A09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53B6CA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hideMark/>
          </w:tcPr>
          <w:p w14:paraId="33C4614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tcPr>
          <w:p w14:paraId="0FD5422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9 000</w:t>
            </w:r>
          </w:p>
        </w:tc>
      </w:tr>
      <w:tr w:rsidR="00C55629" w:rsidRPr="00C55629" w14:paraId="55195E9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14F44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1 1 0 0</w:t>
            </w:r>
          </w:p>
        </w:tc>
        <w:tc>
          <w:tcPr>
            <w:tcW w:w="6460" w:type="dxa"/>
            <w:tcBorders>
              <w:top w:val="nil"/>
              <w:left w:val="nil"/>
              <w:bottom w:val="single" w:sz="4" w:space="0" w:color="auto"/>
              <w:right w:val="single" w:sz="4" w:space="0" w:color="auto"/>
            </w:tcBorders>
            <w:shd w:val="clear" w:color="auto" w:fill="auto"/>
            <w:vAlign w:val="center"/>
            <w:hideMark/>
          </w:tcPr>
          <w:p w14:paraId="10EC2F9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tcPr>
          <w:p w14:paraId="4FE9BD8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193 000</w:t>
            </w:r>
          </w:p>
        </w:tc>
      </w:tr>
      <w:tr w:rsidR="00C55629" w:rsidRPr="00C55629" w14:paraId="74D9D0C6"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4F235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1 1 1 0</w:t>
            </w:r>
          </w:p>
        </w:tc>
        <w:tc>
          <w:tcPr>
            <w:tcW w:w="6460" w:type="dxa"/>
            <w:tcBorders>
              <w:top w:val="nil"/>
              <w:left w:val="nil"/>
              <w:bottom w:val="single" w:sz="4" w:space="0" w:color="auto"/>
              <w:right w:val="single" w:sz="4" w:space="0" w:color="auto"/>
            </w:tcBorders>
            <w:shd w:val="clear" w:color="auto" w:fill="auto"/>
            <w:vAlign w:val="center"/>
            <w:hideMark/>
          </w:tcPr>
          <w:p w14:paraId="7C0CBCC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Contract staff</w:t>
            </w:r>
          </w:p>
        </w:tc>
        <w:tc>
          <w:tcPr>
            <w:tcW w:w="1900" w:type="dxa"/>
            <w:tcBorders>
              <w:top w:val="nil"/>
              <w:left w:val="nil"/>
              <w:bottom w:val="single" w:sz="4" w:space="0" w:color="auto"/>
              <w:right w:val="single" w:sz="4" w:space="0" w:color="auto"/>
            </w:tcBorders>
            <w:shd w:val="clear" w:color="auto" w:fill="auto"/>
          </w:tcPr>
          <w:p w14:paraId="0FB383F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54 000</w:t>
            </w:r>
          </w:p>
        </w:tc>
      </w:tr>
      <w:tr w:rsidR="00C55629" w:rsidRPr="00C55629" w14:paraId="5D652B44"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32B316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3 0 1 0</w:t>
            </w:r>
          </w:p>
        </w:tc>
        <w:tc>
          <w:tcPr>
            <w:tcW w:w="6460" w:type="dxa"/>
            <w:tcBorders>
              <w:top w:val="nil"/>
              <w:left w:val="nil"/>
              <w:bottom w:val="single" w:sz="4" w:space="0" w:color="auto"/>
              <w:right w:val="single" w:sz="4" w:space="0" w:color="auto"/>
            </w:tcBorders>
            <w:shd w:val="clear" w:color="auto" w:fill="auto"/>
            <w:vAlign w:val="center"/>
            <w:hideMark/>
          </w:tcPr>
          <w:p w14:paraId="0B13A88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0" w:type="dxa"/>
            <w:tcBorders>
              <w:top w:val="nil"/>
              <w:left w:val="nil"/>
              <w:bottom w:val="single" w:sz="4" w:space="0" w:color="auto"/>
              <w:right w:val="single" w:sz="4" w:space="0" w:color="auto"/>
            </w:tcBorders>
            <w:shd w:val="clear" w:color="auto" w:fill="auto"/>
          </w:tcPr>
          <w:p w14:paraId="0C34B73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50 000</w:t>
            </w:r>
          </w:p>
        </w:tc>
      </w:tr>
      <w:tr w:rsidR="00C55629" w:rsidRPr="00C55629" w14:paraId="6949025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0D39C6B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3 0 2 0</w:t>
            </w:r>
          </w:p>
        </w:tc>
        <w:tc>
          <w:tcPr>
            <w:tcW w:w="6460" w:type="dxa"/>
            <w:tcBorders>
              <w:top w:val="nil"/>
              <w:left w:val="nil"/>
              <w:bottom w:val="single" w:sz="4" w:space="0" w:color="auto"/>
              <w:right w:val="single" w:sz="4" w:space="0" w:color="auto"/>
            </w:tcBorders>
            <w:shd w:val="clear" w:color="auto" w:fill="auto"/>
            <w:vAlign w:val="center"/>
          </w:tcPr>
          <w:p w14:paraId="7C8838D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Contract staff</w:t>
            </w:r>
          </w:p>
        </w:tc>
        <w:tc>
          <w:tcPr>
            <w:tcW w:w="1900" w:type="dxa"/>
            <w:tcBorders>
              <w:top w:val="nil"/>
              <w:left w:val="nil"/>
              <w:bottom w:val="single" w:sz="4" w:space="0" w:color="auto"/>
              <w:right w:val="single" w:sz="4" w:space="0" w:color="auto"/>
            </w:tcBorders>
            <w:shd w:val="clear" w:color="auto" w:fill="auto"/>
          </w:tcPr>
          <w:p w14:paraId="10FA317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27 000</w:t>
            </w:r>
          </w:p>
        </w:tc>
      </w:tr>
      <w:tr w:rsidR="00C55629" w:rsidRPr="00C55629" w14:paraId="368D234F"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EBA876"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IX</w:t>
            </w:r>
          </w:p>
        </w:tc>
        <w:tc>
          <w:tcPr>
            <w:tcW w:w="1900" w:type="dxa"/>
            <w:tcBorders>
              <w:top w:val="nil"/>
              <w:left w:val="nil"/>
              <w:bottom w:val="single" w:sz="4" w:space="0" w:color="auto"/>
              <w:right w:val="single" w:sz="4" w:space="0" w:color="auto"/>
            </w:tcBorders>
            <w:shd w:val="clear" w:color="auto" w:fill="auto"/>
            <w:vAlign w:val="center"/>
          </w:tcPr>
          <w:p w14:paraId="5BAA7D13"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333 000</w:t>
            </w:r>
          </w:p>
        </w:tc>
      </w:tr>
      <w:tr w:rsidR="00C55629" w:rsidRPr="00C55629" w14:paraId="3750DACB"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5F906CA2" w14:textId="678116DA"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X - European External Action Service</w:t>
            </w:r>
          </w:p>
        </w:tc>
        <w:tc>
          <w:tcPr>
            <w:tcW w:w="1900" w:type="dxa"/>
            <w:tcBorders>
              <w:top w:val="nil"/>
              <w:left w:val="single" w:sz="4" w:space="0" w:color="auto"/>
              <w:bottom w:val="single" w:sz="4" w:space="0" w:color="auto"/>
              <w:right w:val="single" w:sz="4" w:space="0" w:color="auto"/>
            </w:tcBorders>
            <w:shd w:val="clear" w:color="auto" w:fill="F2F2F2"/>
            <w:vAlign w:val="center"/>
          </w:tcPr>
          <w:p w14:paraId="42A46203"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49424F3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3E65F1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1 1 0 0</w:t>
            </w:r>
          </w:p>
        </w:tc>
        <w:tc>
          <w:tcPr>
            <w:tcW w:w="6460" w:type="dxa"/>
            <w:tcBorders>
              <w:top w:val="nil"/>
              <w:left w:val="nil"/>
              <w:bottom w:val="single" w:sz="4" w:space="0" w:color="auto"/>
              <w:right w:val="single" w:sz="4" w:space="0" w:color="auto"/>
            </w:tcBorders>
            <w:shd w:val="clear" w:color="auto" w:fill="auto"/>
            <w:vAlign w:val="center"/>
            <w:hideMark/>
          </w:tcPr>
          <w:p w14:paraId="27DA917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Basic salaries</w:t>
            </w:r>
          </w:p>
        </w:tc>
        <w:tc>
          <w:tcPr>
            <w:tcW w:w="1900" w:type="dxa"/>
            <w:tcBorders>
              <w:top w:val="nil"/>
              <w:left w:val="nil"/>
              <w:bottom w:val="single" w:sz="4" w:space="0" w:color="auto"/>
              <w:right w:val="single" w:sz="4" w:space="0" w:color="auto"/>
            </w:tcBorders>
            <w:shd w:val="clear" w:color="auto" w:fill="auto"/>
            <w:vAlign w:val="center"/>
          </w:tcPr>
          <w:p w14:paraId="070AED6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2 000 000</w:t>
            </w:r>
          </w:p>
        </w:tc>
      </w:tr>
      <w:tr w:rsidR="00C55629" w:rsidRPr="00C55629" w14:paraId="2AB964D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FE6308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3 0 0 0</w:t>
            </w:r>
          </w:p>
        </w:tc>
        <w:tc>
          <w:tcPr>
            <w:tcW w:w="6460" w:type="dxa"/>
            <w:tcBorders>
              <w:top w:val="nil"/>
              <w:left w:val="nil"/>
              <w:bottom w:val="single" w:sz="4" w:space="0" w:color="auto"/>
              <w:right w:val="single" w:sz="4" w:space="0" w:color="auto"/>
            </w:tcBorders>
            <w:shd w:val="clear" w:color="auto" w:fill="auto"/>
            <w:vAlign w:val="center"/>
            <w:hideMark/>
          </w:tcPr>
          <w:p w14:paraId="0CDF5C7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entitlements of statutory staff</w:t>
            </w:r>
          </w:p>
        </w:tc>
        <w:tc>
          <w:tcPr>
            <w:tcW w:w="1900" w:type="dxa"/>
            <w:tcBorders>
              <w:top w:val="nil"/>
              <w:left w:val="nil"/>
              <w:bottom w:val="single" w:sz="4" w:space="0" w:color="auto"/>
              <w:right w:val="single" w:sz="4" w:space="0" w:color="auto"/>
            </w:tcBorders>
            <w:shd w:val="clear" w:color="auto" w:fill="auto"/>
            <w:vAlign w:val="center"/>
          </w:tcPr>
          <w:p w14:paraId="6FEB236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7 000 000</w:t>
            </w:r>
          </w:p>
        </w:tc>
      </w:tr>
      <w:tr w:rsidR="00C55629" w:rsidRPr="00C55629" w14:paraId="006D723F"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5F01F2"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X</w:t>
            </w:r>
          </w:p>
        </w:tc>
        <w:tc>
          <w:tcPr>
            <w:tcW w:w="1900" w:type="dxa"/>
            <w:tcBorders>
              <w:top w:val="nil"/>
              <w:left w:val="nil"/>
              <w:bottom w:val="single" w:sz="4" w:space="0" w:color="auto"/>
              <w:right w:val="single" w:sz="4" w:space="0" w:color="auto"/>
            </w:tcBorders>
            <w:shd w:val="clear" w:color="auto" w:fill="auto"/>
            <w:vAlign w:val="center"/>
          </w:tcPr>
          <w:p w14:paraId="48DA7954"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9 000 000</w:t>
            </w:r>
          </w:p>
        </w:tc>
      </w:tr>
      <w:tr w:rsidR="00C55629" w:rsidRPr="00C55629" w14:paraId="541583B7" w14:textId="77777777" w:rsidTr="00C55629">
        <w:trPr>
          <w:trHeight w:val="255"/>
        </w:trPr>
        <w:tc>
          <w:tcPr>
            <w:tcW w:w="1600" w:type="dxa"/>
            <w:tcBorders>
              <w:top w:val="nil"/>
              <w:left w:val="single" w:sz="4" w:space="0" w:color="auto"/>
              <w:bottom w:val="single" w:sz="4" w:space="0" w:color="auto"/>
              <w:right w:val="single" w:sz="4" w:space="0" w:color="auto"/>
            </w:tcBorders>
            <w:shd w:val="clear" w:color="auto" w:fill="D9D9D9"/>
            <w:vAlign w:val="center"/>
            <w:hideMark/>
          </w:tcPr>
          <w:p w14:paraId="01C48F7E" w14:textId="77777777" w:rsidR="00C55629" w:rsidRPr="00C55629" w:rsidRDefault="00C55629" w:rsidP="00C55629">
            <w:pPr>
              <w:spacing w:after="0" w:line="240" w:lineRule="auto"/>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Total</w:t>
            </w:r>
          </w:p>
        </w:tc>
        <w:tc>
          <w:tcPr>
            <w:tcW w:w="6460" w:type="dxa"/>
            <w:tcBorders>
              <w:top w:val="nil"/>
              <w:left w:val="nil"/>
              <w:bottom w:val="single" w:sz="4" w:space="0" w:color="auto"/>
              <w:right w:val="single" w:sz="4" w:space="0" w:color="auto"/>
            </w:tcBorders>
            <w:shd w:val="clear" w:color="auto" w:fill="D9D9D9"/>
            <w:noWrap/>
            <w:vAlign w:val="bottom"/>
            <w:hideMark/>
          </w:tcPr>
          <w:p w14:paraId="6CC17584"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r w:rsidRPr="00C55629">
              <w:rPr>
                <w:rFonts w:ascii="Times New Roman" w:eastAsia="Times New Roman" w:hAnsi="Times New Roman" w:cs="Times New Roman"/>
                <w:noProof/>
                <w:kern w:val="0"/>
                <w:sz w:val="20"/>
                <w:szCs w:val="20"/>
                <w:lang w:val="en-GB" w:eastAsia="en-GB"/>
                <w14:ligatures w14:val="none"/>
              </w:rPr>
              <w:t> </w:t>
            </w:r>
          </w:p>
        </w:tc>
        <w:tc>
          <w:tcPr>
            <w:tcW w:w="1900" w:type="dxa"/>
            <w:tcBorders>
              <w:top w:val="nil"/>
              <w:left w:val="nil"/>
              <w:bottom w:val="single" w:sz="4" w:space="0" w:color="auto"/>
              <w:right w:val="single" w:sz="4" w:space="0" w:color="auto"/>
            </w:tcBorders>
            <w:shd w:val="clear" w:color="auto" w:fill="D9D9D9"/>
            <w:noWrap/>
            <w:vAlign w:val="bottom"/>
          </w:tcPr>
          <w:p w14:paraId="54C63CC0"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20"/>
                <w:szCs w:val="20"/>
                <w:lang w:val="en-GB" w:eastAsia="en-GB"/>
                <w14:ligatures w14:val="none"/>
              </w:rPr>
            </w:pPr>
          </w:p>
        </w:tc>
      </w:tr>
    </w:tbl>
    <w:p w14:paraId="586AE7E2" w14:textId="77777777" w:rsidR="00C55629" w:rsidRPr="00C55629" w:rsidRDefault="00C55629" w:rsidP="00C55629">
      <w:pPr>
        <w:spacing w:before="120" w:after="0" w:line="240" w:lineRule="auto"/>
        <w:jc w:val="both"/>
        <w:rPr>
          <w:rFonts w:ascii="Times New Roman" w:eastAsia="Times New Roman" w:hAnsi="Times New Roman" w:cs="Times New Roman"/>
          <w:noProof/>
          <w:kern w:val="0"/>
          <w:sz w:val="24"/>
          <w:szCs w:val="24"/>
          <w:lang w:val="en-GB" w:eastAsia="de-DE"/>
          <w14:ligatures w14:val="none"/>
        </w:rPr>
      </w:pP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6555"/>
        <w:gridCol w:w="1913"/>
      </w:tblGrid>
      <w:tr w:rsidR="00C55629" w:rsidRPr="00C55629" w14:paraId="1E182ED8" w14:textId="77777777" w:rsidTr="0028479A">
        <w:trPr>
          <w:trHeight w:val="300"/>
        </w:trPr>
        <w:tc>
          <w:tcPr>
            <w:tcW w:w="9983" w:type="dxa"/>
            <w:gridSpan w:val="3"/>
            <w:tcBorders>
              <w:top w:val="single" w:sz="4" w:space="0" w:color="auto"/>
              <w:left w:val="single" w:sz="4" w:space="0" w:color="auto"/>
              <w:bottom w:val="single" w:sz="4" w:space="0" w:color="auto"/>
            </w:tcBorders>
            <w:shd w:val="clear" w:color="auto" w:fill="auto"/>
            <w:vAlign w:val="bottom"/>
          </w:tcPr>
          <w:p w14:paraId="184EB23B"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Publications Office</w:t>
            </w:r>
          </w:p>
        </w:tc>
      </w:tr>
      <w:tr w:rsidR="00C55629" w:rsidRPr="00C55629" w14:paraId="401D1B1B"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0C9CACB"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O1 01 01 01</w:t>
            </w:r>
          </w:p>
        </w:tc>
        <w:tc>
          <w:tcPr>
            <w:tcW w:w="6520" w:type="dxa"/>
            <w:tcBorders>
              <w:top w:val="single" w:sz="4" w:space="0" w:color="auto"/>
              <w:left w:val="nil"/>
              <w:bottom w:val="single" w:sz="4" w:space="0" w:color="auto"/>
              <w:right w:val="single" w:sz="4" w:space="0" w:color="auto"/>
            </w:tcBorders>
            <w:shd w:val="clear" w:color="auto" w:fill="auto"/>
            <w:vAlign w:val="bottom"/>
          </w:tcPr>
          <w:p w14:paraId="78759BAB"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3" w:type="dxa"/>
          </w:tcPr>
          <w:p w14:paraId="52E1EBBA"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1 688 000</w:t>
            </w:r>
          </w:p>
        </w:tc>
      </w:tr>
      <w:tr w:rsidR="00C55629" w:rsidRPr="00C55629" w14:paraId="3525C4B5"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7A5C129"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O1 01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6CF02060"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tcPr>
          <w:p w14:paraId="531704F3"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7 000</w:t>
            </w:r>
          </w:p>
        </w:tc>
      </w:tr>
      <w:tr w:rsidR="00C55629" w:rsidRPr="00C55629" w14:paraId="6D81072E"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4F812D9"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14:ligatures w14:val="none"/>
              </w:rPr>
              <w:t>O1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3BF7C00F"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w:t>
            </w:r>
          </w:p>
        </w:tc>
        <w:tc>
          <w:tcPr>
            <w:tcW w:w="1903" w:type="dxa"/>
          </w:tcPr>
          <w:p w14:paraId="2A8FE641"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37 000</w:t>
            </w:r>
          </w:p>
        </w:tc>
      </w:tr>
      <w:tr w:rsidR="00C55629" w:rsidRPr="00C55629" w14:paraId="2C0E811C" w14:textId="77777777" w:rsidTr="00C5562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14:paraId="09FD5910"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single" w:sz="4" w:space="0" w:color="auto"/>
              <w:right w:val="single" w:sz="4" w:space="0" w:color="auto"/>
            </w:tcBorders>
            <w:shd w:val="clear" w:color="auto" w:fill="D9D9D9"/>
            <w:vAlign w:val="bottom"/>
          </w:tcPr>
          <w:p w14:paraId="574E7D46"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tcBorders>
              <w:bottom w:val="single" w:sz="4" w:space="0" w:color="auto"/>
            </w:tcBorders>
            <w:shd w:val="clear" w:color="auto" w:fill="D9D9D9"/>
          </w:tcPr>
          <w:p w14:paraId="7928C4B0"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bCs/>
                <w:noProof/>
                <w:color w:val="000000"/>
                <w:kern w:val="0"/>
                <w:sz w:val="16"/>
                <w:szCs w:val="16"/>
                <w:lang w:val="en-GB"/>
                <w14:ligatures w14:val="none"/>
              </w:rPr>
            </w:pPr>
            <w:r w:rsidRPr="00C55629">
              <w:rPr>
                <w:rFonts w:ascii="Times New Roman" w:eastAsia="Times New Roman" w:hAnsi="Times New Roman" w:cs="Times New Roman"/>
                <w:b/>
                <w:bCs/>
                <w:noProof/>
                <w:color w:val="000000"/>
                <w:kern w:val="0"/>
                <w:sz w:val="16"/>
                <w:szCs w:val="16"/>
                <w:lang w:val="en-GB"/>
                <w14:ligatures w14:val="none"/>
              </w:rPr>
              <w:t>1 732 000</w:t>
            </w:r>
          </w:p>
        </w:tc>
      </w:tr>
      <w:tr w:rsidR="00C55629" w:rsidRPr="00C55629" w14:paraId="5C0C5C91" w14:textId="77777777" w:rsidTr="0028479A">
        <w:trPr>
          <w:trHeight w:val="300"/>
        </w:trPr>
        <w:tc>
          <w:tcPr>
            <w:tcW w:w="1560" w:type="dxa"/>
            <w:tcBorders>
              <w:top w:val="single" w:sz="4" w:space="0" w:color="auto"/>
              <w:left w:val="nil"/>
              <w:bottom w:val="nil"/>
              <w:right w:val="nil"/>
            </w:tcBorders>
            <w:shd w:val="clear" w:color="auto" w:fill="auto"/>
            <w:vAlign w:val="bottom"/>
          </w:tcPr>
          <w:p w14:paraId="437BDBAC"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20"/>
                <w:szCs w:val="20"/>
                <w:highlight w:val="lightGray"/>
                <w:lang w:val="en-GB"/>
                <w14:ligatures w14:val="none"/>
              </w:rPr>
            </w:pPr>
          </w:p>
        </w:tc>
        <w:tc>
          <w:tcPr>
            <w:tcW w:w="6520" w:type="dxa"/>
            <w:tcBorders>
              <w:top w:val="single" w:sz="4" w:space="0" w:color="auto"/>
              <w:left w:val="nil"/>
              <w:bottom w:val="nil"/>
              <w:right w:val="nil"/>
            </w:tcBorders>
            <w:shd w:val="clear" w:color="auto" w:fill="auto"/>
            <w:vAlign w:val="bottom"/>
          </w:tcPr>
          <w:p w14:paraId="01A740C9"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20"/>
                <w:szCs w:val="20"/>
                <w:highlight w:val="lightGray"/>
                <w:lang w:val="en-GB" w:eastAsia="en-GB"/>
                <w14:ligatures w14:val="none"/>
              </w:rPr>
            </w:pPr>
          </w:p>
        </w:tc>
        <w:tc>
          <w:tcPr>
            <w:tcW w:w="1903" w:type="dxa"/>
            <w:tcBorders>
              <w:top w:val="single" w:sz="4" w:space="0" w:color="auto"/>
              <w:left w:val="nil"/>
              <w:bottom w:val="nil"/>
              <w:right w:val="nil"/>
            </w:tcBorders>
          </w:tcPr>
          <w:p w14:paraId="086D16B2"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noProof/>
                <w:color w:val="000000"/>
                <w:kern w:val="0"/>
                <w:sz w:val="20"/>
                <w:szCs w:val="20"/>
                <w:highlight w:val="lightGray"/>
                <w:lang w:val="en-GB"/>
                <w14:ligatures w14:val="none"/>
              </w:rPr>
            </w:pPr>
          </w:p>
        </w:tc>
      </w:tr>
      <w:tr w:rsidR="00C55629" w:rsidRPr="00C55629" w14:paraId="23D997A0" w14:textId="77777777" w:rsidTr="0028479A">
        <w:trPr>
          <w:trHeight w:val="300"/>
        </w:trPr>
        <w:tc>
          <w:tcPr>
            <w:tcW w:w="9983" w:type="dxa"/>
            <w:gridSpan w:val="3"/>
            <w:shd w:val="clear" w:color="auto" w:fill="auto"/>
          </w:tcPr>
          <w:p w14:paraId="61480AF7"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European Personnel Selection Office</w:t>
            </w:r>
          </w:p>
        </w:tc>
      </w:tr>
      <w:tr w:rsidR="00C55629" w:rsidRPr="00C55629" w14:paraId="222D0016" w14:textId="77777777" w:rsidTr="0028479A">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D9A8C32"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O2 01 01 01</w:t>
            </w:r>
          </w:p>
        </w:tc>
        <w:tc>
          <w:tcPr>
            <w:tcW w:w="6520" w:type="dxa"/>
            <w:tcBorders>
              <w:top w:val="single" w:sz="4" w:space="0" w:color="auto"/>
              <w:left w:val="nil"/>
              <w:bottom w:val="single" w:sz="4" w:space="0" w:color="auto"/>
              <w:right w:val="single" w:sz="4" w:space="0" w:color="auto"/>
            </w:tcBorders>
            <w:shd w:val="clear" w:color="auto" w:fill="auto"/>
            <w:vAlign w:val="bottom"/>
          </w:tcPr>
          <w:p w14:paraId="5D014768"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3" w:type="dxa"/>
          </w:tcPr>
          <w:p w14:paraId="151D5AB1"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329 000</w:t>
            </w:r>
          </w:p>
        </w:tc>
      </w:tr>
      <w:tr w:rsidR="00C55629" w:rsidRPr="00C55629" w14:paraId="2281DA2A" w14:textId="77777777" w:rsidTr="0028479A">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368FFEB"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O2 01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5E2EAF7D"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tcPr>
          <w:p w14:paraId="400F3570"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1 000</w:t>
            </w:r>
          </w:p>
        </w:tc>
      </w:tr>
      <w:tr w:rsidR="00C55629" w:rsidRPr="00C55629" w14:paraId="2EC137CA" w14:textId="77777777" w:rsidTr="0028479A">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A9B33E1"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O2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5F222889"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w:t>
            </w:r>
          </w:p>
        </w:tc>
        <w:tc>
          <w:tcPr>
            <w:tcW w:w="1903" w:type="dxa"/>
          </w:tcPr>
          <w:p w14:paraId="3C79FBE4"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36 000</w:t>
            </w:r>
          </w:p>
        </w:tc>
      </w:tr>
      <w:tr w:rsidR="00C55629" w:rsidRPr="00C55629" w14:paraId="47478F99" w14:textId="77777777" w:rsidTr="00C5562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14:paraId="458611AE"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single" w:sz="4" w:space="0" w:color="auto"/>
              <w:right w:val="single" w:sz="4" w:space="0" w:color="auto"/>
            </w:tcBorders>
            <w:shd w:val="clear" w:color="auto" w:fill="D9D9D9"/>
            <w:vAlign w:val="bottom"/>
          </w:tcPr>
          <w:p w14:paraId="43611D1F"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shd w:val="clear" w:color="auto" w:fill="D9D9D9"/>
          </w:tcPr>
          <w:p w14:paraId="7FA71117"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bCs/>
                <w:noProof/>
                <w:color w:val="000000"/>
                <w:kern w:val="0"/>
                <w:sz w:val="16"/>
                <w:szCs w:val="16"/>
                <w:lang w:val="en-GB"/>
                <w14:ligatures w14:val="none"/>
              </w:rPr>
            </w:pPr>
            <w:r w:rsidRPr="00C55629">
              <w:rPr>
                <w:rFonts w:ascii="Times New Roman" w:eastAsia="Times New Roman" w:hAnsi="Times New Roman" w:cs="Times New Roman"/>
                <w:b/>
                <w:bCs/>
                <w:noProof/>
                <w:color w:val="000000"/>
                <w:kern w:val="0"/>
                <w:sz w:val="16"/>
                <w:szCs w:val="16"/>
                <w:lang w:val="en-GB"/>
                <w14:ligatures w14:val="none"/>
              </w:rPr>
              <w:t>366 000</w:t>
            </w:r>
          </w:p>
        </w:tc>
      </w:tr>
      <w:tr w:rsidR="00C55629" w:rsidRPr="00C55629" w14:paraId="43FE0C2E" w14:textId="77777777" w:rsidTr="0028479A">
        <w:trPr>
          <w:trHeight w:val="300"/>
        </w:trPr>
        <w:tc>
          <w:tcPr>
            <w:tcW w:w="9983" w:type="dxa"/>
            <w:gridSpan w:val="3"/>
            <w:tcBorders>
              <w:top w:val="nil"/>
              <w:left w:val="nil"/>
              <w:bottom w:val="nil"/>
              <w:right w:val="nil"/>
            </w:tcBorders>
            <w:shd w:val="clear" w:color="auto" w:fill="auto"/>
          </w:tcPr>
          <w:p w14:paraId="1F5CBE52"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p>
        </w:tc>
      </w:tr>
      <w:tr w:rsidR="00C55629" w:rsidRPr="00C55629" w14:paraId="47258A41" w14:textId="77777777" w:rsidTr="0028479A">
        <w:trPr>
          <w:trHeight w:val="300"/>
        </w:trPr>
        <w:tc>
          <w:tcPr>
            <w:tcW w:w="9983" w:type="dxa"/>
            <w:gridSpan w:val="3"/>
            <w:shd w:val="clear" w:color="auto" w:fill="auto"/>
          </w:tcPr>
          <w:p w14:paraId="042629FD"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Office for the Administration and Payment of Individual Entitlements</w:t>
            </w:r>
          </w:p>
        </w:tc>
      </w:tr>
      <w:tr w:rsidR="00C55629" w:rsidRPr="00C55629" w14:paraId="4B41EC44"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635B410"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O3 01 01 01</w:t>
            </w:r>
          </w:p>
        </w:tc>
        <w:tc>
          <w:tcPr>
            <w:tcW w:w="6520" w:type="dxa"/>
            <w:tcBorders>
              <w:top w:val="single" w:sz="4" w:space="0" w:color="auto"/>
              <w:left w:val="nil"/>
              <w:bottom w:val="single" w:sz="4" w:space="0" w:color="auto"/>
              <w:right w:val="single" w:sz="4" w:space="0" w:color="auto"/>
            </w:tcBorders>
            <w:shd w:val="clear" w:color="auto" w:fill="auto"/>
            <w:vAlign w:val="bottom"/>
          </w:tcPr>
          <w:p w14:paraId="5549721F"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3" w:type="dxa"/>
          </w:tcPr>
          <w:p w14:paraId="7DAC04D2"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469 000</w:t>
            </w:r>
          </w:p>
        </w:tc>
      </w:tr>
      <w:tr w:rsidR="00C55629" w:rsidRPr="00C55629" w14:paraId="222A8D76"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B11CFD5"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O3 01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355F0422"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tcPr>
          <w:p w14:paraId="192E5975"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3 000</w:t>
            </w:r>
          </w:p>
        </w:tc>
      </w:tr>
      <w:tr w:rsidR="00C55629" w:rsidRPr="00C55629" w14:paraId="12C21E47"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581A4EF"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O3 01 02</w:t>
            </w:r>
          </w:p>
        </w:tc>
        <w:tc>
          <w:tcPr>
            <w:tcW w:w="6520" w:type="dxa"/>
            <w:tcBorders>
              <w:top w:val="single" w:sz="4" w:space="0" w:color="auto"/>
              <w:left w:val="nil"/>
              <w:bottom w:val="single" w:sz="4" w:space="0" w:color="auto"/>
              <w:right w:val="single" w:sz="4" w:space="0" w:color="auto"/>
            </w:tcBorders>
            <w:shd w:val="clear" w:color="auto" w:fill="auto"/>
            <w:vAlign w:val="bottom"/>
          </w:tcPr>
          <w:p w14:paraId="69A14016"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w:t>
            </w:r>
          </w:p>
        </w:tc>
        <w:tc>
          <w:tcPr>
            <w:tcW w:w="1903" w:type="dxa"/>
          </w:tcPr>
          <w:p w14:paraId="6A246EF8"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641 000</w:t>
            </w:r>
          </w:p>
        </w:tc>
      </w:tr>
      <w:tr w:rsidR="00C55629" w:rsidRPr="00C55629" w14:paraId="285889C9" w14:textId="77777777" w:rsidTr="00C5562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14:paraId="3C1038C6"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single" w:sz="4" w:space="0" w:color="auto"/>
              <w:right w:val="single" w:sz="4" w:space="0" w:color="auto"/>
            </w:tcBorders>
            <w:shd w:val="clear" w:color="auto" w:fill="D9D9D9"/>
            <w:vAlign w:val="bottom"/>
          </w:tcPr>
          <w:p w14:paraId="555ED97F"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tcBorders>
              <w:bottom w:val="single" w:sz="4" w:space="0" w:color="auto"/>
            </w:tcBorders>
            <w:shd w:val="clear" w:color="auto" w:fill="D9D9D9"/>
          </w:tcPr>
          <w:p w14:paraId="32CAC79C"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bCs/>
                <w:noProof/>
                <w:color w:val="000000"/>
                <w:kern w:val="0"/>
                <w:sz w:val="16"/>
                <w:szCs w:val="16"/>
                <w:lang w:val="en-GB"/>
                <w14:ligatures w14:val="none"/>
              </w:rPr>
            </w:pPr>
            <w:r w:rsidRPr="00C55629">
              <w:rPr>
                <w:rFonts w:ascii="Times New Roman" w:eastAsia="Times New Roman" w:hAnsi="Times New Roman" w:cs="Times New Roman"/>
                <w:b/>
                <w:bCs/>
                <w:noProof/>
                <w:color w:val="000000"/>
                <w:kern w:val="0"/>
                <w:sz w:val="16"/>
                <w:szCs w:val="16"/>
                <w:lang w:val="en-GB"/>
                <w14:ligatures w14:val="none"/>
              </w:rPr>
              <w:t>1 113 000</w:t>
            </w:r>
          </w:p>
        </w:tc>
      </w:tr>
      <w:tr w:rsidR="00C55629" w:rsidRPr="00C55629" w14:paraId="6200F7AE" w14:textId="77777777" w:rsidTr="0028479A">
        <w:trPr>
          <w:trHeight w:val="300"/>
        </w:trPr>
        <w:tc>
          <w:tcPr>
            <w:tcW w:w="1560" w:type="dxa"/>
            <w:tcBorders>
              <w:top w:val="single" w:sz="4" w:space="0" w:color="auto"/>
              <w:left w:val="nil"/>
              <w:bottom w:val="nil"/>
              <w:right w:val="nil"/>
            </w:tcBorders>
            <w:shd w:val="clear" w:color="auto" w:fill="auto"/>
            <w:vAlign w:val="bottom"/>
          </w:tcPr>
          <w:p w14:paraId="67AA9CE3"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20"/>
                <w:szCs w:val="20"/>
                <w:highlight w:val="lightGray"/>
                <w:lang w:val="en-GB"/>
                <w14:ligatures w14:val="none"/>
              </w:rPr>
            </w:pPr>
          </w:p>
        </w:tc>
        <w:tc>
          <w:tcPr>
            <w:tcW w:w="6520" w:type="dxa"/>
            <w:tcBorders>
              <w:top w:val="single" w:sz="4" w:space="0" w:color="auto"/>
              <w:left w:val="nil"/>
              <w:bottom w:val="nil"/>
              <w:right w:val="nil"/>
            </w:tcBorders>
            <w:shd w:val="clear" w:color="auto" w:fill="auto"/>
            <w:vAlign w:val="bottom"/>
          </w:tcPr>
          <w:p w14:paraId="1751AB80"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20"/>
                <w:szCs w:val="20"/>
                <w:highlight w:val="lightGray"/>
                <w:lang w:val="en-GB" w:eastAsia="en-GB"/>
                <w14:ligatures w14:val="none"/>
              </w:rPr>
            </w:pPr>
          </w:p>
        </w:tc>
        <w:tc>
          <w:tcPr>
            <w:tcW w:w="1903" w:type="dxa"/>
            <w:tcBorders>
              <w:top w:val="single" w:sz="4" w:space="0" w:color="auto"/>
              <w:left w:val="nil"/>
              <w:bottom w:val="nil"/>
              <w:right w:val="nil"/>
            </w:tcBorders>
          </w:tcPr>
          <w:p w14:paraId="332D0AB8"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noProof/>
                <w:color w:val="000000"/>
                <w:kern w:val="0"/>
                <w:sz w:val="20"/>
                <w:szCs w:val="20"/>
                <w:highlight w:val="lightGray"/>
                <w:lang w:val="en-GB"/>
                <w14:ligatures w14:val="none"/>
              </w:rPr>
            </w:pPr>
          </w:p>
        </w:tc>
      </w:tr>
      <w:tr w:rsidR="00C55629" w:rsidRPr="00C55629" w14:paraId="31A04AD8" w14:textId="77777777" w:rsidTr="0028479A">
        <w:trPr>
          <w:trHeight w:val="300"/>
        </w:trPr>
        <w:tc>
          <w:tcPr>
            <w:tcW w:w="9983" w:type="dxa"/>
            <w:gridSpan w:val="3"/>
            <w:shd w:val="clear" w:color="auto" w:fill="auto"/>
          </w:tcPr>
          <w:p w14:paraId="5A2AA8F3"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Office for infrastructure and logistics in Brussels</w:t>
            </w:r>
          </w:p>
        </w:tc>
      </w:tr>
      <w:tr w:rsidR="00C55629" w:rsidRPr="00C55629" w14:paraId="14E437EC"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D640EC4"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O4 01 01 01</w:t>
            </w:r>
          </w:p>
        </w:tc>
        <w:tc>
          <w:tcPr>
            <w:tcW w:w="6520" w:type="dxa"/>
            <w:tcBorders>
              <w:top w:val="single" w:sz="4" w:space="0" w:color="auto"/>
              <w:left w:val="nil"/>
              <w:bottom w:val="single" w:sz="4" w:space="0" w:color="auto"/>
              <w:right w:val="single" w:sz="4" w:space="0" w:color="auto"/>
            </w:tcBorders>
            <w:shd w:val="clear" w:color="auto" w:fill="auto"/>
            <w:vAlign w:val="bottom"/>
          </w:tcPr>
          <w:p w14:paraId="32976E4A"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3" w:type="dxa"/>
            <w:vAlign w:val="center"/>
          </w:tcPr>
          <w:p w14:paraId="766ED4BC"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875 000</w:t>
            </w:r>
          </w:p>
        </w:tc>
      </w:tr>
      <w:tr w:rsidR="00C55629" w:rsidRPr="00C55629" w14:paraId="64EF5122"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2420386"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O4 01 01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098DD44B"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vAlign w:val="center"/>
          </w:tcPr>
          <w:p w14:paraId="211605F5"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3 000</w:t>
            </w:r>
          </w:p>
        </w:tc>
      </w:tr>
      <w:tr w:rsidR="00C55629" w:rsidRPr="00C55629" w14:paraId="79057CD4"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C0869FB"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O4 01 02 01</w:t>
            </w:r>
          </w:p>
        </w:tc>
        <w:tc>
          <w:tcPr>
            <w:tcW w:w="6520" w:type="dxa"/>
            <w:tcBorders>
              <w:top w:val="single" w:sz="4" w:space="0" w:color="auto"/>
              <w:left w:val="nil"/>
              <w:bottom w:val="single" w:sz="4" w:space="0" w:color="auto"/>
              <w:right w:val="single" w:sz="4" w:space="0" w:color="auto"/>
            </w:tcBorders>
            <w:shd w:val="clear" w:color="auto" w:fill="auto"/>
            <w:vAlign w:val="center"/>
          </w:tcPr>
          <w:p w14:paraId="79D699D9"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 OIB</w:t>
            </w:r>
          </w:p>
        </w:tc>
        <w:tc>
          <w:tcPr>
            <w:tcW w:w="1903" w:type="dxa"/>
            <w:vAlign w:val="center"/>
          </w:tcPr>
          <w:p w14:paraId="38D9079A"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826 000</w:t>
            </w:r>
          </w:p>
        </w:tc>
      </w:tr>
      <w:tr w:rsidR="00C55629" w:rsidRPr="00C55629" w14:paraId="5CF237B8"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292C1B5"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O4 01 02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331E1DCA"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 Child care facilities</w:t>
            </w:r>
          </w:p>
        </w:tc>
        <w:tc>
          <w:tcPr>
            <w:tcW w:w="1903" w:type="dxa"/>
            <w:vAlign w:val="center"/>
          </w:tcPr>
          <w:p w14:paraId="25698A7A"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437 000</w:t>
            </w:r>
          </w:p>
        </w:tc>
      </w:tr>
      <w:tr w:rsidR="00C55629" w:rsidRPr="00C55629" w14:paraId="20DECBEB" w14:textId="77777777" w:rsidTr="00C55629">
        <w:trPr>
          <w:trHeight w:val="300"/>
        </w:trPr>
        <w:tc>
          <w:tcPr>
            <w:tcW w:w="1560" w:type="dxa"/>
            <w:tcBorders>
              <w:top w:val="single" w:sz="4" w:space="0" w:color="auto"/>
              <w:left w:val="single" w:sz="4" w:space="0" w:color="auto"/>
              <w:bottom w:val="nil"/>
              <w:right w:val="single" w:sz="4" w:space="0" w:color="auto"/>
            </w:tcBorders>
            <w:shd w:val="clear" w:color="auto" w:fill="D9D9D9"/>
            <w:vAlign w:val="bottom"/>
          </w:tcPr>
          <w:p w14:paraId="53508009"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nil"/>
              <w:right w:val="single" w:sz="4" w:space="0" w:color="auto"/>
            </w:tcBorders>
            <w:shd w:val="clear" w:color="auto" w:fill="D9D9D9"/>
            <w:vAlign w:val="bottom"/>
          </w:tcPr>
          <w:p w14:paraId="524CAC37"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tcBorders>
              <w:bottom w:val="nil"/>
            </w:tcBorders>
            <w:shd w:val="clear" w:color="auto" w:fill="D9D9D9"/>
          </w:tcPr>
          <w:p w14:paraId="627796BD"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bCs/>
                <w:noProof/>
                <w:color w:val="000000"/>
                <w:kern w:val="0"/>
                <w:sz w:val="16"/>
                <w:szCs w:val="16"/>
                <w:lang w:val="en-GB"/>
                <w14:ligatures w14:val="none"/>
              </w:rPr>
            </w:pPr>
            <w:r w:rsidRPr="00C55629">
              <w:rPr>
                <w:rFonts w:ascii="Times New Roman" w:eastAsia="Times New Roman" w:hAnsi="Times New Roman" w:cs="Times New Roman"/>
                <w:b/>
                <w:bCs/>
                <w:noProof/>
                <w:color w:val="000000"/>
                <w:kern w:val="0"/>
                <w:sz w:val="16"/>
                <w:szCs w:val="16"/>
                <w:lang w:val="en-GB"/>
                <w14:ligatures w14:val="none"/>
              </w:rPr>
              <w:t>2 141 000</w:t>
            </w:r>
          </w:p>
        </w:tc>
      </w:tr>
      <w:tr w:rsidR="00C55629" w:rsidRPr="00C55629" w14:paraId="28EE37C6" w14:textId="77777777" w:rsidTr="0028479A">
        <w:trPr>
          <w:trHeight w:val="300"/>
        </w:trPr>
        <w:tc>
          <w:tcPr>
            <w:tcW w:w="1560" w:type="dxa"/>
            <w:tcBorders>
              <w:top w:val="single" w:sz="4" w:space="0" w:color="auto"/>
              <w:left w:val="nil"/>
              <w:bottom w:val="nil"/>
              <w:right w:val="nil"/>
            </w:tcBorders>
            <w:shd w:val="clear" w:color="auto" w:fill="auto"/>
            <w:vAlign w:val="bottom"/>
          </w:tcPr>
          <w:p w14:paraId="1E41C87F"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20"/>
                <w:szCs w:val="20"/>
                <w:highlight w:val="lightGray"/>
                <w:lang w:val="en-GB"/>
                <w14:ligatures w14:val="none"/>
              </w:rPr>
            </w:pPr>
          </w:p>
        </w:tc>
        <w:tc>
          <w:tcPr>
            <w:tcW w:w="6520" w:type="dxa"/>
            <w:tcBorders>
              <w:top w:val="single" w:sz="4" w:space="0" w:color="auto"/>
              <w:left w:val="nil"/>
              <w:bottom w:val="nil"/>
              <w:right w:val="nil"/>
            </w:tcBorders>
            <w:shd w:val="clear" w:color="auto" w:fill="auto"/>
            <w:vAlign w:val="bottom"/>
          </w:tcPr>
          <w:p w14:paraId="5CB5669C"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20"/>
                <w:szCs w:val="20"/>
                <w:highlight w:val="lightGray"/>
                <w:lang w:val="en-GB" w:eastAsia="en-GB"/>
                <w14:ligatures w14:val="none"/>
              </w:rPr>
            </w:pPr>
          </w:p>
        </w:tc>
        <w:tc>
          <w:tcPr>
            <w:tcW w:w="1903" w:type="dxa"/>
            <w:tcBorders>
              <w:top w:val="single" w:sz="4" w:space="0" w:color="auto"/>
              <w:left w:val="nil"/>
              <w:bottom w:val="nil"/>
              <w:right w:val="nil"/>
            </w:tcBorders>
          </w:tcPr>
          <w:p w14:paraId="362E4A89"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noProof/>
                <w:color w:val="000000"/>
                <w:kern w:val="0"/>
                <w:sz w:val="20"/>
                <w:szCs w:val="20"/>
                <w:highlight w:val="lightGray"/>
                <w:lang w:val="en-GB"/>
                <w14:ligatures w14:val="none"/>
              </w:rPr>
            </w:pPr>
          </w:p>
        </w:tc>
      </w:tr>
      <w:tr w:rsidR="00C55629" w:rsidRPr="00C55629" w14:paraId="4EC073A2" w14:textId="77777777" w:rsidTr="0028479A">
        <w:trPr>
          <w:trHeight w:val="300"/>
        </w:trPr>
        <w:tc>
          <w:tcPr>
            <w:tcW w:w="9983" w:type="dxa"/>
            <w:gridSpan w:val="3"/>
            <w:shd w:val="clear" w:color="auto" w:fill="auto"/>
          </w:tcPr>
          <w:p w14:paraId="55DE5DC7"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Office for infrastructure and logistics in Luxembourg</w:t>
            </w:r>
          </w:p>
        </w:tc>
      </w:tr>
      <w:tr w:rsidR="00C55629" w:rsidRPr="00C55629" w14:paraId="3B43CA14"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20ED9C"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O5 01 01 01</w:t>
            </w:r>
          </w:p>
        </w:tc>
        <w:tc>
          <w:tcPr>
            <w:tcW w:w="6520" w:type="dxa"/>
            <w:tcBorders>
              <w:top w:val="single" w:sz="4" w:space="0" w:color="auto"/>
              <w:left w:val="nil"/>
              <w:bottom w:val="single" w:sz="4" w:space="0" w:color="auto"/>
              <w:right w:val="single" w:sz="4" w:space="0" w:color="auto"/>
            </w:tcBorders>
            <w:shd w:val="clear" w:color="auto" w:fill="auto"/>
            <w:vAlign w:val="center"/>
          </w:tcPr>
          <w:p w14:paraId="324858C2"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r w:rsidRPr="00C55629">
              <w:rPr>
                <w:rFonts w:ascii="Times New Roman" w:eastAsia="Times New Roman" w:hAnsi="Times New Roman" w:cs="Times New Roman"/>
                <w:b/>
                <w:noProof/>
                <w:kern w:val="0"/>
                <w:sz w:val="16"/>
                <w:szCs w:val="16"/>
                <w:lang w:val="en-GB" w:eastAsia="en-GB"/>
                <w14:ligatures w14:val="none"/>
              </w:rPr>
              <w:t xml:space="preserve"> </w:t>
            </w:r>
          </w:p>
        </w:tc>
        <w:tc>
          <w:tcPr>
            <w:tcW w:w="1903" w:type="dxa"/>
            <w:vAlign w:val="center"/>
          </w:tcPr>
          <w:p w14:paraId="1C81D136"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295 000</w:t>
            </w:r>
          </w:p>
        </w:tc>
      </w:tr>
      <w:tr w:rsidR="00C55629" w:rsidRPr="00C55629" w14:paraId="47792ADA"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AC235B"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O5 01 01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10D5157B"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vAlign w:val="center"/>
          </w:tcPr>
          <w:p w14:paraId="59A5C4BB"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 xml:space="preserve">1 000 </w:t>
            </w:r>
          </w:p>
        </w:tc>
      </w:tr>
      <w:tr w:rsidR="00C55629" w:rsidRPr="00C55629" w14:paraId="16653B00"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6DBCC6"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O5 01 02 01</w:t>
            </w:r>
          </w:p>
        </w:tc>
        <w:tc>
          <w:tcPr>
            <w:tcW w:w="6520" w:type="dxa"/>
            <w:tcBorders>
              <w:top w:val="single" w:sz="4" w:space="0" w:color="auto"/>
              <w:left w:val="nil"/>
              <w:bottom w:val="single" w:sz="4" w:space="0" w:color="auto"/>
              <w:right w:val="single" w:sz="4" w:space="0" w:color="auto"/>
            </w:tcBorders>
            <w:shd w:val="clear" w:color="auto" w:fill="auto"/>
            <w:vAlign w:val="center"/>
          </w:tcPr>
          <w:p w14:paraId="22EFA7A9"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 OIL</w:t>
            </w:r>
          </w:p>
        </w:tc>
        <w:tc>
          <w:tcPr>
            <w:tcW w:w="1903" w:type="dxa"/>
            <w:vAlign w:val="center"/>
          </w:tcPr>
          <w:p w14:paraId="5EFFCCEB"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207 000</w:t>
            </w:r>
          </w:p>
        </w:tc>
      </w:tr>
      <w:tr w:rsidR="00C55629" w:rsidRPr="00C55629" w14:paraId="3379BDAE"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952A7E"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O5 01 02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298C0628"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 Child care facilities</w:t>
            </w:r>
          </w:p>
        </w:tc>
        <w:tc>
          <w:tcPr>
            <w:tcW w:w="1903" w:type="dxa"/>
            <w:vAlign w:val="center"/>
          </w:tcPr>
          <w:p w14:paraId="7BD4F2F6"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40 000</w:t>
            </w:r>
          </w:p>
        </w:tc>
      </w:tr>
      <w:tr w:rsidR="00C55629" w:rsidRPr="00C55629" w14:paraId="29A93E64" w14:textId="77777777" w:rsidTr="00C5562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14:paraId="606E8EDB"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single" w:sz="4" w:space="0" w:color="auto"/>
              <w:right w:val="single" w:sz="4" w:space="0" w:color="auto"/>
            </w:tcBorders>
            <w:shd w:val="clear" w:color="auto" w:fill="D9D9D9"/>
            <w:vAlign w:val="bottom"/>
          </w:tcPr>
          <w:p w14:paraId="0C6B4ED0"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shd w:val="clear" w:color="auto" w:fill="D9D9D9"/>
          </w:tcPr>
          <w:p w14:paraId="0BBB4095"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noProof/>
                <w:color w:val="000000"/>
                <w:kern w:val="0"/>
                <w:sz w:val="16"/>
                <w:szCs w:val="16"/>
                <w:lang w:val="en-GB"/>
                <w14:ligatures w14:val="none"/>
              </w:rPr>
            </w:pPr>
            <w:r w:rsidRPr="00C55629">
              <w:rPr>
                <w:rFonts w:ascii="Times New Roman" w:eastAsia="Times New Roman" w:hAnsi="Times New Roman" w:cs="Times New Roman"/>
                <w:b/>
                <w:noProof/>
                <w:color w:val="000000"/>
                <w:kern w:val="0"/>
                <w:sz w:val="16"/>
                <w:szCs w:val="16"/>
                <w:lang w:val="en-GB"/>
                <w14:ligatures w14:val="none"/>
              </w:rPr>
              <w:t>543 000</w:t>
            </w:r>
          </w:p>
        </w:tc>
      </w:tr>
      <w:tr w:rsidR="00C55629" w:rsidRPr="00C55629" w14:paraId="7D6B5405" w14:textId="77777777" w:rsidTr="0028479A">
        <w:trPr>
          <w:trHeight w:val="300"/>
        </w:trPr>
        <w:tc>
          <w:tcPr>
            <w:tcW w:w="9983" w:type="dxa"/>
            <w:gridSpan w:val="3"/>
            <w:tcBorders>
              <w:top w:val="nil"/>
              <w:left w:val="nil"/>
              <w:bottom w:val="nil"/>
              <w:right w:val="nil"/>
            </w:tcBorders>
            <w:shd w:val="clear" w:color="auto" w:fill="auto"/>
          </w:tcPr>
          <w:p w14:paraId="5CCB46E3"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p>
        </w:tc>
      </w:tr>
      <w:tr w:rsidR="00C55629" w:rsidRPr="00C55629" w14:paraId="58EFA6EE" w14:textId="77777777" w:rsidTr="0028479A">
        <w:trPr>
          <w:trHeight w:val="300"/>
        </w:trPr>
        <w:tc>
          <w:tcPr>
            <w:tcW w:w="9983" w:type="dxa"/>
            <w:gridSpan w:val="3"/>
            <w:shd w:val="clear" w:color="auto" w:fill="auto"/>
          </w:tcPr>
          <w:p w14:paraId="198330B1" w14:textId="77777777" w:rsidR="00C55629" w:rsidRPr="00C55629" w:rsidRDefault="00C55629" w:rsidP="00C55629">
            <w:pPr>
              <w:widowControl w:val="0"/>
              <w:spacing w:before="15" w:after="15" w:line="276" w:lineRule="auto"/>
              <w:rPr>
                <w:rFonts w:ascii="Times New Roman" w:eastAsia="Times New Roman" w:hAnsi="Times New Roman" w:cs="Times New Roman"/>
                <w:i/>
                <w:noProof/>
                <w:kern w:val="0"/>
                <w:sz w:val="20"/>
                <w:szCs w:val="20"/>
                <w:lang w:val="en-GB"/>
                <w14:ligatures w14:val="none"/>
              </w:rPr>
            </w:pPr>
            <w:r w:rsidRPr="00C55629">
              <w:rPr>
                <w:rFonts w:ascii="Times New Roman" w:eastAsia="Times New Roman" w:hAnsi="Times New Roman" w:cs="Times New Roman"/>
                <w:i/>
                <w:noProof/>
                <w:kern w:val="0"/>
                <w:sz w:val="20"/>
                <w:szCs w:val="20"/>
                <w:lang w:val="en-GB"/>
                <w14:ligatures w14:val="none"/>
              </w:rPr>
              <w:t>Specific annex for the European anti-fraud Office (OLAF)</w:t>
            </w:r>
          </w:p>
        </w:tc>
      </w:tr>
      <w:tr w:rsidR="00C55629" w:rsidRPr="00C55629" w14:paraId="71CFE302"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E3CDE0"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O6 01 01 01</w:t>
            </w:r>
          </w:p>
        </w:tc>
        <w:tc>
          <w:tcPr>
            <w:tcW w:w="6520" w:type="dxa"/>
            <w:tcBorders>
              <w:top w:val="single" w:sz="4" w:space="0" w:color="auto"/>
              <w:left w:val="nil"/>
              <w:bottom w:val="single" w:sz="4" w:space="0" w:color="auto"/>
              <w:right w:val="single" w:sz="4" w:space="0" w:color="auto"/>
            </w:tcBorders>
            <w:shd w:val="clear" w:color="auto" w:fill="auto"/>
            <w:vAlign w:val="center"/>
          </w:tcPr>
          <w:p w14:paraId="4A5E0D46"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903" w:type="dxa"/>
            <w:vAlign w:val="center"/>
          </w:tcPr>
          <w:p w14:paraId="15301CDC"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1 155 000</w:t>
            </w:r>
          </w:p>
        </w:tc>
      </w:tr>
      <w:tr w:rsidR="00C55629" w:rsidRPr="00C55629" w14:paraId="4C16030E"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4C1AE"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O6 01 01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1BC71717"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Expenses and allowances related to recruitment, (...)</w:t>
            </w:r>
          </w:p>
        </w:tc>
        <w:tc>
          <w:tcPr>
            <w:tcW w:w="1903" w:type="dxa"/>
            <w:vAlign w:val="center"/>
          </w:tcPr>
          <w:p w14:paraId="3FCD8FE4"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4 000</w:t>
            </w:r>
          </w:p>
        </w:tc>
      </w:tr>
      <w:tr w:rsidR="00C55629" w:rsidRPr="00C55629" w14:paraId="57492E64" w14:textId="77777777" w:rsidTr="0028479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801924"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O6 01 02</w:t>
            </w:r>
          </w:p>
        </w:tc>
        <w:tc>
          <w:tcPr>
            <w:tcW w:w="6520" w:type="dxa"/>
            <w:tcBorders>
              <w:top w:val="single" w:sz="4" w:space="0" w:color="auto"/>
              <w:left w:val="nil"/>
              <w:bottom w:val="single" w:sz="4" w:space="0" w:color="auto"/>
              <w:right w:val="single" w:sz="4" w:space="0" w:color="auto"/>
            </w:tcBorders>
            <w:shd w:val="clear" w:color="auto" w:fill="auto"/>
            <w:vAlign w:val="center"/>
          </w:tcPr>
          <w:p w14:paraId="64512084"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w:t>
            </w:r>
          </w:p>
        </w:tc>
        <w:tc>
          <w:tcPr>
            <w:tcW w:w="1903" w:type="dxa"/>
            <w:vAlign w:val="center"/>
          </w:tcPr>
          <w:p w14:paraId="175948C3"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noProof/>
                <w:color w:val="000000"/>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14:ligatures w14:val="none"/>
              </w:rPr>
              <w:t>16 000</w:t>
            </w:r>
          </w:p>
        </w:tc>
      </w:tr>
      <w:tr w:rsidR="00C55629" w:rsidRPr="00C55629" w14:paraId="176F403D" w14:textId="77777777" w:rsidTr="00C5562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14:paraId="2D858C18" w14:textId="77777777" w:rsidR="00C55629" w:rsidRPr="00C55629" w:rsidRDefault="00C55629" w:rsidP="00C55629">
            <w:pPr>
              <w:widowControl w:val="0"/>
              <w:spacing w:before="15" w:after="15" w:line="276" w:lineRule="auto"/>
              <w:ind w:right="-113"/>
              <w:jc w:val="both"/>
              <w:rPr>
                <w:rFonts w:ascii="Times New Roman" w:eastAsia="Times New Roman" w:hAnsi="Times New Roman" w:cs="Times New Roman"/>
                <w:b/>
                <w:noProof/>
                <w:kern w:val="0"/>
                <w:sz w:val="16"/>
                <w:szCs w:val="16"/>
                <w:highlight w:val="lightGray"/>
                <w:lang w:val="en-GB"/>
                <w14:ligatures w14:val="none"/>
              </w:rPr>
            </w:pPr>
            <w:r w:rsidRPr="00C55629">
              <w:rPr>
                <w:rFonts w:ascii="Times New Roman" w:eastAsia="Times New Roman" w:hAnsi="Times New Roman" w:cs="Times New Roman"/>
                <w:b/>
                <w:noProof/>
                <w:kern w:val="0"/>
                <w:sz w:val="16"/>
                <w:szCs w:val="16"/>
                <w:highlight w:val="lightGray"/>
                <w:lang w:val="en-GB"/>
                <w14:ligatures w14:val="none"/>
              </w:rPr>
              <w:t>Total</w:t>
            </w:r>
          </w:p>
        </w:tc>
        <w:tc>
          <w:tcPr>
            <w:tcW w:w="6520" w:type="dxa"/>
            <w:tcBorders>
              <w:top w:val="single" w:sz="4" w:space="0" w:color="auto"/>
              <w:left w:val="nil"/>
              <w:bottom w:val="single" w:sz="4" w:space="0" w:color="auto"/>
              <w:right w:val="single" w:sz="4" w:space="0" w:color="auto"/>
            </w:tcBorders>
            <w:shd w:val="clear" w:color="auto" w:fill="D9D9D9"/>
            <w:vAlign w:val="bottom"/>
          </w:tcPr>
          <w:p w14:paraId="775C3F6B" w14:textId="77777777" w:rsidR="00C55629" w:rsidRPr="00C55629" w:rsidRDefault="00C55629" w:rsidP="00C55629">
            <w:pPr>
              <w:widowControl w:val="0"/>
              <w:spacing w:before="15" w:after="15" w:line="276" w:lineRule="auto"/>
              <w:ind w:right="-113"/>
              <w:rPr>
                <w:rFonts w:ascii="Times New Roman" w:eastAsia="Times New Roman" w:hAnsi="Times New Roman" w:cs="Times New Roman"/>
                <w:b/>
                <w:noProof/>
                <w:kern w:val="0"/>
                <w:sz w:val="16"/>
                <w:szCs w:val="16"/>
                <w:highlight w:val="lightGray"/>
                <w:lang w:val="en-GB" w:eastAsia="en-GB"/>
                <w14:ligatures w14:val="none"/>
              </w:rPr>
            </w:pPr>
          </w:p>
        </w:tc>
        <w:tc>
          <w:tcPr>
            <w:tcW w:w="1903" w:type="dxa"/>
            <w:shd w:val="clear" w:color="auto" w:fill="D9D9D9"/>
          </w:tcPr>
          <w:p w14:paraId="28F9EFBF" w14:textId="77777777" w:rsidR="00C55629" w:rsidRPr="00C55629" w:rsidRDefault="00C55629" w:rsidP="00C55629">
            <w:pPr>
              <w:widowControl w:val="0"/>
              <w:spacing w:before="15" w:after="15" w:line="276" w:lineRule="auto"/>
              <w:jc w:val="right"/>
              <w:rPr>
                <w:rFonts w:ascii="Times New Roman" w:eastAsia="Times New Roman" w:hAnsi="Times New Roman" w:cs="Times New Roman"/>
                <w:b/>
                <w:noProof/>
                <w:color w:val="000000"/>
                <w:kern w:val="0"/>
                <w:sz w:val="16"/>
                <w:szCs w:val="16"/>
                <w:lang w:val="en-GB"/>
                <w14:ligatures w14:val="none"/>
              </w:rPr>
            </w:pPr>
            <w:r w:rsidRPr="00C55629">
              <w:rPr>
                <w:rFonts w:ascii="Times New Roman" w:eastAsia="Times New Roman" w:hAnsi="Times New Roman" w:cs="Times New Roman"/>
                <w:b/>
                <w:noProof/>
                <w:color w:val="000000"/>
                <w:kern w:val="0"/>
                <w:sz w:val="16"/>
                <w:szCs w:val="16"/>
                <w:lang w:val="en-GB"/>
                <w14:ligatures w14:val="none"/>
              </w:rPr>
              <w:t>1 175 000</w:t>
            </w:r>
          </w:p>
        </w:tc>
      </w:tr>
    </w:tbl>
    <w:p w14:paraId="3029D980" w14:textId="6F3FBC8D" w:rsidR="002A68AE" w:rsidRDefault="002A68AE">
      <w:pPr>
        <w:rPr>
          <w:rFonts w:ascii="Times New Roman" w:eastAsia="Times New Roman" w:hAnsi="Times New Roman" w:cs="Times New Roman"/>
          <w:noProof/>
          <w:kern w:val="0"/>
          <w:sz w:val="24"/>
          <w:szCs w:val="24"/>
          <w:lang w:val="en-GB" w:eastAsia="de-DE"/>
          <w14:ligatures w14:val="none"/>
        </w:rPr>
      </w:pPr>
    </w:p>
    <w:p w14:paraId="7CC209E7" w14:textId="77777777" w:rsidR="00C55629" w:rsidRPr="00C55629" w:rsidRDefault="00C55629" w:rsidP="00C55629">
      <w:pPr>
        <w:spacing w:after="200" w:line="276" w:lineRule="auto"/>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Calibri" w:hAnsi="Times New Roman" w:cs="Times New Roman"/>
          <w:b/>
          <w:bCs/>
          <w:noProof/>
          <w:kern w:val="0"/>
          <w:sz w:val="24"/>
          <w:szCs w:val="24"/>
          <w:lang w:val="en-GB"/>
          <w14:ligatures w14:val="none"/>
        </w:rPr>
        <w:t>CERT-EU - Transfer of  establishment plan posts and appropriations from several Institutions to the Commission</w:t>
      </w:r>
    </w:p>
    <w:p w14:paraId="3B02E84A" w14:textId="77777777" w:rsidR="00C55629" w:rsidRPr="00C55629" w:rsidRDefault="00C55629" w:rsidP="00C55629">
      <w:pPr>
        <w:spacing w:after="120" w:line="276" w:lineRule="auto"/>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With the increasing risk and spread of cyber attacks, there is a need to increase the funding of CERT-EU, which provides a high common level of cybersecurity of all EU institutions, enabling alignment around a framework that addresses the cybersecurity threats, and establishes monitoring and reporting to an Interinstitutional Cybersecurity Board.</w:t>
      </w:r>
    </w:p>
    <w:p w14:paraId="79964502" w14:textId="77777777" w:rsidR="00C55629" w:rsidRPr="00C55629" w:rsidRDefault="00C55629" w:rsidP="00C55629">
      <w:pPr>
        <w:spacing w:after="120" w:line="276" w:lineRule="auto"/>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The extension of CERT-EU’s mandate was established in the Cybersecurity Regulation which entered into force on 7 January 2024. The legislative financial statement accompanying the agreed Regulation foresees</w:t>
      </w:r>
      <w:r w:rsidRPr="00C55629">
        <w:rPr>
          <w:rFonts w:ascii="Times New Roman" w:eastAsia="Times New Roman" w:hAnsi="Times New Roman" w:cs="Times New Roman"/>
          <w:noProof/>
          <w:kern w:val="0"/>
          <w:sz w:val="24"/>
          <w:szCs w:val="24"/>
          <w:lang w:val="en-GB" w:eastAsia="en-GB"/>
          <w14:ligatures w14:val="none"/>
        </w:rPr>
        <w:t xml:space="preserve"> </w:t>
      </w:r>
      <w:r w:rsidRPr="00C55629">
        <w:rPr>
          <w:rFonts w:ascii="Times New Roman" w:eastAsia="Calibri" w:hAnsi="Times New Roman" w:cs="Times New Roman"/>
          <w:noProof/>
          <w:kern w:val="0"/>
          <w:sz w:val="24"/>
          <w:szCs w:val="24"/>
          <w:lang w:val="en-GB"/>
          <w14:ligatures w14:val="none"/>
        </w:rPr>
        <w:t xml:space="preserve">a reinforcement of human and budgetary resources to CERT-EU from all Union institutions. With respect to staffing, it specifies that such contribution </w:t>
      </w:r>
      <w:r w:rsidRPr="00C55629">
        <w:rPr>
          <w:rFonts w:ascii="Times New Roman" w:eastAsia="Calibri" w:hAnsi="Times New Roman" w:cs="Times New Roman"/>
          <w:i/>
          <w:iCs/>
          <w:noProof/>
          <w:kern w:val="0"/>
          <w:sz w:val="24"/>
          <w:szCs w:val="24"/>
          <w:lang w:val="en-GB"/>
          <w14:ligatures w14:val="none"/>
        </w:rPr>
        <w:t>“is in proportion to the respective share of permanent AD posts of the organisation”</w:t>
      </w:r>
      <w:r w:rsidRPr="00C55629">
        <w:rPr>
          <w:rFonts w:ascii="Times New Roman" w:eastAsia="Calibri" w:hAnsi="Times New Roman" w:cs="Times New Roman"/>
          <w:noProof/>
          <w:kern w:val="0"/>
          <w:sz w:val="24"/>
          <w:szCs w:val="24"/>
          <w:lang w:val="en-GB"/>
          <w14:ligatures w14:val="none"/>
        </w:rPr>
        <w:t xml:space="preserve">. </w:t>
      </w:r>
    </w:p>
    <w:p w14:paraId="14E24DAC" w14:textId="77777777" w:rsidR="00C55629" w:rsidRPr="00C55629" w:rsidRDefault="00C55629" w:rsidP="00C55629">
      <w:pPr>
        <w:spacing w:after="120" w:line="276" w:lineRule="auto"/>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While the Commission had already made available the necessary establishment plan posts, the current proposal is to transfer nine AD8 posts and the related salary appropriations, to cover a six-month period in 2025, as follows: two from the European Parliament, two from the Council, two from the Court of Justice, one from the European Court of Auditors, and two from the European External Action Service. The changes to the related establishment plans are set out in the budgetary annex.</w:t>
      </w:r>
    </w:p>
    <w:p w14:paraId="48CA8159" w14:textId="77777777" w:rsidR="00C55629" w:rsidRPr="00C55629" w:rsidRDefault="00C55629" w:rsidP="00C55629">
      <w:pPr>
        <w:spacing w:after="120" w:line="276" w:lineRule="auto"/>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Similarly, all Union institutions should contribute to the operations of CERT-EU through budget line 20 04 04 Inter-institutional computer emergency response team for the Union’s institutions, bodies and agencies (CERT-EU). The amount required for the 2025 budget (EUR 8.921 millon) corresponds to an increase of EUR 1.156 million compared to the 2024 budget. When establishing the DB 2025, the Commission budgeted the full amount – its own share of EUR 531 916, plus the share of the other institutions amounting to EUR 624 138, by limiting its own IT request. With the transfer of the share of the other institution to the CERT-EU line, it is now proposed to allocate the equivalent amount to line 20 04 03 Data Centre and Networking Services, which should have been the original destination of the amount.</w:t>
      </w:r>
    </w:p>
    <w:p w14:paraId="1BD10036" w14:textId="77777777" w:rsidR="00C55629" w:rsidRPr="00C55629" w:rsidRDefault="00C55629" w:rsidP="00C55629">
      <w:pPr>
        <w:spacing w:after="120" w:line="276" w:lineRule="auto"/>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The proposed – budgetary neutral – adjustments are as follows:</w:t>
      </w:r>
    </w:p>
    <w:tbl>
      <w:tblPr>
        <w:tblW w:w="9950" w:type="dxa"/>
        <w:tblInd w:w="108" w:type="dxa"/>
        <w:tblLook w:val="04A0" w:firstRow="1" w:lastRow="0" w:firstColumn="1" w:lastColumn="0" w:noHBand="0" w:noVBand="1"/>
      </w:tblPr>
      <w:tblGrid>
        <w:gridCol w:w="1600"/>
        <w:gridCol w:w="6460"/>
        <w:gridCol w:w="1890"/>
      </w:tblGrid>
      <w:tr w:rsidR="00C55629" w:rsidRPr="00C55629" w14:paraId="531B38C8" w14:textId="77777777" w:rsidTr="0028479A">
        <w:trPr>
          <w:trHeight w:val="255"/>
          <w:tblHeader/>
        </w:trPr>
        <w:tc>
          <w:tcPr>
            <w:tcW w:w="1600" w:type="dxa"/>
            <w:tcBorders>
              <w:top w:val="nil"/>
              <w:left w:val="nil"/>
              <w:bottom w:val="nil"/>
              <w:right w:val="nil"/>
            </w:tcBorders>
            <w:shd w:val="clear" w:color="auto" w:fill="auto"/>
            <w:noWrap/>
            <w:vAlign w:val="bottom"/>
            <w:hideMark/>
          </w:tcPr>
          <w:p w14:paraId="3C01D908"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6460" w:type="dxa"/>
            <w:tcBorders>
              <w:top w:val="nil"/>
              <w:left w:val="nil"/>
              <w:bottom w:val="nil"/>
              <w:right w:val="nil"/>
            </w:tcBorders>
            <w:shd w:val="clear" w:color="auto" w:fill="auto"/>
            <w:noWrap/>
            <w:vAlign w:val="bottom"/>
            <w:hideMark/>
          </w:tcPr>
          <w:p w14:paraId="2DEFD156"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1890" w:type="dxa"/>
            <w:tcBorders>
              <w:top w:val="nil"/>
              <w:left w:val="nil"/>
              <w:bottom w:val="nil"/>
              <w:right w:val="nil"/>
            </w:tcBorders>
            <w:shd w:val="clear" w:color="auto" w:fill="auto"/>
            <w:noWrap/>
            <w:vAlign w:val="bottom"/>
            <w:hideMark/>
          </w:tcPr>
          <w:p w14:paraId="643EAA61" w14:textId="77777777" w:rsidR="00C55629" w:rsidRPr="00C55629" w:rsidRDefault="00C55629" w:rsidP="00C55629">
            <w:pPr>
              <w:spacing w:after="0" w:line="240" w:lineRule="auto"/>
              <w:jc w:val="right"/>
              <w:rPr>
                <w:rFonts w:ascii="Times New Roman" w:eastAsia="Times New Roman" w:hAnsi="Times New Roman" w:cs="Times New Roman"/>
                <w:i/>
                <w:iCs/>
                <w:noProof/>
                <w:kern w:val="0"/>
                <w:sz w:val="20"/>
                <w:szCs w:val="20"/>
                <w:lang w:val="en-GB" w:eastAsia="en-GB"/>
                <w14:ligatures w14:val="none"/>
              </w:rPr>
            </w:pPr>
            <w:r w:rsidRPr="00C55629">
              <w:rPr>
                <w:rFonts w:ascii="Times New Roman" w:eastAsia="Times New Roman" w:hAnsi="Times New Roman" w:cs="Times New Roman"/>
                <w:i/>
                <w:iCs/>
                <w:noProof/>
                <w:kern w:val="0"/>
                <w:sz w:val="20"/>
                <w:szCs w:val="20"/>
                <w:lang w:val="en-GB" w:eastAsia="en-GB"/>
                <w14:ligatures w14:val="none"/>
              </w:rPr>
              <w:t>Amounts in EUR</w:t>
            </w:r>
          </w:p>
        </w:tc>
      </w:tr>
      <w:tr w:rsidR="00C55629" w:rsidRPr="00C55629" w14:paraId="4125E226" w14:textId="77777777" w:rsidTr="0028479A">
        <w:trPr>
          <w:trHeight w:val="255"/>
          <w:tblHeader/>
        </w:trPr>
        <w:tc>
          <w:tcPr>
            <w:tcW w:w="16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5E3FEC"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Budget Line</w:t>
            </w:r>
          </w:p>
        </w:tc>
        <w:tc>
          <w:tcPr>
            <w:tcW w:w="6460" w:type="dxa"/>
            <w:tcBorders>
              <w:top w:val="single" w:sz="4" w:space="0" w:color="auto"/>
              <w:left w:val="nil"/>
              <w:bottom w:val="single" w:sz="4" w:space="0" w:color="auto"/>
              <w:right w:val="single" w:sz="4" w:space="0" w:color="auto"/>
            </w:tcBorders>
            <w:shd w:val="clear" w:color="auto" w:fill="E0E0E0"/>
            <w:vAlign w:val="center"/>
            <w:hideMark/>
          </w:tcPr>
          <w:p w14:paraId="78C736D1"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Name</w:t>
            </w:r>
          </w:p>
        </w:tc>
        <w:tc>
          <w:tcPr>
            <w:tcW w:w="1890" w:type="dxa"/>
            <w:tcBorders>
              <w:top w:val="single" w:sz="4" w:space="0" w:color="auto"/>
              <w:left w:val="nil"/>
              <w:bottom w:val="single" w:sz="4" w:space="0" w:color="auto"/>
              <w:right w:val="single" w:sz="4" w:space="0" w:color="auto"/>
            </w:tcBorders>
            <w:shd w:val="clear" w:color="auto" w:fill="E0E0E0"/>
            <w:vAlign w:val="center"/>
            <w:hideMark/>
          </w:tcPr>
          <w:p w14:paraId="0D8EFA52"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Appropriations</w:t>
            </w:r>
          </w:p>
        </w:tc>
      </w:tr>
      <w:tr w:rsidR="00C55629" w:rsidRPr="00C55629" w14:paraId="6A025B06"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656194C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 - European Parliament</w:t>
            </w:r>
          </w:p>
        </w:tc>
        <w:tc>
          <w:tcPr>
            <w:tcW w:w="1890" w:type="dxa"/>
            <w:tcBorders>
              <w:top w:val="nil"/>
              <w:left w:val="single" w:sz="4" w:space="0" w:color="auto"/>
              <w:bottom w:val="single" w:sz="4" w:space="0" w:color="auto"/>
              <w:right w:val="single" w:sz="4" w:space="0" w:color="auto"/>
            </w:tcBorders>
            <w:shd w:val="clear" w:color="auto" w:fill="F2F2F2"/>
            <w:vAlign w:val="center"/>
            <w:hideMark/>
          </w:tcPr>
          <w:p w14:paraId="6B95B9B6"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46742259"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776AE23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tcPr>
          <w:p w14:paraId="5A74A36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890" w:type="dxa"/>
            <w:tcBorders>
              <w:top w:val="nil"/>
              <w:left w:val="nil"/>
              <w:bottom w:val="single" w:sz="4" w:space="0" w:color="auto"/>
              <w:right w:val="single" w:sz="4" w:space="0" w:color="auto"/>
            </w:tcBorders>
            <w:shd w:val="clear" w:color="auto" w:fill="auto"/>
            <w:vAlign w:val="center"/>
          </w:tcPr>
          <w:p w14:paraId="47ACACF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-140 000</w:t>
            </w:r>
          </w:p>
        </w:tc>
      </w:tr>
      <w:tr w:rsidR="00C55629" w:rsidRPr="00C55629" w14:paraId="0B8F25F2"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056870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2 1 0 0</w:t>
            </w:r>
          </w:p>
        </w:tc>
        <w:tc>
          <w:tcPr>
            <w:tcW w:w="6460" w:type="dxa"/>
            <w:tcBorders>
              <w:top w:val="nil"/>
              <w:left w:val="nil"/>
              <w:bottom w:val="single" w:sz="4" w:space="0" w:color="auto"/>
              <w:right w:val="single" w:sz="4" w:space="0" w:color="auto"/>
            </w:tcBorders>
            <w:shd w:val="clear" w:color="auto" w:fill="auto"/>
            <w:vAlign w:val="center"/>
          </w:tcPr>
          <w:p w14:paraId="4286D11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IT governance and cyber security</w:t>
            </w:r>
          </w:p>
        </w:tc>
        <w:tc>
          <w:tcPr>
            <w:tcW w:w="1890" w:type="dxa"/>
            <w:tcBorders>
              <w:top w:val="nil"/>
              <w:left w:val="nil"/>
              <w:bottom w:val="single" w:sz="4" w:space="0" w:color="auto"/>
              <w:right w:val="single" w:sz="4" w:space="0" w:color="auto"/>
            </w:tcBorders>
            <w:shd w:val="clear" w:color="auto" w:fill="auto"/>
            <w:vAlign w:val="center"/>
          </w:tcPr>
          <w:p w14:paraId="4910260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-300 100</w:t>
            </w:r>
          </w:p>
        </w:tc>
      </w:tr>
      <w:tr w:rsidR="00C55629" w:rsidRPr="00C55629" w14:paraId="1BFEC00F"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AF7B20"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w:t>
            </w:r>
          </w:p>
        </w:tc>
        <w:tc>
          <w:tcPr>
            <w:tcW w:w="1890" w:type="dxa"/>
            <w:tcBorders>
              <w:top w:val="nil"/>
              <w:left w:val="nil"/>
              <w:bottom w:val="single" w:sz="4" w:space="0" w:color="auto"/>
              <w:right w:val="single" w:sz="4" w:space="0" w:color="auto"/>
            </w:tcBorders>
            <w:shd w:val="clear" w:color="auto" w:fill="auto"/>
            <w:vAlign w:val="center"/>
          </w:tcPr>
          <w:p w14:paraId="201335AC"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-440 100</w:t>
            </w:r>
          </w:p>
        </w:tc>
      </w:tr>
      <w:tr w:rsidR="00C55629" w:rsidRPr="00C55629" w14:paraId="653E6031"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71AB83F"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II - Council and European Council</w:t>
            </w:r>
          </w:p>
        </w:tc>
        <w:tc>
          <w:tcPr>
            <w:tcW w:w="1890" w:type="dxa"/>
            <w:tcBorders>
              <w:top w:val="nil"/>
              <w:left w:val="single" w:sz="4" w:space="0" w:color="auto"/>
              <w:bottom w:val="single" w:sz="4" w:space="0" w:color="auto"/>
              <w:right w:val="single" w:sz="4" w:space="0" w:color="auto"/>
            </w:tcBorders>
            <w:shd w:val="clear" w:color="auto" w:fill="F2F2F2"/>
            <w:vAlign w:val="center"/>
            <w:hideMark/>
          </w:tcPr>
          <w:p w14:paraId="771B1696"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12B15C5C"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24FD20A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1 0 0 0</w:t>
            </w:r>
          </w:p>
        </w:tc>
        <w:tc>
          <w:tcPr>
            <w:tcW w:w="6460" w:type="dxa"/>
            <w:tcBorders>
              <w:top w:val="nil"/>
              <w:left w:val="nil"/>
              <w:bottom w:val="single" w:sz="4" w:space="0" w:color="auto"/>
              <w:right w:val="single" w:sz="4" w:space="0" w:color="auto"/>
            </w:tcBorders>
            <w:shd w:val="clear" w:color="auto" w:fill="auto"/>
            <w:vAlign w:val="center"/>
          </w:tcPr>
          <w:p w14:paraId="1DD9786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Basic salary</w:t>
            </w:r>
          </w:p>
        </w:tc>
        <w:tc>
          <w:tcPr>
            <w:tcW w:w="1890" w:type="dxa"/>
            <w:tcBorders>
              <w:top w:val="nil"/>
              <w:left w:val="nil"/>
              <w:bottom w:val="single" w:sz="4" w:space="0" w:color="auto"/>
              <w:right w:val="single" w:sz="4" w:space="0" w:color="auto"/>
            </w:tcBorders>
            <w:shd w:val="clear" w:color="auto" w:fill="auto"/>
            <w:vAlign w:val="center"/>
          </w:tcPr>
          <w:p w14:paraId="3AEC34C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-140 000</w:t>
            </w:r>
          </w:p>
        </w:tc>
      </w:tr>
      <w:tr w:rsidR="00C55629" w:rsidRPr="00C55629" w14:paraId="3563547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930F36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2 1 0 2</w:t>
            </w:r>
          </w:p>
        </w:tc>
        <w:tc>
          <w:tcPr>
            <w:tcW w:w="6460" w:type="dxa"/>
            <w:tcBorders>
              <w:top w:val="nil"/>
              <w:left w:val="nil"/>
              <w:bottom w:val="single" w:sz="4" w:space="0" w:color="auto"/>
              <w:right w:val="single" w:sz="4" w:space="0" w:color="auto"/>
            </w:tcBorders>
            <w:shd w:val="clear" w:color="auto" w:fill="auto"/>
            <w:vAlign w:val="center"/>
          </w:tcPr>
          <w:p w14:paraId="25F5FF1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Servicing and maintenance of equipment and software</w:t>
            </w:r>
          </w:p>
        </w:tc>
        <w:tc>
          <w:tcPr>
            <w:tcW w:w="1890" w:type="dxa"/>
            <w:tcBorders>
              <w:top w:val="nil"/>
              <w:left w:val="nil"/>
              <w:bottom w:val="single" w:sz="4" w:space="0" w:color="auto"/>
              <w:right w:val="single" w:sz="4" w:space="0" w:color="auto"/>
            </w:tcBorders>
            <w:shd w:val="clear" w:color="auto" w:fill="auto"/>
            <w:vAlign w:val="center"/>
          </w:tcPr>
          <w:p w14:paraId="6949202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-85 293</w:t>
            </w:r>
          </w:p>
        </w:tc>
      </w:tr>
      <w:tr w:rsidR="00C55629" w:rsidRPr="00C55629" w14:paraId="15ABBC55"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ACC422"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II</w:t>
            </w:r>
          </w:p>
        </w:tc>
        <w:tc>
          <w:tcPr>
            <w:tcW w:w="1890" w:type="dxa"/>
            <w:tcBorders>
              <w:top w:val="nil"/>
              <w:left w:val="nil"/>
              <w:bottom w:val="single" w:sz="4" w:space="0" w:color="auto"/>
              <w:right w:val="single" w:sz="4" w:space="0" w:color="auto"/>
            </w:tcBorders>
            <w:shd w:val="clear" w:color="auto" w:fill="auto"/>
            <w:vAlign w:val="center"/>
          </w:tcPr>
          <w:p w14:paraId="04ED10D7"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-225 293</w:t>
            </w:r>
          </w:p>
        </w:tc>
      </w:tr>
      <w:tr w:rsidR="00C55629" w:rsidRPr="00C55629" w14:paraId="25DE6F9D" w14:textId="77777777" w:rsidTr="00C55629">
        <w:trPr>
          <w:trHeight w:val="464"/>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7864D381"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III - Commission</w:t>
            </w:r>
          </w:p>
        </w:tc>
        <w:tc>
          <w:tcPr>
            <w:tcW w:w="1890" w:type="dxa"/>
            <w:tcBorders>
              <w:top w:val="nil"/>
              <w:left w:val="single" w:sz="4" w:space="0" w:color="auto"/>
              <w:bottom w:val="single" w:sz="4" w:space="0" w:color="auto"/>
              <w:right w:val="single" w:sz="4" w:space="0" w:color="auto"/>
            </w:tcBorders>
            <w:shd w:val="clear" w:color="auto" w:fill="F2F2F2"/>
            <w:vAlign w:val="center"/>
            <w:hideMark/>
          </w:tcPr>
          <w:p w14:paraId="4F12F8C5"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3CA7243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16CAFE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20 01 02 01</w:t>
            </w:r>
          </w:p>
        </w:tc>
        <w:tc>
          <w:tcPr>
            <w:tcW w:w="6460" w:type="dxa"/>
            <w:tcBorders>
              <w:top w:val="nil"/>
              <w:left w:val="nil"/>
              <w:bottom w:val="single" w:sz="4" w:space="0" w:color="auto"/>
              <w:right w:val="single" w:sz="4" w:space="0" w:color="auto"/>
            </w:tcBorders>
            <w:shd w:val="clear" w:color="auto" w:fill="auto"/>
            <w:vAlign w:val="center"/>
            <w:hideMark/>
          </w:tcPr>
          <w:p w14:paraId="21A510E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 - Headquarters &amp; Representation offices</w:t>
            </w:r>
          </w:p>
        </w:tc>
        <w:tc>
          <w:tcPr>
            <w:tcW w:w="1890" w:type="dxa"/>
            <w:tcBorders>
              <w:top w:val="nil"/>
              <w:left w:val="nil"/>
              <w:bottom w:val="single" w:sz="4" w:space="0" w:color="auto"/>
              <w:right w:val="single" w:sz="4" w:space="0" w:color="auto"/>
            </w:tcBorders>
            <w:shd w:val="clear" w:color="auto" w:fill="auto"/>
            <w:vAlign w:val="center"/>
          </w:tcPr>
          <w:p w14:paraId="54863B8B"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630 000</w:t>
            </w:r>
          </w:p>
        </w:tc>
      </w:tr>
      <w:tr w:rsidR="00C55629" w:rsidRPr="00C55629" w14:paraId="292121BB"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7325B203"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20 04 03</w:t>
            </w:r>
          </w:p>
        </w:tc>
        <w:tc>
          <w:tcPr>
            <w:tcW w:w="6460" w:type="dxa"/>
            <w:tcBorders>
              <w:top w:val="nil"/>
              <w:left w:val="nil"/>
              <w:bottom w:val="single" w:sz="4" w:space="0" w:color="auto"/>
              <w:right w:val="single" w:sz="4" w:space="0" w:color="auto"/>
            </w:tcBorders>
            <w:shd w:val="clear" w:color="auto" w:fill="auto"/>
            <w:vAlign w:val="center"/>
          </w:tcPr>
          <w:p w14:paraId="082B215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Data Centre and Networking Services</w:t>
            </w:r>
          </w:p>
        </w:tc>
        <w:tc>
          <w:tcPr>
            <w:tcW w:w="1890" w:type="dxa"/>
            <w:tcBorders>
              <w:top w:val="nil"/>
              <w:left w:val="nil"/>
              <w:bottom w:val="single" w:sz="4" w:space="0" w:color="auto"/>
              <w:right w:val="single" w:sz="4" w:space="0" w:color="auto"/>
            </w:tcBorders>
            <w:shd w:val="clear" w:color="auto" w:fill="auto"/>
            <w:vAlign w:val="center"/>
          </w:tcPr>
          <w:p w14:paraId="79AAD10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624 138</w:t>
            </w:r>
          </w:p>
        </w:tc>
      </w:tr>
      <w:tr w:rsidR="00C55629" w:rsidRPr="00C55629" w14:paraId="56F61BE7"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17BAE7"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III</w:t>
            </w:r>
          </w:p>
        </w:tc>
        <w:tc>
          <w:tcPr>
            <w:tcW w:w="1890" w:type="dxa"/>
            <w:tcBorders>
              <w:top w:val="nil"/>
              <w:left w:val="nil"/>
              <w:bottom w:val="single" w:sz="4" w:space="0" w:color="auto"/>
              <w:right w:val="single" w:sz="4" w:space="0" w:color="auto"/>
            </w:tcBorders>
            <w:shd w:val="clear" w:color="auto" w:fill="auto"/>
            <w:vAlign w:val="center"/>
          </w:tcPr>
          <w:p w14:paraId="646A240E"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1 254 138</w:t>
            </w:r>
          </w:p>
        </w:tc>
      </w:tr>
      <w:tr w:rsidR="00C55629" w:rsidRPr="00C55629" w14:paraId="2B333F01"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995F8F" w14:textId="77777777" w:rsidR="00C55629" w:rsidRPr="00C55629" w:rsidRDefault="00C55629" w:rsidP="00C55629">
            <w:pPr>
              <w:spacing w:after="0" w:line="240" w:lineRule="auto"/>
              <w:rPr>
                <w:rFonts w:ascii="Times New Roman" w:eastAsia="Times New Roman" w:hAnsi="Times New Roman" w:cs="Times New Roman"/>
                <w:b/>
                <w:bCs/>
                <w:noProof/>
                <w:kern w:val="0"/>
                <w:sz w:val="20"/>
                <w:szCs w:val="20"/>
                <w:lang w:val="en-GB" w:eastAsia="en-GB"/>
                <w14:ligatures w14:val="none"/>
              </w:rPr>
            </w:pPr>
          </w:p>
        </w:tc>
        <w:tc>
          <w:tcPr>
            <w:tcW w:w="1890" w:type="dxa"/>
            <w:tcBorders>
              <w:top w:val="nil"/>
              <w:left w:val="nil"/>
              <w:bottom w:val="single" w:sz="4" w:space="0" w:color="auto"/>
              <w:right w:val="single" w:sz="4" w:space="0" w:color="auto"/>
            </w:tcBorders>
            <w:shd w:val="clear" w:color="auto" w:fill="auto"/>
            <w:vAlign w:val="center"/>
          </w:tcPr>
          <w:p w14:paraId="28F3C758"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20"/>
                <w:szCs w:val="20"/>
                <w:highlight w:val="yellow"/>
                <w:lang w:val="en-GB" w:eastAsia="en-GB"/>
                <w14:ligatures w14:val="none"/>
              </w:rPr>
            </w:pPr>
          </w:p>
        </w:tc>
      </w:tr>
      <w:tr w:rsidR="00C55629" w:rsidRPr="00C55629" w14:paraId="234D70A4"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6804E081"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IV - Court of Justice</w:t>
            </w:r>
          </w:p>
        </w:tc>
        <w:tc>
          <w:tcPr>
            <w:tcW w:w="1890" w:type="dxa"/>
            <w:tcBorders>
              <w:top w:val="nil"/>
              <w:left w:val="single" w:sz="4" w:space="0" w:color="auto"/>
              <w:bottom w:val="single" w:sz="4" w:space="0" w:color="auto"/>
              <w:right w:val="single" w:sz="4" w:space="0" w:color="auto"/>
            </w:tcBorders>
            <w:shd w:val="clear" w:color="auto" w:fill="F2F2F2"/>
            <w:vAlign w:val="center"/>
            <w:hideMark/>
          </w:tcPr>
          <w:p w14:paraId="1E25983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780352B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CE70450"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759D6EDD"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Remunerations and allowances</w:t>
            </w:r>
          </w:p>
        </w:tc>
        <w:tc>
          <w:tcPr>
            <w:tcW w:w="1890" w:type="dxa"/>
            <w:tcBorders>
              <w:top w:val="nil"/>
              <w:left w:val="nil"/>
              <w:bottom w:val="single" w:sz="4" w:space="0" w:color="auto"/>
              <w:right w:val="single" w:sz="4" w:space="0" w:color="auto"/>
            </w:tcBorders>
            <w:shd w:val="clear" w:color="auto" w:fill="auto"/>
            <w:vAlign w:val="center"/>
          </w:tcPr>
          <w:p w14:paraId="33B31397"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-140 000</w:t>
            </w:r>
          </w:p>
        </w:tc>
      </w:tr>
      <w:tr w:rsidR="00C55629" w:rsidRPr="00C55629" w14:paraId="658A4100"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tcPr>
          <w:p w14:paraId="3288D53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2 1 0 0</w:t>
            </w:r>
          </w:p>
        </w:tc>
        <w:tc>
          <w:tcPr>
            <w:tcW w:w="6460" w:type="dxa"/>
            <w:tcBorders>
              <w:top w:val="nil"/>
              <w:left w:val="nil"/>
              <w:bottom w:val="single" w:sz="4" w:space="0" w:color="auto"/>
              <w:right w:val="single" w:sz="4" w:space="0" w:color="auto"/>
            </w:tcBorders>
            <w:shd w:val="clear" w:color="auto" w:fill="auto"/>
            <w:vAlign w:val="center"/>
          </w:tcPr>
          <w:p w14:paraId="4667F1A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Purchase, servicing and maintenance of equipment and software</w:t>
            </w:r>
          </w:p>
        </w:tc>
        <w:tc>
          <w:tcPr>
            <w:tcW w:w="1890" w:type="dxa"/>
            <w:tcBorders>
              <w:top w:val="nil"/>
              <w:left w:val="nil"/>
              <w:bottom w:val="single" w:sz="4" w:space="0" w:color="auto"/>
              <w:right w:val="single" w:sz="4" w:space="0" w:color="auto"/>
            </w:tcBorders>
            <w:shd w:val="clear" w:color="auto" w:fill="auto"/>
            <w:vAlign w:val="center"/>
          </w:tcPr>
          <w:p w14:paraId="1CAE4B44"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-63 497</w:t>
            </w:r>
          </w:p>
        </w:tc>
      </w:tr>
      <w:tr w:rsidR="00C55629" w:rsidRPr="00C55629" w14:paraId="04EA8C34"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EC79EA"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IV</w:t>
            </w:r>
          </w:p>
        </w:tc>
        <w:tc>
          <w:tcPr>
            <w:tcW w:w="1890" w:type="dxa"/>
            <w:tcBorders>
              <w:top w:val="nil"/>
              <w:left w:val="nil"/>
              <w:bottom w:val="single" w:sz="4" w:space="0" w:color="auto"/>
              <w:right w:val="single" w:sz="4" w:space="0" w:color="auto"/>
            </w:tcBorders>
            <w:shd w:val="clear" w:color="auto" w:fill="auto"/>
            <w:vAlign w:val="center"/>
          </w:tcPr>
          <w:p w14:paraId="220DC27A"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-203 497</w:t>
            </w:r>
          </w:p>
        </w:tc>
      </w:tr>
      <w:tr w:rsidR="00C55629" w:rsidRPr="00C55629" w14:paraId="1C0E9537"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35115E1D"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 - Court of Auditors</w:t>
            </w:r>
          </w:p>
        </w:tc>
        <w:tc>
          <w:tcPr>
            <w:tcW w:w="1890" w:type="dxa"/>
            <w:tcBorders>
              <w:top w:val="nil"/>
              <w:left w:val="single" w:sz="4" w:space="0" w:color="auto"/>
              <w:bottom w:val="single" w:sz="4" w:space="0" w:color="auto"/>
              <w:right w:val="single" w:sz="4" w:space="0" w:color="auto"/>
            </w:tcBorders>
            <w:shd w:val="clear" w:color="auto" w:fill="F2F2F2"/>
            <w:vAlign w:val="center"/>
            <w:hideMark/>
          </w:tcPr>
          <w:p w14:paraId="7654535A"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 </w:t>
            </w:r>
          </w:p>
        </w:tc>
      </w:tr>
      <w:tr w:rsidR="00C55629" w:rsidRPr="00C55629" w14:paraId="5C26D317"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67F19A5"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1 2 0 0</w:t>
            </w:r>
          </w:p>
        </w:tc>
        <w:tc>
          <w:tcPr>
            <w:tcW w:w="6460" w:type="dxa"/>
            <w:tcBorders>
              <w:top w:val="nil"/>
              <w:left w:val="nil"/>
              <w:bottom w:val="single" w:sz="4" w:space="0" w:color="auto"/>
              <w:right w:val="single" w:sz="4" w:space="0" w:color="auto"/>
            </w:tcBorders>
            <w:shd w:val="clear" w:color="auto" w:fill="auto"/>
            <w:vAlign w:val="center"/>
            <w:hideMark/>
          </w:tcPr>
          <w:p w14:paraId="0507D7C4"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Remuneration and allowances</w:t>
            </w:r>
          </w:p>
        </w:tc>
        <w:tc>
          <w:tcPr>
            <w:tcW w:w="1890" w:type="dxa"/>
            <w:tcBorders>
              <w:top w:val="nil"/>
              <w:left w:val="nil"/>
              <w:bottom w:val="single" w:sz="4" w:space="0" w:color="auto"/>
              <w:right w:val="single" w:sz="4" w:space="0" w:color="auto"/>
            </w:tcBorders>
            <w:shd w:val="clear" w:color="auto" w:fill="auto"/>
            <w:vAlign w:val="center"/>
          </w:tcPr>
          <w:p w14:paraId="18ED2165"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-70 000</w:t>
            </w:r>
          </w:p>
        </w:tc>
      </w:tr>
      <w:tr w:rsidR="00C55629" w:rsidRPr="00C55629" w14:paraId="773C2A6E"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87D0A6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2 1 0 2</w:t>
            </w:r>
          </w:p>
        </w:tc>
        <w:tc>
          <w:tcPr>
            <w:tcW w:w="6460" w:type="dxa"/>
            <w:tcBorders>
              <w:top w:val="nil"/>
              <w:left w:val="nil"/>
              <w:bottom w:val="single" w:sz="4" w:space="0" w:color="auto"/>
              <w:right w:val="single" w:sz="4" w:space="0" w:color="auto"/>
            </w:tcBorders>
            <w:shd w:val="clear" w:color="auto" w:fill="auto"/>
            <w:vAlign w:val="center"/>
            <w:hideMark/>
          </w:tcPr>
          <w:p w14:paraId="5005AEB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External services for the operation, implementation and maintenance of software and systems</w:t>
            </w:r>
          </w:p>
        </w:tc>
        <w:tc>
          <w:tcPr>
            <w:tcW w:w="1890" w:type="dxa"/>
            <w:tcBorders>
              <w:top w:val="nil"/>
              <w:left w:val="nil"/>
              <w:bottom w:val="single" w:sz="4" w:space="0" w:color="auto"/>
              <w:right w:val="single" w:sz="4" w:space="0" w:color="auto"/>
            </w:tcBorders>
            <w:shd w:val="clear" w:color="auto" w:fill="auto"/>
            <w:vAlign w:val="center"/>
          </w:tcPr>
          <w:p w14:paraId="050DA33E"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-23 434</w:t>
            </w:r>
          </w:p>
        </w:tc>
      </w:tr>
      <w:tr w:rsidR="00C55629" w:rsidRPr="00C55629" w14:paraId="11BCF7E2"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34C4E8"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w:t>
            </w:r>
          </w:p>
        </w:tc>
        <w:tc>
          <w:tcPr>
            <w:tcW w:w="1890" w:type="dxa"/>
            <w:tcBorders>
              <w:top w:val="nil"/>
              <w:left w:val="nil"/>
              <w:bottom w:val="single" w:sz="4" w:space="0" w:color="auto"/>
              <w:right w:val="single" w:sz="4" w:space="0" w:color="auto"/>
            </w:tcBorders>
            <w:shd w:val="clear" w:color="auto" w:fill="auto"/>
            <w:vAlign w:val="center"/>
          </w:tcPr>
          <w:p w14:paraId="3572D75E"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-93 434</w:t>
            </w:r>
          </w:p>
        </w:tc>
      </w:tr>
      <w:tr w:rsidR="00C55629" w:rsidRPr="00C55629" w14:paraId="00F736D7"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97E5E90"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 - European Economic and Social Committee</w:t>
            </w:r>
          </w:p>
        </w:tc>
        <w:tc>
          <w:tcPr>
            <w:tcW w:w="1890" w:type="dxa"/>
            <w:tcBorders>
              <w:top w:val="nil"/>
              <w:left w:val="single" w:sz="4" w:space="0" w:color="auto"/>
              <w:bottom w:val="single" w:sz="4" w:space="0" w:color="auto"/>
              <w:right w:val="single" w:sz="4" w:space="0" w:color="auto"/>
            </w:tcBorders>
            <w:shd w:val="clear" w:color="auto" w:fill="F2F2F2"/>
            <w:vAlign w:val="center"/>
          </w:tcPr>
          <w:p w14:paraId="1FFE7C67"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657223EA"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6FF8B28"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2 1 0 2</w:t>
            </w:r>
          </w:p>
        </w:tc>
        <w:tc>
          <w:tcPr>
            <w:tcW w:w="6460" w:type="dxa"/>
            <w:tcBorders>
              <w:top w:val="nil"/>
              <w:left w:val="nil"/>
              <w:bottom w:val="single" w:sz="4" w:space="0" w:color="auto"/>
              <w:right w:val="single" w:sz="4" w:space="0" w:color="auto"/>
            </w:tcBorders>
            <w:shd w:val="clear" w:color="auto" w:fill="auto"/>
            <w:vAlign w:val="center"/>
            <w:hideMark/>
          </w:tcPr>
          <w:p w14:paraId="348A4816"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Outside assistance for the operation, development and maintenance of software systems</w:t>
            </w:r>
          </w:p>
        </w:tc>
        <w:tc>
          <w:tcPr>
            <w:tcW w:w="1890" w:type="dxa"/>
            <w:tcBorders>
              <w:top w:val="nil"/>
              <w:left w:val="nil"/>
              <w:bottom w:val="single" w:sz="4" w:space="0" w:color="auto"/>
              <w:right w:val="single" w:sz="4" w:space="0" w:color="auto"/>
            </w:tcBorders>
            <w:shd w:val="clear" w:color="auto" w:fill="auto"/>
            <w:vAlign w:val="center"/>
          </w:tcPr>
          <w:p w14:paraId="37FC4F11"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-20 788</w:t>
            </w:r>
          </w:p>
        </w:tc>
      </w:tr>
      <w:tr w:rsidR="00C55629" w:rsidRPr="00C55629" w14:paraId="1A41A321" w14:textId="77777777" w:rsidTr="00C55629">
        <w:trPr>
          <w:trHeight w:val="345"/>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D8BD58"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w:t>
            </w:r>
          </w:p>
        </w:tc>
        <w:tc>
          <w:tcPr>
            <w:tcW w:w="1890" w:type="dxa"/>
            <w:tcBorders>
              <w:top w:val="nil"/>
              <w:left w:val="nil"/>
              <w:bottom w:val="single" w:sz="4" w:space="0" w:color="auto"/>
              <w:right w:val="single" w:sz="4" w:space="0" w:color="auto"/>
            </w:tcBorders>
            <w:shd w:val="clear" w:color="auto" w:fill="auto"/>
            <w:vAlign w:val="center"/>
          </w:tcPr>
          <w:p w14:paraId="23E4C40B"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-20 788</w:t>
            </w:r>
          </w:p>
        </w:tc>
      </w:tr>
      <w:tr w:rsidR="00C55629" w:rsidRPr="00C55629" w14:paraId="0FDD1191" w14:textId="77777777" w:rsidTr="00C55629">
        <w:trPr>
          <w:trHeight w:val="345"/>
        </w:trPr>
        <w:tc>
          <w:tcPr>
            <w:tcW w:w="8060"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631BE740"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VII - European Committee of the Regions</w:t>
            </w:r>
          </w:p>
        </w:tc>
        <w:tc>
          <w:tcPr>
            <w:tcW w:w="1890" w:type="dxa"/>
            <w:tcBorders>
              <w:top w:val="nil"/>
              <w:left w:val="nil"/>
              <w:bottom w:val="single" w:sz="4" w:space="0" w:color="auto"/>
              <w:right w:val="single" w:sz="4" w:space="0" w:color="auto"/>
            </w:tcBorders>
            <w:shd w:val="clear" w:color="auto" w:fill="F2F2F2"/>
            <w:vAlign w:val="center"/>
          </w:tcPr>
          <w:p w14:paraId="40838048" w14:textId="77777777" w:rsidR="00C55629" w:rsidRPr="00C55629" w:rsidRDefault="00C55629" w:rsidP="00C55629">
            <w:pPr>
              <w:spacing w:after="0" w:line="240" w:lineRule="auto"/>
              <w:jc w:val="right"/>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162B5643" w14:textId="77777777" w:rsidTr="00C55629">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EF79F20"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 xml:space="preserve">2 1 0 2 </w:t>
            </w:r>
          </w:p>
        </w:tc>
        <w:tc>
          <w:tcPr>
            <w:tcW w:w="6460" w:type="dxa"/>
            <w:tcBorders>
              <w:top w:val="single" w:sz="4" w:space="0" w:color="auto"/>
              <w:left w:val="single" w:sz="4" w:space="0" w:color="auto"/>
              <w:bottom w:val="single" w:sz="4" w:space="0" w:color="auto"/>
              <w:right w:val="single" w:sz="4" w:space="0" w:color="000000"/>
            </w:tcBorders>
            <w:shd w:val="clear" w:color="auto" w:fill="auto"/>
            <w:vAlign w:val="center"/>
          </w:tcPr>
          <w:p w14:paraId="6CA051FC" w14:textId="77777777" w:rsidR="00C55629" w:rsidRPr="00C55629" w:rsidRDefault="00C55629" w:rsidP="00C55629">
            <w:pPr>
              <w:spacing w:after="0" w:line="240" w:lineRule="auto"/>
              <w:rPr>
                <w:rFonts w:ascii="Times New Roman" w:eastAsia="Times New Roman" w:hAnsi="Times New Roman" w:cs="Times New Roman"/>
                <w:bCs/>
                <w:iCs/>
                <w:noProof/>
                <w:kern w:val="0"/>
                <w:sz w:val="16"/>
                <w:szCs w:val="16"/>
                <w:lang w:val="en-GB" w:eastAsia="en-GB"/>
                <w14:ligatures w14:val="none"/>
              </w:rPr>
            </w:pPr>
            <w:r w:rsidRPr="00C55629">
              <w:rPr>
                <w:rFonts w:ascii="Times New Roman" w:eastAsia="Times New Roman" w:hAnsi="Times New Roman" w:cs="Times New Roman"/>
                <w:bCs/>
                <w:iCs/>
                <w:noProof/>
                <w:kern w:val="0"/>
                <w:sz w:val="16"/>
                <w:szCs w:val="16"/>
                <w:lang w:val="en-GB" w:eastAsia="en-GB"/>
                <w14:ligatures w14:val="none"/>
              </w:rPr>
              <w:t>Outside assistance for the operation, development and maintenance of software systems</w:t>
            </w:r>
          </w:p>
        </w:tc>
        <w:tc>
          <w:tcPr>
            <w:tcW w:w="1890" w:type="dxa"/>
            <w:tcBorders>
              <w:top w:val="nil"/>
              <w:left w:val="nil"/>
              <w:bottom w:val="single" w:sz="4" w:space="0" w:color="auto"/>
              <w:right w:val="single" w:sz="4" w:space="0" w:color="auto"/>
            </w:tcBorders>
            <w:shd w:val="clear" w:color="auto" w:fill="auto"/>
            <w:vAlign w:val="center"/>
          </w:tcPr>
          <w:p w14:paraId="5D7615B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-15 370</w:t>
            </w:r>
          </w:p>
        </w:tc>
      </w:tr>
      <w:tr w:rsidR="00C55629" w:rsidRPr="00C55629" w14:paraId="213847A6" w14:textId="77777777" w:rsidTr="0028479A">
        <w:trPr>
          <w:trHeight w:val="270"/>
        </w:trPr>
        <w:tc>
          <w:tcPr>
            <w:tcW w:w="8060" w:type="dxa"/>
            <w:gridSpan w:val="2"/>
            <w:tcBorders>
              <w:top w:val="single" w:sz="4" w:space="0" w:color="auto"/>
              <w:left w:val="single" w:sz="4" w:space="0" w:color="auto"/>
              <w:bottom w:val="single" w:sz="4" w:space="0" w:color="auto"/>
              <w:right w:val="nil"/>
            </w:tcBorders>
            <w:shd w:val="clear" w:color="auto" w:fill="auto"/>
            <w:vAlign w:val="center"/>
          </w:tcPr>
          <w:p w14:paraId="179900D7" w14:textId="77777777" w:rsidR="00C55629" w:rsidRPr="00C55629" w:rsidRDefault="00C55629" w:rsidP="00C55629">
            <w:pPr>
              <w:spacing w:after="0" w:line="240" w:lineRule="auto"/>
              <w:rPr>
                <w:rFonts w:ascii="Times New Roman" w:eastAsia="Times New Roman" w:hAnsi="Times New Roman" w:cs="Times New Roman"/>
                <w:b/>
                <w:bCs/>
                <w:i/>
                <w:i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VII</w:t>
            </w:r>
          </w:p>
        </w:tc>
        <w:tc>
          <w:tcPr>
            <w:tcW w:w="1890" w:type="dxa"/>
            <w:tcBorders>
              <w:top w:val="nil"/>
              <w:left w:val="single" w:sz="4" w:space="0" w:color="auto"/>
              <w:bottom w:val="single" w:sz="4" w:space="0" w:color="auto"/>
              <w:right w:val="single" w:sz="4" w:space="0" w:color="auto"/>
            </w:tcBorders>
            <w:shd w:val="clear" w:color="auto" w:fill="auto"/>
            <w:vAlign w:val="center"/>
          </w:tcPr>
          <w:p w14:paraId="63C1E9EE" w14:textId="77777777" w:rsidR="00C55629" w:rsidRPr="00C55629" w:rsidRDefault="00C55629" w:rsidP="00C55629">
            <w:pPr>
              <w:spacing w:after="0" w:line="240" w:lineRule="auto"/>
              <w:jc w:val="right"/>
              <w:rPr>
                <w:rFonts w:ascii="Times New Roman" w:eastAsia="Times New Roman" w:hAnsi="Times New Roman" w:cs="Times New Roman"/>
                <w:b/>
                <w:bCs/>
                <w:iCs/>
                <w:noProof/>
                <w:kern w:val="0"/>
                <w:sz w:val="16"/>
                <w:szCs w:val="16"/>
                <w:lang w:val="en-GB" w:eastAsia="en-GB"/>
                <w14:ligatures w14:val="none"/>
              </w:rPr>
            </w:pPr>
            <w:r w:rsidRPr="00C55629">
              <w:rPr>
                <w:rFonts w:ascii="Times New Roman" w:eastAsia="Times New Roman" w:hAnsi="Times New Roman" w:cs="Times New Roman"/>
                <w:b/>
                <w:bCs/>
                <w:iCs/>
                <w:noProof/>
                <w:kern w:val="0"/>
                <w:sz w:val="16"/>
                <w:szCs w:val="16"/>
                <w:lang w:val="en-GB" w:eastAsia="en-GB"/>
                <w14:ligatures w14:val="none"/>
              </w:rPr>
              <w:t>-15 370</w:t>
            </w:r>
          </w:p>
        </w:tc>
      </w:tr>
      <w:tr w:rsidR="00C55629" w:rsidRPr="00C55629" w14:paraId="3ABC143A" w14:textId="77777777" w:rsidTr="00C55629">
        <w:trPr>
          <w:trHeight w:val="270"/>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07216C45"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VIII - European Ombudsman</w:t>
            </w:r>
          </w:p>
        </w:tc>
        <w:tc>
          <w:tcPr>
            <w:tcW w:w="1890" w:type="dxa"/>
            <w:tcBorders>
              <w:top w:val="nil"/>
              <w:left w:val="single" w:sz="4" w:space="0" w:color="auto"/>
              <w:bottom w:val="single" w:sz="4" w:space="0" w:color="auto"/>
              <w:right w:val="single" w:sz="4" w:space="0" w:color="auto"/>
            </w:tcBorders>
            <w:shd w:val="clear" w:color="auto" w:fill="F2F2F2"/>
            <w:vAlign w:val="center"/>
          </w:tcPr>
          <w:p w14:paraId="2843590D"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2396E59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C60BA0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2 1 0 0</w:t>
            </w:r>
          </w:p>
        </w:tc>
        <w:tc>
          <w:tcPr>
            <w:tcW w:w="6460" w:type="dxa"/>
            <w:tcBorders>
              <w:top w:val="nil"/>
              <w:left w:val="nil"/>
              <w:bottom w:val="single" w:sz="4" w:space="0" w:color="auto"/>
              <w:right w:val="single" w:sz="4" w:space="0" w:color="auto"/>
            </w:tcBorders>
            <w:shd w:val="clear" w:color="auto" w:fill="auto"/>
            <w:vAlign w:val="center"/>
            <w:hideMark/>
          </w:tcPr>
          <w:p w14:paraId="05CC966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Purchase, servicing and maintenance of equipment and software, and related work</w:t>
            </w:r>
          </w:p>
        </w:tc>
        <w:tc>
          <w:tcPr>
            <w:tcW w:w="1890" w:type="dxa"/>
            <w:tcBorders>
              <w:top w:val="nil"/>
              <w:left w:val="nil"/>
              <w:bottom w:val="single" w:sz="4" w:space="0" w:color="auto"/>
              <w:right w:val="single" w:sz="4" w:space="0" w:color="auto"/>
            </w:tcBorders>
            <w:shd w:val="clear" w:color="auto" w:fill="auto"/>
            <w:vAlign w:val="center"/>
          </w:tcPr>
          <w:p w14:paraId="14B29F5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-1 764</w:t>
            </w:r>
          </w:p>
        </w:tc>
      </w:tr>
      <w:tr w:rsidR="00C55629" w:rsidRPr="00C55629" w14:paraId="60D421FB"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F241F8"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VIII</w:t>
            </w:r>
          </w:p>
        </w:tc>
        <w:tc>
          <w:tcPr>
            <w:tcW w:w="1890" w:type="dxa"/>
            <w:tcBorders>
              <w:top w:val="nil"/>
              <w:left w:val="nil"/>
              <w:bottom w:val="single" w:sz="4" w:space="0" w:color="auto"/>
              <w:right w:val="single" w:sz="4" w:space="0" w:color="auto"/>
            </w:tcBorders>
            <w:shd w:val="clear" w:color="auto" w:fill="auto"/>
            <w:vAlign w:val="center"/>
          </w:tcPr>
          <w:p w14:paraId="5ED9B3D0"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-1 764</w:t>
            </w:r>
          </w:p>
        </w:tc>
      </w:tr>
      <w:tr w:rsidR="00C55629" w:rsidRPr="00C55629" w14:paraId="26C12C03"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452877D8"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IX - European Data Protection Supervisor</w:t>
            </w:r>
          </w:p>
        </w:tc>
        <w:tc>
          <w:tcPr>
            <w:tcW w:w="1890" w:type="dxa"/>
            <w:tcBorders>
              <w:top w:val="nil"/>
              <w:left w:val="single" w:sz="4" w:space="0" w:color="auto"/>
              <w:bottom w:val="single" w:sz="4" w:space="0" w:color="auto"/>
              <w:right w:val="single" w:sz="4" w:space="0" w:color="auto"/>
            </w:tcBorders>
            <w:shd w:val="clear" w:color="auto" w:fill="F2F2F2"/>
            <w:vAlign w:val="center"/>
          </w:tcPr>
          <w:p w14:paraId="3C8A7542"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5F4B84B5"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5BC22A0F"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2 0 1 0</w:t>
            </w:r>
          </w:p>
        </w:tc>
        <w:tc>
          <w:tcPr>
            <w:tcW w:w="6460" w:type="dxa"/>
            <w:tcBorders>
              <w:top w:val="nil"/>
              <w:left w:val="nil"/>
              <w:bottom w:val="single" w:sz="4" w:space="0" w:color="auto"/>
              <w:right w:val="single" w:sz="4" w:space="0" w:color="auto"/>
            </w:tcBorders>
            <w:shd w:val="clear" w:color="auto" w:fill="auto"/>
            <w:vAlign w:val="center"/>
            <w:hideMark/>
          </w:tcPr>
          <w:p w14:paraId="42D4596A"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Information technology equipment and services</w:t>
            </w:r>
          </w:p>
        </w:tc>
        <w:tc>
          <w:tcPr>
            <w:tcW w:w="1890" w:type="dxa"/>
            <w:tcBorders>
              <w:top w:val="nil"/>
              <w:left w:val="nil"/>
              <w:bottom w:val="single" w:sz="4" w:space="0" w:color="auto"/>
              <w:right w:val="single" w:sz="4" w:space="0" w:color="auto"/>
            </w:tcBorders>
            <w:shd w:val="clear" w:color="auto" w:fill="auto"/>
          </w:tcPr>
          <w:p w14:paraId="67771AC9"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-3 024</w:t>
            </w:r>
          </w:p>
        </w:tc>
      </w:tr>
      <w:tr w:rsidR="00C55629" w:rsidRPr="00C55629" w14:paraId="734E4800"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2EFEF9"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IX</w:t>
            </w:r>
          </w:p>
        </w:tc>
        <w:tc>
          <w:tcPr>
            <w:tcW w:w="1890" w:type="dxa"/>
            <w:tcBorders>
              <w:top w:val="nil"/>
              <w:left w:val="nil"/>
              <w:bottom w:val="single" w:sz="4" w:space="0" w:color="auto"/>
              <w:right w:val="single" w:sz="4" w:space="0" w:color="auto"/>
            </w:tcBorders>
            <w:shd w:val="clear" w:color="auto" w:fill="auto"/>
            <w:vAlign w:val="center"/>
          </w:tcPr>
          <w:p w14:paraId="78F893E2"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-3 024</w:t>
            </w:r>
          </w:p>
        </w:tc>
      </w:tr>
      <w:tr w:rsidR="00C55629" w:rsidRPr="00C55629" w14:paraId="6928172F" w14:textId="77777777" w:rsidTr="00C55629">
        <w:trPr>
          <w:trHeight w:val="285"/>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1D2D0E6E"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X - European External Action Service</w:t>
            </w:r>
          </w:p>
        </w:tc>
        <w:tc>
          <w:tcPr>
            <w:tcW w:w="1890" w:type="dxa"/>
            <w:tcBorders>
              <w:top w:val="nil"/>
              <w:left w:val="single" w:sz="4" w:space="0" w:color="auto"/>
              <w:bottom w:val="single" w:sz="4" w:space="0" w:color="auto"/>
              <w:right w:val="single" w:sz="4" w:space="0" w:color="auto"/>
            </w:tcBorders>
            <w:shd w:val="clear" w:color="auto" w:fill="F2F2F2"/>
            <w:vAlign w:val="center"/>
          </w:tcPr>
          <w:p w14:paraId="648F5120"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6D6E4318"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20E48C1"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1 1 0 0</w:t>
            </w:r>
          </w:p>
        </w:tc>
        <w:tc>
          <w:tcPr>
            <w:tcW w:w="6460" w:type="dxa"/>
            <w:tcBorders>
              <w:top w:val="nil"/>
              <w:left w:val="nil"/>
              <w:bottom w:val="single" w:sz="4" w:space="0" w:color="auto"/>
              <w:right w:val="single" w:sz="4" w:space="0" w:color="auto"/>
            </w:tcBorders>
            <w:shd w:val="clear" w:color="auto" w:fill="auto"/>
            <w:vAlign w:val="center"/>
            <w:hideMark/>
          </w:tcPr>
          <w:p w14:paraId="3909F66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Basic salaries</w:t>
            </w:r>
          </w:p>
        </w:tc>
        <w:tc>
          <w:tcPr>
            <w:tcW w:w="1890" w:type="dxa"/>
            <w:tcBorders>
              <w:top w:val="nil"/>
              <w:left w:val="nil"/>
              <w:bottom w:val="single" w:sz="4" w:space="0" w:color="auto"/>
              <w:right w:val="single" w:sz="4" w:space="0" w:color="auto"/>
            </w:tcBorders>
            <w:shd w:val="clear" w:color="auto" w:fill="auto"/>
            <w:vAlign w:val="center"/>
          </w:tcPr>
          <w:p w14:paraId="4E3F4CB3"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-140 000</w:t>
            </w:r>
          </w:p>
        </w:tc>
      </w:tr>
      <w:tr w:rsidR="00C55629" w:rsidRPr="00C55629" w14:paraId="2154C06C"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A10E847"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2 1 0 0</w:t>
            </w:r>
          </w:p>
        </w:tc>
        <w:tc>
          <w:tcPr>
            <w:tcW w:w="6460" w:type="dxa"/>
            <w:tcBorders>
              <w:top w:val="nil"/>
              <w:left w:val="nil"/>
              <w:bottom w:val="single" w:sz="4" w:space="0" w:color="auto"/>
              <w:right w:val="single" w:sz="4" w:space="0" w:color="auto"/>
            </w:tcBorders>
            <w:shd w:val="clear" w:color="auto" w:fill="auto"/>
            <w:vAlign w:val="center"/>
            <w:hideMark/>
          </w:tcPr>
          <w:p w14:paraId="35ABCFA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Information and communication technology</w:t>
            </w:r>
          </w:p>
        </w:tc>
        <w:tc>
          <w:tcPr>
            <w:tcW w:w="1890" w:type="dxa"/>
            <w:tcBorders>
              <w:top w:val="nil"/>
              <w:left w:val="nil"/>
              <w:bottom w:val="single" w:sz="4" w:space="0" w:color="auto"/>
              <w:right w:val="single" w:sz="4" w:space="0" w:color="auto"/>
            </w:tcBorders>
            <w:shd w:val="clear" w:color="auto" w:fill="auto"/>
            <w:vAlign w:val="center"/>
          </w:tcPr>
          <w:p w14:paraId="1B4AD83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-110 868</w:t>
            </w:r>
          </w:p>
        </w:tc>
      </w:tr>
      <w:tr w:rsidR="00C55629" w:rsidRPr="00C55629" w14:paraId="0E27E973" w14:textId="77777777" w:rsidTr="00C55629">
        <w:trPr>
          <w:trHeight w:val="270"/>
        </w:trPr>
        <w:tc>
          <w:tcPr>
            <w:tcW w:w="80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66A2EF" w14:textId="77777777" w:rsidR="00C55629" w:rsidRPr="00C55629" w:rsidRDefault="00C55629" w:rsidP="00C55629">
            <w:pPr>
              <w:spacing w:after="0" w:line="240" w:lineRule="auto"/>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Sub-total Section X</w:t>
            </w:r>
          </w:p>
        </w:tc>
        <w:tc>
          <w:tcPr>
            <w:tcW w:w="1890" w:type="dxa"/>
            <w:tcBorders>
              <w:top w:val="nil"/>
              <w:left w:val="nil"/>
              <w:bottom w:val="single" w:sz="4" w:space="0" w:color="auto"/>
              <w:right w:val="single" w:sz="4" w:space="0" w:color="auto"/>
            </w:tcBorders>
            <w:shd w:val="clear" w:color="auto" w:fill="auto"/>
            <w:vAlign w:val="center"/>
          </w:tcPr>
          <w:p w14:paraId="3B859167"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55629">
              <w:rPr>
                <w:rFonts w:ascii="Times New Roman" w:eastAsia="Times New Roman" w:hAnsi="Times New Roman" w:cs="Times New Roman"/>
                <w:b/>
                <w:bCs/>
                <w:noProof/>
                <w:kern w:val="0"/>
                <w:sz w:val="16"/>
                <w:szCs w:val="16"/>
                <w:lang w:val="en-GB" w:eastAsia="en-GB"/>
                <w14:ligatures w14:val="none"/>
              </w:rPr>
              <w:t>-250 868</w:t>
            </w:r>
          </w:p>
        </w:tc>
      </w:tr>
      <w:tr w:rsidR="00C55629" w:rsidRPr="00C55629" w14:paraId="6ED90C7B" w14:textId="77777777" w:rsidTr="00C55629">
        <w:trPr>
          <w:trHeight w:val="255"/>
        </w:trPr>
        <w:tc>
          <w:tcPr>
            <w:tcW w:w="1600" w:type="dxa"/>
            <w:tcBorders>
              <w:top w:val="nil"/>
              <w:left w:val="single" w:sz="4" w:space="0" w:color="auto"/>
              <w:bottom w:val="single" w:sz="4" w:space="0" w:color="auto"/>
              <w:right w:val="single" w:sz="4" w:space="0" w:color="auto"/>
            </w:tcBorders>
            <w:shd w:val="clear" w:color="auto" w:fill="D9D9D9"/>
            <w:vAlign w:val="center"/>
            <w:hideMark/>
          </w:tcPr>
          <w:p w14:paraId="2C3389C4" w14:textId="77777777" w:rsidR="00C55629" w:rsidRPr="00C55629" w:rsidRDefault="00C55629" w:rsidP="00C55629">
            <w:pPr>
              <w:spacing w:after="0" w:line="240" w:lineRule="auto"/>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Total</w:t>
            </w:r>
          </w:p>
        </w:tc>
        <w:tc>
          <w:tcPr>
            <w:tcW w:w="6460" w:type="dxa"/>
            <w:tcBorders>
              <w:top w:val="nil"/>
              <w:left w:val="nil"/>
              <w:bottom w:val="single" w:sz="4" w:space="0" w:color="auto"/>
              <w:right w:val="single" w:sz="4" w:space="0" w:color="auto"/>
            </w:tcBorders>
            <w:shd w:val="clear" w:color="auto" w:fill="D9D9D9"/>
            <w:noWrap/>
            <w:vAlign w:val="bottom"/>
            <w:hideMark/>
          </w:tcPr>
          <w:p w14:paraId="5038E564"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r w:rsidRPr="00C55629">
              <w:rPr>
                <w:rFonts w:ascii="Times New Roman" w:eastAsia="Times New Roman" w:hAnsi="Times New Roman" w:cs="Times New Roman"/>
                <w:noProof/>
                <w:kern w:val="0"/>
                <w:sz w:val="20"/>
                <w:szCs w:val="20"/>
                <w:lang w:val="en-GB" w:eastAsia="en-GB"/>
                <w14:ligatures w14:val="none"/>
              </w:rPr>
              <w:t> </w:t>
            </w:r>
          </w:p>
        </w:tc>
        <w:tc>
          <w:tcPr>
            <w:tcW w:w="1890" w:type="dxa"/>
            <w:tcBorders>
              <w:top w:val="nil"/>
              <w:left w:val="nil"/>
              <w:bottom w:val="single" w:sz="4" w:space="0" w:color="auto"/>
              <w:right w:val="single" w:sz="4" w:space="0" w:color="auto"/>
            </w:tcBorders>
            <w:shd w:val="clear" w:color="auto" w:fill="D9D9D9"/>
            <w:noWrap/>
            <w:vAlign w:val="bottom"/>
          </w:tcPr>
          <w:p w14:paraId="31C50838"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0</w:t>
            </w:r>
          </w:p>
        </w:tc>
      </w:tr>
    </w:tbl>
    <w:p w14:paraId="17C0B71C" w14:textId="77777777" w:rsidR="00C55629" w:rsidRPr="00C55629" w:rsidRDefault="00C55629" w:rsidP="00C55629">
      <w:pPr>
        <w:spacing w:before="360" w:after="200" w:line="276" w:lineRule="auto"/>
        <w:rPr>
          <w:rFonts w:ascii="Times New Roman" w:eastAsia="Calibri" w:hAnsi="Times New Roman" w:cs="Times New Roman"/>
          <w:b/>
          <w:bCs/>
          <w:noProof/>
          <w:kern w:val="0"/>
          <w:sz w:val="24"/>
          <w:szCs w:val="24"/>
          <w:lang w:val="en-GB"/>
          <w14:ligatures w14:val="none"/>
        </w:rPr>
      </w:pPr>
      <w:r w:rsidRPr="00C55629">
        <w:rPr>
          <w:rFonts w:ascii="Times New Roman" w:eastAsia="Calibri" w:hAnsi="Times New Roman" w:cs="Times New Roman"/>
          <w:b/>
          <w:bCs/>
          <w:noProof/>
          <w:kern w:val="0"/>
          <w:sz w:val="24"/>
          <w:szCs w:val="24"/>
          <w:lang w:val="en-GB"/>
          <w14:ligatures w14:val="none"/>
        </w:rPr>
        <w:t>Technical correction for the European Ombudsman</w:t>
      </w:r>
    </w:p>
    <w:p w14:paraId="573D5A5A" w14:textId="77777777" w:rsidR="00C55629" w:rsidRPr="00C55629" w:rsidRDefault="00C55629" w:rsidP="00C55629">
      <w:pPr>
        <w:spacing w:after="200" w:line="276" w:lineRule="auto"/>
        <w:jc w:val="both"/>
        <w:rPr>
          <w:rFonts w:ascii="Times New Roman" w:eastAsia="Times New Roman" w:hAnsi="Times New Roman" w:cs="Times New Roman"/>
          <w:noProof/>
          <w:color w:val="000000"/>
          <w:kern w:val="0"/>
          <w:sz w:val="24"/>
          <w:szCs w:val="24"/>
          <w:shd w:val="clear" w:color="auto" w:fill="FFFFFF"/>
          <w:lang w:val="en-GB" w:eastAsia="en-GB"/>
          <w14:ligatures w14:val="none"/>
        </w:rPr>
      </w:pP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In preparing its estimates for 2025, the European Ombudsman did not take account of changes made to the entitlements of members by Council Regulation (EU) 2016/300</w:t>
      </w:r>
      <w:r w:rsidRPr="00C55629">
        <w:rPr>
          <w:rFonts w:ascii="Times New Roman" w:eastAsia="Times New Roman" w:hAnsi="Times New Roman" w:cs="Times New Roman"/>
          <w:noProof/>
          <w:color w:val="000000"/>
          <w:kern w:val="0"/>
          <w:sz w:val="24"/>
          <w:szCs w:val="24"/>
          <w:shd w:val="clear" w:color="auto" w:fill="FFFFFF"/>
          <w:vertAlign w:val="superscript"/>
          <w:lang w:val="en-GB" w:eastAsia="en-GB"/>
          <w14:ligatures w14:val="none"/>
        </w:rPr>
        <w:footnoteReference w:id="11"/>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both in terms of transitional allowances and installation and resettlement allowances, and to the reimbursement of removal costs. The estimates submitted in DB 2025 are thus erroneous in relation to two budget lines, which are both directly linked to the election of a new Ombudsman. The request for amendment seeks to correct this by returning to the general EU budget all the appropriations requested on the budget line for ‘Temporary allowances’ amounting to EUR 306 000 and requesting additional appropriations on the budget line for “Allowances and expenses on entering and leaving the service” that are needed to finance the payment of installation and resettlement allowances, and the reimbursement of travel and removal costs for the outgoing Ombudsman and the new Ombudsman for an amount of EUR 130 000.</w:t>
      </w:r>
    </w:p>
    <w:tbl>
      <w:tblPr>
        <w:tblW w:w="9960" w:type="dxa"/>
        <w:tblInd w:w="108" w:type="dxa"/>
        <w:tblLook w:val="04A0" w:firstRow="1" w:lastRow="0" w:firstColumn="1" w:lastColumn="0" w:noHBand="0" w:noVBand="1"/>
      </w:tblPr>
      <w:tblGrid>
        <w:gridCol w:w="1600"/>
        <w:gridCol w:w="6460"/>
        <w:gridCol w:w="1900"/>
      </w:tblGrid>
      <w:tr w:rsidR="00C55629" w:rsidRPr="00C55629" w14:paraId="564C5539" w14:textId="77777777" w:rsidTr="0028479A">
        <w:trPr>
          <w:trHeight w:val="255"/>
          <w:tblHeader/>
        </w:trPr>
        <w:tc>
          <w:tcPr>
            <w:tcW w:w="1600" w:type="dxa"/>
            <w:tcBorders>
              <w:top w:val="nil"/>
              <w:left w:val="nil"/>
              <w:bottom w:val="nil"/>
              <w:right w:val="nil"/>
            </w:tcBorders>
            <w:shd w:val="clear" w:color="auto" w:fill="auto"/>
            <w:noWrap/>
            <w:vAlign w:val="bottom"/>
            <w:hideMark/>
          </w:tcPr>
          <w:p w14:paraId="67C01CD6"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6460" w:type="dxa"/>
            <w:tcBorders>
              <w:top w:val="nil"/>
              <w:left w:val="nil"/>
              <w:bottom w:val="nil"/>
              <w:right w:val="nil"/>
            </w:tcBorders>
            <w:shd w:val="clear" w:color="auto" w:fill="auto"/>
            <w:noWrap/>
            <w:vAlign w:val="bottom"/>
            <w:hideMark/>
          </w:tcPr>
          <w:p w14:paraId="501F3E65"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p>
        </w:tc>
        <w:tc>
          <w:tcPr>
            <w:tcW w:w="1900" w:type="dxa"/>
            <w:tcBorders>
              <w:top w:val="nil"/>
              <w:left w:val="nil"/>
              <w:bottom w:val="nil"/>
              <w:right w:val="nil"/>
            </w:tcBorders>
            <w:shd w:val="clear" w:color="auto" w:fill="auto"/>
            <w:noWrap/>
            <w:vAlign w:val="bottom"/>
            <w:hideMark/>
          </w:tcPr>
          <w:p w14:paraId="59A97DCF" w14:textId="77777777" w:rsidR="00C55629" w:rsidRPr="00C55629" w:rsidRDefault="00C55629" w:rsidP="00C55629">
            <w:pPr>
              <w:spacing w:after="0" w:line="240" w:lineRule="auto"/>
              <w:jc w:val="right"/>
              <w:rPr>
                <w:rFonts w:ascii="Times New Roman" w:eastAsia="Times New Roman" w:hAnsi="Times New Roman" w:cs="Times New Roman"/>
                <w:i/>
                <w:iCs/>
                <w:noProof/>
                <w:kern w:val="0"/>
                <w:sz w:val="20"/>
                <w:szCs w:val="20"/>
                <w:lang w:val="en-GB" w:eastAsia="en-GB"/>
                <w14:ligatures w14:val="none"/>
              </w:rPr>
            </w:pPr>
            <w:r w:rsidRPr="00C55629">
              <w:rPr>
                <w:rFonts w:ascii="Times New Roman" w:eastAsia="Times New Roman" w:hAnsi="Times New Roman" w:cs="Times New Roman"/>
                <w:i/>
                <w:iCs/>
                <w:noProof/>
                <w:kern w:val="0"/>
                <w:sz w:val="20"/>
                <w:szCs w:val="20"/>
                <w:lang w:val="en-GB" w:eastAsia="en-GB"/>
                <w14:ligatures w14:val="none"/>
              </w:rPr>
              <w:t>Amounts in EUR</w:t>
            </w:r>
          </w:p>
        </w:tc>
      </w:tr>
      <w:tr w:rsidR="00C55629" w:rsidRPr="00C55629" w14:paraId="4A6B35CE" w14:textId="77777777" w:rsidTr="0028479A">
        <w:trPr>
          <w:trHeight w:val="255"/>
          <w:tblHeader/>
        </w:trPr>
        <w:tc>
          <w:tcPr>
            <w:tcW w:w="16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6E628B"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Budget Line</w:t>
            </w:r>
          </w:p>
        </w:tc>
        <w:tc>
          <w:tcPr>
            <w:tcW w:w="6460" w:type="dxa"/>
            <w:tcBorders>
              <w:top w:val="single" w:sz="4" w:space="0" w:color="auto"/>
              <w:left w:val="nil"/>
              <w:bottom w:val="single" w:sz="4" w:space="0" w:color="auto"/>
              <w:right w:val="single" w:sz="4" w:space="0" w:color="auto"/>
            </w:tcBorders>
            <w:shd w:val="clear" w:color="auto" w:fill="E0E0E0"/>
            <w:vAlign w:val="center"/>
            <w:hideMark/>
          </w:tcPr>
          <w:p w14:paraId="2AC74B7C"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Name</w:t>
            </w:r>
          </w:p>
        </w:tc>
        <w:tc>
          <w:tcPr>
            <w:tcW w:w="1900" w:type="dxa"/>
            <w:tcBorders>
              <w:top w:val="single" w:sz="4" w:space="0" w:color="auto"/>
              <w:left w:val="nil"/>
              <w:bottom w:val="single" w:sz="4" w:space="0" w:color="auto"/>
              <w:right w:val="single" w:sz="4" w:space="0" w:color="auto"/>
            </w:tcBorders>
            <w:shd w:val="clear" w:color="auto" w:fill="E0E0E0"/>
            <w:vAlign w:val="center"/>
            <w:hideMark/>
          </w:tcPr>
          <w:p w14:paraId="3AA7977C" w14:textId="77777777" w:rsidR="00C55629" w:rsidRPr="00C55629" w:rsidRDefault="00C55629" w:rsidP="00C55629">
            <w:pPr>
              <w:spacing w:after="0" w:line="240" w:lineRule="auto"/>
              <w:jc w:val="center"/>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Appropriations</w:t>
            </w:r>
          </w:p>
        </w:tc>
      </w:tr>
      <w:tr w:rsidR="00C55629" w:rsidRPr="00C55629" w14:paraId="32340EB2" w14:textId="77777777" w:rsidTr="00C55629">
        <w:trPr>
          <w:trHeight w:val="270"/>
        </w:trPr>
        <w:tc>
          <w:tcPr>
            <w:tcW w:w="8060" w:type="dxa"/>
            <w:gridSpan w:val="2"/>
            <w:tcBorders>
              <w:top w:val="single" w:sz="4" w:space="0" w:color="auto"/>
              <w:left w:val="single" w:sz="4" w:space="0" w:color="auto"/>
              <w:bottom w:val="single" w:sz="4" w:space="0" w:color="auto"/>
              <w:right w:val="nil"/>
            </w:tcBorders>
            <w:shd w:val="clear" w:color="auto" w:fill="F2F2F2"/>
            <w:vAlign w:val="center"/>
            <w:hideMark/>
          </w:tcPr>
          <w:p w14:paraId="0DFBFDCD"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r w:rsidRPr="00C55629">
              <w:rPr>
                <w:rFonts w:ascii="Times New Roman" w:eastAsia="Times New Roman" w:hAnsi="Times New Roman" w:cs="Times New Roman"/>
                <w:b/>
                <w:bCs/>
                <w:i/>
                <w:iCs/>
                <w:noProof/>
                <w:kern w:val="0"/>
                <w:sz w:val="20"/>
                <w:szCs w:val="20"/>
                <w:lang w:val="en-GB" w:eastAsia="en-GB"/>
                <w14:ligatures w14:val="none"/>
              </w:rPr>
              <w:t>Section VIII - European Ombudsman</w:t>
            </w:r>
          </w:p>
        </w:tc>
        <w:tc>
          <w:tcPr>
            <w:tcW w:w="1900" w:type="dxa"/>
            <w:tcBorders>
              <w:top w:val="nil"/>
              <w:left w:val="single" w:sz="4" w:space="0" w:color="auto"/>
              <w:bottom w:val="single" w:sz="4" w:space="0" w:color="auto"/>
              <w:right w:val="single" w:sz="4" w:space="0" w:color="auto"/>
            </w:tcBorders>
            <w:shd w:val="clear" w:color="auto" w:fill="F2F2F2"/>
            <w:vAlign w:val="center"/>
          </w:tcPr>
          <w:p w14:paraId="17444C69" w14:textId="77777777" w:rsidR="00C55629" w:rsidRPr="00C55629" w:rsidRDefault="00C55629" w:rsidP="00C55629">
            <w:pPr>
              <w:spacing w:after="0" w:line="240" w:lineRule="auto"/>
              <w:rPr>
                <w:rFonts w:ascii="Times New Roman" w:eastAsia="Times New Roman" w:hAnsi="Times New Roman" w:cs="Times New Roman"/>
                <w:b/>
                <w:bCs/>
                <w:i/>
                <w:iCs/>
                <w:noProof/>
                <w:kern w:val="0"/>
                <w:sz w:val="20"/>
                <w:szCs w:val="20"/>
                <w:lang w:val="en-GB" w:eastAsia="en-GB"/>
                <w14:ligatures w14:val="none"/>
              </w:rPr>
            </w:pPr>
          </w:p>
        </w:tc>
      </w:tr>
      <w:tr w:rsidR="00C55629" w:rsidRPr="00C55629" w14:paraId="48A142A3"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hideMark/>
          </w:tcPr>
          <w:p w14:paraId="12247F22"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1 0 2</w:t>
            </w:r>
          </w:p>
        </w:tc>
        <w:tc>
          <w:tcPr>
            <w:tcW w:w="6460" w:type="dxa"/>
            <w:tcBorders>
              <w:top w:val="nil"/>
              <w:left w:val="nil"/>
              <w:bottom w:val="single" w:sz="4" w:space="0" w:color="auto"/>
              <w:right w:val="single" w:sz="4" w:space="0" w:color="auto"/>
            </w:tcBorders>
            <w:shd w:val="clear" w:color="auto" w:fill="auto"/>
            <w:hideMark/>
          </w:tcPr>
          <w:p w14:paraId="1D2E053C"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Temporary allowances</w:t>
            </w:r>
          </w:p>
        </w:tc>
        <w:tc>
          <w:tcPr>
            <w:tcW w:w="1900" w:type="dxa"/>
            <w:tcBorders>
              <w:top w:val="nil"/>
              <w:left w:val="nil"/>
              <w:bottom w:val="single" w:sz="4" w:space="0" w:color="auto"/>
              <w:right w:val="single" w:sz="4" w:space="0" w:color="auto"/>
            </w:tcBorders>
            <w:shd w:val="clear" w:color="auto" w:fill="auto"/>
            <w:vAlign w:val="center"/>
          </w:tcPr>
          <w:p w14:paraId="098B8606"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-306 000</w:t>
            </w:r>
          </w:p>
        </w:tc>
      </w:tr>
      <w:tr w:rsidR="00C55629" w:rsidRPr="00C55629" w14:paraId="1CC1C8E0" w14:textId="77777777" w:rsidTr="0028479A">
        <w:trPr>
          <w:trHeight w:val="255"/>
        </w:trPr>
        <w:tc>
          <w:tcPr>
            <w:tcW w:w="1600" w:type="dxa"/>
            <w:tcBorders>
              <w:top w:val="nil"/>
              <w:left w:val="single" w:sz="4" w:space="0" w:color="auto"/>
              <w:bottom w:val="single" w:sz="4" w:space="0" w:color="auto"/>
              <w:right w:val="single" w:sz="4" w:space="0" w:color="auto"/>
            </w:tcBorders>
            <w:shd w:val="clear" w:color="auto" w:fill="auto"/>
          </w:tcPr>
          <w:p w14:paraId="6D86325E"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1 0 8</w:t>
            </w:r>
          </w:p>
        </w:tc>
        <w:tc>
          <w:tcPr>
            <w:tcW w:w="6460" w:type="dxa"/>
            <w:tcBorders>
              <w:top w:val="nil"/>
              <w:left w:val="nil"/>
              <w:bottom w:val="single" w:sz="4" w:space="0" w:color="auto"/>
              <w:right w:val="single" w:sz="4" w:space="0" w:color="auto"/>
            </w:tcBorders>
            <w:shd w:val="clear" w:color="auto" w:fill="auto"/>
          </w:tcPr>
          <w:p w14:paraId="5047211B" w14:textId="77777777" w:rsidR="00C55629" w:rsidRPr="00C55629" w:rsidRDefault="00C55629" w:rsidP="00C55629">
            <w:pPr>
              <w:spacing w:after="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Allowances and expenses on entering and leaving the service</w:t>
            </w:r>
          </w:p>
        </w:tc>
        <w:tc>
          <w:tcPr>
            <w:tcW w:w="1900" w:type="dxa"/>
            <w:tcBorders>
              <w:top w:val="nil"/>
              <w:left w:val="nil"/>
              <w:bottom w:val="single" w:sz="4" w:space="0" w:color="auto"/>
              <w:right w:val="single" w:sz="4" w:space="0" w:color="auto"/>
            </w:tcBorders>
            <w:shd w:val="clear" w:color="auto" w:fill="auto"/>
            <w:vAlign w:val="center"/>
          </w:tcPr>
          <w:p w14:paraId="53CDE472"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130 000</w:t>
            </w:r>
          </w:p>
        </w:tc>
      </w:tr>
      <w:tr w:rsidR="00C55629" w:rsidRPr="00C55629" w14:paraId="21D2F671" w14:textId="77777777" w:rsidTr="00C55629">
        <w:trPr>
          <w:trHeight w:val="255"/>
        </w:trPr>
        <w:tc>
          <w:tcPr>
            <w:tcW w:w="1600" w:type="dxa"/>
            <w:tcBorders>
              <w:top w:val="nil"/>
              <w:left w:val="single" w:sz="4" w:space="0" w:color="auto"/>
              <w:bottom w:val="single" w:sz="4" w:space="0" w:color="auto"/>
              <w:right w:val="single" w:sz="4" w:space="0" w:color="auto"/>
            </w:tcBorders>
            <w:shd w:val="clear" w:color="auto" w:fill="D9D9D9"/>
            <w:vAlign w:val="center"/>
            <w:hideMark/>
          </w:tcPr>
          <w:p w14:paraId="5143FC96" w14:textId="77777777" w:rsidR="00C55629" w:rsidRPr="00C55629" w:rsidRDefault="00C55629" w:rsidP="00C55629">
            <w:pPr>
              <w:spacing w:after="0" w:line="240" w:lineRule="auto"/>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Total</w:t>
            </w:r>
          </w:p>
        </w:tc>
        <w:tc>
          <w:tcPr>
            <w:tcW w:w="6460" w:type="dxa"/>
            <w:tcBorders>
              <w:top w:val="nil"/>
              <w:left w:val="nil"/>
              <w:bottom w:val="single" w:sz="4" w:space="0" w:color="auto"/>
              <w:right w:val="single" w:sz="4" w:space="0" w:color="auto"/>
            </w:tcBorders>
            <w:shd w:val="clear" w:color="auto" w:fill="D9D9D9"/>
            <w:noWrap/>
            <w:vAlign w:val="bottom"/>
            <w:hideMark/>
          </w:tcPr>
          <w:p w14:paraId="383DDDB6" w14:textId="77777777" w:rsidR="00C55629" w:rsidRPr="00C55629" w:rsidRDefault="00C55629" w:rsidP="00C55629">
            <w:pPr>
              <w:spacing w:after="0" w:line="240" w:lineRule="auto"/>
              <w:rPr>
                <w:rFonts w:ascii="Times New Roman" w:eastAsia="Times New Roman" w:hAnsi="Times New Roman" w:cs="Times New Roman"/>
                <w:noProof/>
                <w:kern w:val="0"/>
                <w:sz w:val="20"/>
                <w:szCs w:val="20"/>
                <w:lang w:val="en-GB" w:eastAsia="en-GB"/>
                <w14:ligatures w14:val="none"/>
              </w:rPr>
            </w:pPr>
            <w:r w:rsidRPr="00C55629">
              <w:rPr>
                <w:rFonts w:ascii="Times New Roman" w:eastAsia="Times New Roman" w:hAnsi="Times New Roman" w:cs="Times New Roman"/>
                <w:noProof/>
                <w:kern w:val="0"/>
                <w:sz w:val="20"/>
                <w:szCs w:val="20"/>
                <w:lang w:val="en-GB" w:eastAsia="en-GB"/>
                <w14:ligatures w14:val="none"/>
              </w:rPr>
              <w:t> </w:t>
            </w:r>
          </w:p>
        </w:tc>
        <w:tc>
          <w:tcPr>
            <w:tcW w:w="1900" w:type="dxa"/>
            <w:tcBorders>
              <w:top w:val="nil"/>
              <w:left w:val="nil"/>
              <w:bottom w:val="single" w:sz="4" w:space="0" w:color="auto"/>
              <w:right w:val="single" w:sz="4" w:space="0" w:color="auto"/>
            </w:tcBorders>
            <w:shd w:val="clear" w:color="auto" w:fill="D9D9D9"/>
            <w:noWrap/>
            <w:vAlign w:val="bottom"/>
          </w:tcPr>
          <w:p w14:paraId="386F5314" w14:textId="77777777" w:rsidR="00C55629" w:rsidRPr="00C55629" w:rsidRDefault="00C55629" w:rsidP="00C55629">
            <w:pPr>
              <w:spacing w:after="0" w:line="240" w:lineRule="auto"/>
              <w:jc w:val="right"/>
              <w:rPr>
                <w:rFonts w:ascii="Times New Roman" w:eastAsia="Times New Roman" w:hAnsi="Times New Roman" w:cs="Times New Roman"/>
                <w:b/>
                <w:bCs/>
                <w:noProof/>
                <w:kern w:val="0"/>
                <w:sz w:val="20"/>
                <w:szCs w:val="20"/>
                <w:lang w:val="en-GB" w:eastAsia="en-GB"/>
                <w14:ligatures w14:val="none"/>
              </w:rPr>
            </w:pPr>
            <w:r w:rsidRPr="00C55629">
              <w:rPr>
                <w:rFonts w:ascii="Times New Roman" w:eastAsia="Times New Roman" w:hAnsi="Times New Roman" w:cs="Times New Roman"/>
                <w:b/>
                <w:bCs/>
                <w:noProof/>
                <w:kern w:val="0"/>
                <w:sz w:val="20"/>
                <w:szCs w:val="20"/>
                <w:lang w:val="en-GB" w:eastAsia="en-GB"/>
                <w14:ligatures w14:val="none"/>
              </w:rPr>
              <w:t>- 176 000</w:t>
            </w:r>
          </w:p>
        </w:tc>
      </w:tr>
    </w:tbl>
    <w:p w14:paraId="35450E2A" w14:textId="77777777" w:rsidR="00C55629" w:rsidRPr="00C55629" w:rsidRDefault="00C55629" w:rsidP="00C25694">
      <w:pPr>
        <w:pStyle w:val="ManualHeading1"/>
        <w:spacing w:before="240"/>
        <w:ind w:left="851" w:hanging="851"/>
        <w:rPr>
          <w:noProof/>
        </w:rPr>
      </w:pPr>
      <w:r w:rsidRPr="00C55629">
        <w:rPr>
          <w:noProof/>
        </w:rPr>
        <w:t>7.</w:t>
      </w:r>
      <w:r w:rsidRPr="00C55629">
        <w:rPr>
          <w:noProof/>
        </w:rPr>
        <w:tab/>
        <w:t>Administrative expenditure outside Heading 7</w:t>
      </w:r>
    </w:p>
    <w:p w14:paraId="353D352E"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To cover the additional needs for salary expenditure in 2025, in relation to the increased salary adjustment for 2024 presented above, on the administrative expenditure under Headings 1 to 6, the Commission has made every effort to cover the additional needs by mobilising remaining appropriations and in-build flexibilities. However, for several programmes as well as executive agencies, it is proposed to increase the level of appropriations by 2,3% to reflect the unexpected  adjustment of the salary related expenditure. This 2,3% increase is the direct consequence of a higher than expected salary update in 2024 (+7,2%, applied in 2024 and +1,2% in April 2025, whereas the DB 2025 was built with +5,3% in 2024 and +0,6% in April 2025). In such cases, it is proposed that a corresponding proportional reduction is applied to the budget line(s) for corresponding relevant operational programmes. The proposed – budgetary neutral – adjustments are as follows: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6475BB23" w14:textId="77777777" w:rsidTr="00C55629">
        <w:trPr>
          <w:trHeight w:val="300"/>
          <w:jc w:val="center"/>
        </w:trPr>
        <w:tc>
          <w:tcPr>
            <w:tcW w:w="9781" w:type="dxa"/>
            <w:gridSpan w:val="4"/>
            <w:tcBorders>
              <w:top w:val="nil"/>
              <w:left w:val="nil"/>
              <w:bottom w:val="single" w:sz="4" w:space="0" w:color="auto"/>
              <w:right w:val="nil"/>
            </w:tcBorders>
            <w:shd w:val="clear" w:color="auto" w:fill="FFFFFF"/>
            <w:vAlign w:val="center"/>
          </w:tcPr>
          <w:p w14:paraId="082DE9F9" w14:textId="77777777" w:rsidR="00C55629" w:rsidRPr="00C55629" w:rsidRDefault="00C55629" w:rsidP="00C55629">
            <w:pPr>
              <w:widowControl w:val="0"/>
              <w:spacing w:before="15" w:after="15"/>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i/>
                <w:iCs/>
                <w:noProof/>
                <w:kern w:val="0"/>
                <w:sz w:val="20"/>
                <w:szCs w:val="20"/>
                <w:shd w:val="clear" w:color="auto" w:fill="FFFFFF"/>
                <w:lang w:val="en-GB"/>
                <w14:ligatures w14:val="none"/>
              </w:rPr>
              <w:t>Amounts in</w:t>
            </w:r>
            <w:r w:rsidRPr="00C55629">
              <w:rPr>
                <w:rFonts w:ascii="Times New Roman" w:eastAsia="Calibri" w:hAnsi="Times New Roman" w:cs="Times New Roman"/>
                <w:i/>
                <w:iCs/>
                <w:noProof/>
                <w:kern w:val="0"/>
                <w:sz w:val="20"/>
                <w:szCs w:val="20"/>
                <w:lang w:val="en-GB"/>
                <w14:ligatures w14:val="none"/>
              </w:rPr>
              <w:t xml:space="preserve"> EUR</w:t>
            </w:r>
          </w:p>
        </w:tc>
      </w:tr>
      <w:tr w:rsidR="00C55629" w:rsidRPr="00C55629" w14:paraId="00DF4068" w14:textId="77777777" w:rsidTr="00C55629">
        <w:trPr>
          <w:trHeight w:val="300"/>
          <w:jc w:val="center"/>
        </w:trPr>
        <w:tc>
          <w:tcPr>
            <w:tcW w:w="1276" w:type="dxa"/>
            <w:tcBorders>
              <w:top w:val="single" w:sz="4" w:space="0" w:color="auto"/>
            </w:tcBorders>
            <w:shd w:val="clear" w:color="auto" w:fill="D9D9D9"/>
            <w:vAlign w:val="center"/>
          </w:tcPr>
          <w:p w14:paraId="13992B13"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761626F4"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4AE1618A"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367D18F"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37349CAA"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FB68703"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01 01 01 01</w:t>
            </w:r>
          </w:p>
        </w:tc>
        <w:tc>
          <w:tcPr>
            <w:tcW w:w="5103" w:type="dxa"/>
            <w:tcBorders>
              <w:top w:val="single" w:sz="4" w:space="0" w:color="auto"/>
              <w:left w:val="single" w:sz="4" w:space="0" w:color="auto"/>
              <w:bottom w:val="single" w:sz="4" w:space="0" w:color="auto"/>
              <w:right w:val="single" w:sz="4" w:space="0" w:color="auto"/>
            </w:tcBorders>
          </w:tcPr>
          <w:p w14:paraId="68663E87"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Expenditure related to officials and temporary staff implementing Horizon Europe — Indirect research</w:t>
            </w:r>
          </w:p>
        </w:tc>
        <w:tc>
          <w:tcPr>
            <w:tcW w:w="1701" w:type="dxa"/>
            <w:tcBorders>
              <w:top w:val="single" w:sz="4" w:space="0" w:color="auto"/>
              <w:left w:val="single" w:sz="4" w:space="0" w:color="auto"/>
              <w:bottom w:val="single" w:sz="4" w:space="0" w:color="auto"/>
              <w:right w:val="single" w:sz="4" w:space="0" w:color="auto"/>
            </w:tcBorders>
            <w:vAlign w:val="center"/>
          </w:tcPr>
          <w:p w14:paraId="3579AE7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4 121 490</w:t>
            </w:r>
          </w:p>
        </w:tc>
        <w:tc>
          <w:tcPr>
            <w:tcW w:w="1701" w:type="dxa"/>
            <w:tcBorders>
              <w:top w:val="single" w:sz="4" w:space="0" w:color="auto"/>
              <w:left w:val="single" w:sz="4" w:space="0" w:color="auto"/>
              <w:bottom w:val="single" w:sz="4" w:space="0" w:color="auto"/>
              <w:right w:val="single" w:sz="4" w:space="0" w:color="auto"/>
            </w:tcBorders>
            <w:vAlign w:val="center"/>
          </w:tcPr>
          <w:p w14:paraId="18274FFF"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4 121 490</w:t>
            </w:r>
          </w:p>
        </w:tc>
      </w:tr>
      <w:tr w:rsidR="00C55629" w:rsidRPr="00C55629" w14:paraId="7F098D4D"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86AF3F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01 01 01 02</w:t>
            </w:r>
          </w:p>
        </w:tc>
        <w:tc>
          <w:tcPr>
            <w:tcW w:w="5103" w:type="dxa"/>
            <w:tcBorders>
              <w:top w:val="single" w:sz="4" w:space="0" w:color="auto"/>
              <w:left w:val="single" w:sz="4" w:space="0" w:color="auto"/>
              <w:bottom w:val="single" w:sz="4" w:space="0" w:color="auto"/>
              <w:right w:val="single" w:sz="4" w:space="0" w:color="auto"/>
            </w:tcBorders>
          </w:tcPr>
          <w:p w14:paraId="3A1ED64D"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External personnel implementing Horizon Europe - Indirect research</w:t>
            </w:r>
          </w:p>
        </w:tc>
        <w:tc>
          <w:tcPr>
            <w:tcW w:w="1701" w:type="dxa"/>
            <w:tcBorders>
              <w:top w:val="single" w:sz="4" w:space="0" w:color="auto"/>
              <w:left w:val="single" w:sz="4" w:space="0" w:color="auto"/>
              <w:bottom w:val="single" w:sz="4" w:space="0" w:color="auto"/>
              <w:right w:val="single" w:sz="4" w:space="0" w:color="auto"/>
            </w:tcBorders>
            <w:vAlign w:val="center"/>
          </w:tcPr>
          <w:p w14:paraId="4C101406"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1 159 599</w:t>
            </w:r>
          </w:p>
        </w:tc>
        <w:tc>
          <w:tcPr>
            <w:tcW w:w="1701" w:type="dxa"/>
            <w:tcBorders>
              <w:top w:val="single" w:sz="4" w:space="0" w:color="auto"/>
              <w:left w:val="single" w:sz="4" w:space="0" w:color="auto"/>
              <w:bottom w:val="single" w:sz="4" w:space="0" w:color="auto"/>
              <w:right w:val="single" w:sz="4" w:space="0" w:color="auto"/>
            </w:tcBorders>
            <w:vAlign w:val="center"/>
          </w:tcPr>
          <w:p w14:paraId="1FDD120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1 159 599</w:t>
            </w:r>
          </w:p>
        </w:tc>
      </w:tr>
      <w:tr w:rsidR="00C55629" w:rsidRPr="00C55629" w14:paraId="566DD99E"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C7EBF5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01 01 01 71</w:t>
            </w:r>
          </w:p>
        </w:tc>
        <w:tc>
          <w:tcPr>
            <w:tcW w:w="5103" w:type="dxa"/>
            <w:tcBorders>
              <w:top w:val="single" w:sz="4" w:space="0" w:color="auto"/>
              <w:left w:val="single" w:sz="4" w:space="0" w:color="auto"/>
              <w:bottom w:val="single" w:sz="4" w:space="0" w:color="auto"/>
              <w:right w:val="single" w:sz="4" w:space="0" w:color="auto"/>
            </w:tcBorders>
          </w:tcPr>
          <w:p w14:paraId="157FCD9E"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Research Council Executive Agency — Contribution from Horizon Europe</w:t>
            </w:r>
          </w:p>
        </w:tc>
        <w:tc>
          <w:tcPr>
            <w:tcW w:w="1701" w:type="dxa"/>
            <w:tcBorders>
              <w:top w:val="single" w:sz="4" w:space="0" w:color="auto"/>
              <w:left w:val="single" w:sz="4" w:space="0" w:color="auto"/>
              <w:bottom w:val="single" w:sz="4" w:space="0" w:color="auto"/>
              <w:right w:val="single" w:sz="4" w:space="0" w:color="auto"/>
            </w:tcBorders>
            <w:vAlign w:val="center"/>
          </w:tcPr>
          <w:p w14:paraId="62FFEBC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1 249 108</w:t>
            </w:r>
          </w:p>
        </w:tc>
        <w:tc>
          <w:tcPr>
            <w:tcW w:w="1701" w:type="dxa"/>
            <w:tcBorders>
              <w:top w:val="single" w:sz="4" w:space="0" w:color="auto"/>
              <w:left w:val="single" w:sz="4" w:space="0" w:color="auto"/>
              <w:bottom w:val="single" w:sz="4" w:space="0" w:color="auto"/>
              <w:right w:val="single" w:sz="4" w:space="0" w:color="auto"/>
            </w:tcBorders>
            <w:vAlign w:val="center"/>
          </w:tcPr>
          <w:p w14:paraId="0F053924"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1 249 108</w:t>
            </w:r>
          </w:p>
        </w:tc>
      </w:tr>
      <w:tr w:rsidR="00C55629" w:rsidRPr="00C55629" w14:paraId="50CB9D6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F425D70"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01 01 01 72</w:t>
            </w:r>
          </w:p>
        </w:tc>
        <w:tc>
          <w:tcPr>
            <w:tcW w:w="5103" w:type="dxa"/>
            <w:tcBorders>
              <w:top w:val="single" w:sz="4" w:space="0" w:color="auto"/>
              <w:left w:val="single" w:sz="4" w:space="0" w:color="auto"/>
              <w:bottom w:val="single" w:sz="4" w:space="0" w:color="auto"/>
              <w:right w:val="single" w:sz="4" w:space="0" w:color="auto"/>
            </w:tcBorders>
          </w:tcPr>
          <w:p w14:paraId="40075FC3"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Research Executive Agency — Contribution from Horizon Europe</w:t>
            </w:r>
          </w:p>
        </w:tc>
        <w:tc>
          <w:tcPr>
            <w:tcW w:w="1701" w:type="dxa"/>
            <w:tcBorders>
              <w:top w:val="single" w:sz="4" w:space="0" w:color="auto"/>
              <w:left w:val="single" w:sz="4" w:space="0" w:color="auto"/>
              <w:bottom w:val="single" w:sz="4" w:space="0" w:color="auto"/>
              <w:right w:val="single" w:sz="4" w:space="0" w:color="auto"/>
            </w:tcBorders>
            <w:vAlign w:val="center"/>
          </w:tcPr>
          <w:p w14:paraId="75F1A004"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1 898 668</w:t>
            </w:r>
          </w:p>
        </w:tc>
        <w:tc>
          <w:tcPr>
            <w:tcW w:w="1701" w:type="dxa"/>
            <w:tcBorders>
              <w:top w:val="single" w:sz="4" w:space="0" w:color="auto"/>
              <w:left w:val="single" w:sz="4" w:space="0" w:color="auto"/>
              <w:bottom w:val="single" w:sz="4" w:space="0" w:color="auto"/>
              <w:right w:val="single" w:sz="4" w:space="0" w:color="auto"/>
            </w:tcBorders>
            <w:vAlign w:val="center"/>
          </w:tcPr>
          <w:p w14:paraId="5194B409"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1 898 668</w:t>
            </w:r>
          </w:p>
        </w:tc>
      </w:tr>
      <w:tr w:rsidR="00C55629" w:rsidRPr="00C55629" w14:paraId="3F655E11"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E6253F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01 01 01 74</w:t>
            </w:r>
          </w:p>
        </w:tc>
        <w:tc>
          <w:tcPr>
            <w:tcW w:w="5103" w:type="dxa"/>
            <w:tcBorders>
              <w:top w:val="single" w:sz="4" w:space="0" w:color="auto"/>
              <w:left w:val="single" w:sz="4" w:space="0" w:color="auto"/>
              <w:bottom w:val="single" w:sz="4" w:space="0" w:color="auto"/>
              <w:right w:val="single" w:sz="4" w:space="0" w:color="auto"/>
            </w:tcBorders>
          </w:tcPr>
          <w:p w14:paraId="0D3C9CAD"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Horizon Europe</w:t>
            </w:r>
          </w:p>
        </w:tc>
        <w:tc>
          <w:tcPr>
            <w:tcW w:w="1701" w:type="dxa"/>
            <w:tcBorders>
              <w:top w:val="single" w:sz="4" w:space="0" w:color="auto"/>
              <w:left w:val="single" w:sz="4" w:space="0" w:color="auto"/>
              <w:bottom w:val="single" w:sz="4" w:space="0" w:color="auto"/>
              <w:right w:val="single" w:sz="4" w:space="0" w:color="auto"/>
            </w:tcBorders>
            <w:vAlign w:val="center"/>
          </w:tcPr>
          <w:p w14:paraId="6953602D"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295 368</w:t>
            </w:r>
          </w:p>
        </w:tc>
        <w:tc>
          <w:tcPr>
            <w:tcW w:w="1701" w:type="dxa"/>
            <w:tcBorders>
              <w:top w:val="single" w:sz="4" w:space="0" w:color="auto"/>
              <w:left w:val="single" w:sz="4" w:space="0" w:color="auto"/>
              <w:bottom w:val="single" w:sz="4" w:space="0" w:color="auto"/>
              <w:right w:val="single" w:sz="4" w:space="0" w:color="auto"/>
            </w:tcBorders>
            <w:vAlign w:val="center"/>
          </w:tcPr>
          <w:p w14:paraId="3E9D9B8E"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295 368</w:t>
            </w:r>
          </w:p>
        </w:tc>
      </w:tr>
      <w:tr w:rsidR="00C55629" w:rsidRPr="00C55629" w14:paraId="5A0FEDC8"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ED696F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01 01 01 76</w:t>
            </w:r>
          </w:p>
        </w:tc>
        <w:tc>
          <w:tcPr>
            <w:tcW w:w="5103" w:type="dxa"/>
            <w:tcBorders>
              <w:top w:val="single" w:sz="4" w:space="0" w:color="auto"/>
              <w:left w:val="single" w:sz="4" w:space="0" w:color="auto"/>
              <w:bottom w:val="single" w:sz="4" w:space="0" w:color="auto"/>
              <w:right w:val="single" w:sz="4" w:space="0" w:color="auto"/>
            </w:tcBorders>
          </w:tcPr>
          <w:p w14:paraId="7969F43D"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Innovation Council and SMEs Executive Agency — Contribution from Horizon Europe</w:t>
            </w:r>
          </w:p>
        </w:tc>
        <w:tc>
          <w:tcPr>
            <w:tcW w:w="1701" w:type="dxa"/>
            <w:tcBorders>
              <w:top w:val="single" w:sz="4" w:space="0" w:color="auto"/>
              <w:left w:val="single" w:sz="4" w:space="0" w:color="auto"/>
              <w:bottom w:val="single" w:sz="4" w:space="0" w:color="auto"/>
              <w:right w:val="single" w:sz="4" w:space="0" w:color="auto"/>
            </w:tcBorders>
            <w:vAlign w:val="center"/>
          </w:tcPr>
          <w:p w14:paraId="70CBD40C"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588 870</w:t>
            </w:r>
          </w:p>
        </w:tc>
        <w:tc>
          <w:tcPr>
            <w:tcW w:w="1701" w:type="dxa"/>
            <w:tcBorders>
              <w:top w:val="single" w:sz="4" w:space="0" w:color="auto"/>
              <w:left w:val="single" w:sz="4" w:space="0" w:color="auto"/>
              <w:bottom w:val="single" w:sz="4" w:space="0" w:color="auto"/>
              <w:right w:val="single" w:sz="4" w:space="0" w:color="auto"/>
            </w:tcBorders>
            <w:vAlign w:val="center"/>
          </w:tcPr>
          <w:p w14:paraId="5692D55B"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588 870</w:t>
            </w:r>
          </w:p>
        </w:tc>
      </w:tr>
      <w:tr w:rsidR="00C55629" w:rsidRPr="00C55629" w14:paraId="1204B31A"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021F6D0"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01 02 05</w:t>
            </w:r>
          </w:p>
        </w:tc>
        <w:tc>
          <w:tcPr>
            <w:tcW w:w="5103" w:type="dxa"/>
            <w:tcBorders>
              <w:top w:val="single" w:sz="4" w:space="0" w:color="auto"/>
              <w:left w:val="single" w:sz="4" w:space="0" w:color="auto"/>
              <w:bottom w:val="single" w:sz="4" w:space="0" w:color="auto"/>
              <w:right w:val="single" w:sz="4" w:space="0" w:color="auto"/>
            </w:tcBorders>
          </w:tcPr>
          <w:p w14:paraId="22064548"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Horizontal operational activities</w:t>
            </w:r>
          </w:p>
        </w:tc>
        <w:tc>
          <w:tcPr>
            <w:tcW w:w="1701" w:type="dxa"/>
            <w:tcBorders>
              <w:top w:val="single" w:sz="4" w:space="0" w:color="auto"/>
              <w:left w:val="single" w:sz="4" w:space="0" w:color="auto"/>
              <w:bottom w:val="single" w:sz="4" w:space="0" w:color="auto"/>
              <w:right w:val="single" w:sz="4" w:space="0" w:color="auto"/>
            </w:tcBorders>
          </w:tcPr>
          <w:p w14:paraId="659CAC14"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-9 313 102</w:t>
            </w:r>
          </w:p>
        </w:tc>
        <w:tc>
          <w:tcPr>
            <w:tcW w:w="1701" w:type="dxa"/>
            <w:tcBorders>
              <w:top w:val="single" w:sz="4" w:space="0" w:color="auto"/>
              <w:left w:val="single" w:sz="4" w:space="0" w:color="auto"/>
              <w:bottom w:val="single" w:sz="4" w:space="0" w:color="auto"/>
              <w:right w:val="single" w:sz="4" w:space="0" w:color="auto"/>
            </w:tcBorders>
          </w:tcPr>
          <w:p w14:paraId="46825BB3"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-9 313 102</w:t>
            </w:r>
          </w:p>
        </w:tc>
      </w:tr>
      <w:tr w:rsidR="00C55629" w:rsidRPr="00C55629" w14:paraId="7DDC5579"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5957B47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01 01 02 01</w:t>
            </w:r>
          </w:p>
        </w:tc>
        <w:tc>
          <w:tcPr>
            <w:tcW w:w="5103" w:type="dxa"/>
            <w:tcBorders>
              <w:top w:val="single" w:sz="4" w:space="0" w:color="auto"/>
              <w:left w:val="single" w:sz="4" w:space="0" w:color="auto"/>
              <w:bottom w:val="single" w:sz="4" w:space="0" w:color="auto"/>
              <w:right w:val="single" w:sz="4" w:space="0" w:color="auto"/>
            </w:tcBorders>
          </w:tcPr>
          <w:p w14:paraId="14B28EF9"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Expenditure related to officials and temporary staff implementing the Euratom Research and Training Programme — Indirect research</w:t>
            </w:r>
          </w:p>
        </w:tc>
        <w:tc>
          <w:tcPr>
            <w:tcW w:w="1701" w:type="dxa"/>
            <w:tcBorders>
              <w:top w:val="single" w:sz="4" w:space="0" w:color="auto"/>
              <w:left w:val="single" w:sz="4" w:space="0" w:color="auto"/>
              <w:bottom w:val="single" w:sz="4" w:space="0" w:color="auto"/>
              <w:right w:val="single" w:sz="4" w:space="0" w:color="auto"/>
            </w:tcBorders>
            <w:vAlign w:val="center"/>
          </w:tcPr>
          <w:p w14:paraId="2123AF37"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181 641</w:t>
            </w:r>
          </w:p>
        </w:tc>
        <w:tc>
          <w:tcPr>
            <w:tcW w:w="1701" w:type="dxa"/>
            <w:tcBorders>
              <w:top w:val="single" w:sz="4" w:space="0" w:color="auto"/>
              <w:left w:val="single" w:sz="4" w:space="0" w:color="auto"/>
              <w:bottom w:val="single" w:sz="4" w:space="0" w:color="auto"/>
              <w:right w:val="single" w:sz="4" w:space="0" w:color="auto"/>
            </w:tcBorders>
            <w:vAlign w:val="center"/>
          </w:tcPr>
          <w:p w14:paraId="710592C4"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181 641</w:t>
            </w:r>
          </w:p>
        </w:tc>
      </w:tr>
      <w:tr w:rsidR="00C55629" w:rsidRPr="00C55629" w14:paraId="1C2D8CBF"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8C7EEE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01 01 02 02</w:t>
            </w:r>
          </w:p>
        </w:tc>
        <w:tc>
          <w:tcPr>
            <w:tcW w:w="5103" w:type="dxa"/>
            <w:tcBorders>
              <w:top w:val="single" w:sz="4" w:space="0" w:color="auto"/>
              <w:left w:val="single" w:sz="4" w:space="0" w:color="auto"/>
              <w:bottom w:val="single" w:sz="4" w:space="0" w:color="auto"/>
              <w:right w:val="single" w:sz="4" w:space="0" w:color="auto"/>
            </w:tcBorders>
          </w:tcPr>
          <w:p w14:paraId="7925F08E"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implementing the Euratom Research and Training Programme — Indirect research</w:t>
            </w:r>
          </w:p>
        </w:tc>
        <w:tc>
          <w:tcPr>
            <w:tcW w:w="1701" w:type="dxa"/>
            <w:tcBorders>
              <w:top w:val="single" w:sz="4" w:space="0" w:color="auto"/>
              <w:left w:val="single" w:sz="4" w:space="0" w:color="auto"/>
              <w:bottom w:val="single" w:sz="4" w:space="0" w:color="auto"/>
              <w:right w:val="single" w:sz="4" w:space="0" w:color="auto"/>
            </w:tcBorders>
            <w:vAlign w:val="center"/>
          </w:tcPr>
          <w:p w14:paraId="3F8A7E75"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7 851</w:t>
            </w:r>
          </w:p>
        </w:tc>
        <w:tc>
          <w:tcPr>
            <w:tcW w:w="1701" w:type="dxa"/>
            <w:tcBorders>
              <w:top w:val="single" w:sz="4" w:space="0" w:color="auto"/>
              <w:left w:val="single" w:sz="4" w:space="0" w:color="auto"/>
              <w:bottom w:val="single" w:sz="4" w:space="0" w:color="auto"/>
              <w:right w:val="single" w:sz="4" w:space="0" w:color="auto"/>
            </w:tcBorders>
            <w:vAlign w:val="center"/>
          </w:tcPr>
          <w:p w14:paraId="3F22268C"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7 851</w:t>
            </w:r>
          </w:p>
        </w:tc>
      </w:tr>
      <w:tr w:rsidR="00C55629" w:rsidRPr="00C55629" w14:paraId="22B67522"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1A7D449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01 03 01</w:t>
            </w:r>
          </w:p>
        </w:tc>
        <w:tc>
          <w:tcPr>
            <w:tcW w:w="5103" w:type="dxa"/>
            <w:tcBorders>
              <w:top w:val="single" w:sz="4" w:space="0" w:color="auto"/>
              <w:left w:val="single" w:sz="4" w:space="0" w:color="auto"/>
              <w:bottom w:val="single" w:sz="4" w:space="0" w:color="auto"/>
              <w:right w:val="single" w:sz="4" w:space="0" w:color="auto"/>
            </w:tcBorders>
          </w:tcPr>
          <w:p w14:paraId="52BD4074"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Fusion Research and development</w:t>
            </w:r>
          </w:p>
        </w:tc>
        <w:tc>
          <w:tcPr>
            <w:tcW w:w="1701" w:type="dxa"/>
            <w:tcBorders>
              <w:top w:val="single" w:sz="4" w:space="0" w:color="auto"/>
              <w:left w:val="single" w:sz="4" w:space="0" w:color="auto"/>
              <w:bottom w:val="single" w:sz="4" w:space="0" w:color="auto"/>
              <w:right w:val="single" w:sz="4" w:space="0" w:color="auto"/>
            </w:tcBorders>
            <w:vAlign w:val="center"/>
          </w:tcPr>
          <w:p w14:paraId="415E75B0"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-130 081</w:t>
            </w:r>
          </w:p>
        </w:tc>
        <w:tc>
          <w:tcPr>
            <w:tcW w:w="1701" w:type="dxa"/>
            <w:tcBorders>
              <w:top w:val="single" w:sz="4" w:space="0" w:color="auto"/>
              <w:left w:val="single" w:sz="4" w:space="0" w:color="auto"/>
              <w:bottom w:val="single" w:sz="4" w:space="0" w:color="auto"/>
              <w:right w:val="single" w:sz="4" w:space="0" w:color="auto"/>
            </w:tcBorders>
            <w:vAlign w:val="center"/>
          </w:tcPr>
          <w:p w14:paraId="5FD5A8B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-130 081</w:t>
            </w:r>
          </w:p>
        </w:tc>
      </w:tr>
      <w:tr w:rsidR="00C55629" w:rsidRPr="00C55629" w14:paraId="6E4E1074"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CB86E7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01 03 02</w:t>
            </w:r>
          </w:p>
        </w:tc>
        <w:tc>
          <w:tcPr>
            <w:tcW w:w="5103" w:type="dxa"/>
            <w:tcBorders>
              <w:top w:val="single" w:sz="4" w:space="0" w:color="auto"/>
              <w:left w:val="single" w:sz="4" w:space="0" w:color="auto"/>
              <w:bottom w:val="single" w:sz="4" w:space="0" w:color="auto"/>
              <w:right w:val="single" w:sz="4" w:space="0" w:color="auto"/>
            </w:tcBorders>
          </w:tcPr>
          <w:p w14:paraId="5A72D89E"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Nuclear Fission, safety and radiation protection (indirect actions)</w:t>
            </w:r>
          </w:p>
        </w:tc>
        <w:tc>
          <w:tcPr>
            <w:tcW w:w="1701" w:type="dxa"/>
            <w:tcBorders>
              <w:top w:val="single" w:sz="4" w:space="0" w:color="auto"/>
              <w:left w:val="single" w:sz="4" w:space="0" w:color="auto"/>
              <w:bottom w:val="single" w:sz="4" w:space="0" w:color="auto"/>
              <w:right w:val="single" w:sz="4" w:space="0" w:color="auto"/>
            </w:tcBorders>
            <w:vAlign w:val="center"/>
          </w:tcPr>
          <w:p w14:paraId="02ED1C3D"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-59 412</w:t>
            </w:r>
          </w:p>
        </w:tc>
        <w:tc>
          <w:tcPr>
            <w:tcW w:w="1701" w:type="dxa"/>
            <w:tcBorders>
              <w:top w:val="single" w:sz="4" w:space="0" w:color="auto"/>
              <w:left w:val="single" w:sz="4" w:space="0" w:color="auto"/>
              <w:bottom w:val="single" w:sz="4" w:space="0" w:color="auto"/>
              <w:right w:val="single" w:sz="4" w:space="0" w:color="auto"/>
            </w:tcBorders>
            <w:vAlign w:val="center"/>
          </w:tcPr>
          <w:p w14:paraId="5D6106C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-59 412</w:t>
            </w:r>
          </w:p>
        </w:tc>
      </w:tr>
      <w:tr w:rsidR="00C55629" w:rsidRPr="00C55629" w14:paraId="0FD2405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3DA3544"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01 01 03 01</w:t>
            </w:r>
          </w:p>
        </w:tc>
        <w:tc>
          <w:tcPr>
            <w:tcW w:w="5103" w:type="dxa"/>
            <w:tcBorders>
              <w:top w:val="single" w:sz="4" w:space="0" w:color="auto"/>
              <w:left w:val="single" w:sz="4" w:space="0" w:color="auto"/>
              <w:bottom w:val="single" w:sz="4" w:space="0" w:color="auto"/>
              <w:right w:val="single" w:sz="4" w:space="0" w:color="auto"/>
            </w:tcBorders>
          </w:tcPr>
          <w:p w14:paraId="253A46C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Expenditure related to officials and temporary staff implementing ITER</w:t>
            </w:r>
          </w:p>
        </w:tc>
        <w:tc>
          <w:tcPr>
            <w:tcW w:w="1701" w:type="dxa"/>
            <w:tcBorders>
              <w:top w:val="single" w:sz="4" w:space="0" w:color="auto"/>
              <w:left w:val="single" w:sz="4" w:space="0" w:color="auto"/>
              <w:bottom w:val="single" w:sz="4" w:space="0" w:color="auto"/>
              <w:right w:val="single" w:sz="4" w:space="0" w:color="auto"/>
            </w:tcBorders>
          </w:tcPr>
          <w:p w14:paraId="47B8ED7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140 760</w:t>
            </w:r>
          </w:p>
        </w:tc>
        <w:tc>
          <w:tcPr>
            <w:tcW w:w="1701" w:type="dxa"/>
            <w:tcBorders>
              <w:top w:val="single" w:sz="4" w:space="0" w:color="auto"/>
              <w:left w:val="single" w:sz="4" w:space="0" w:color="auto"/>
              <w:bottom w:val="single" w:sz="4" w:space="0" w:color="auto"/>
              <w:right w:val="single" w:sz="4" w:space="0" w:color="auto"/>
            </w:tcBorders>
          </w:tcPr>
          <w:p w14:paraId="1C7A030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140 760</w:t>
            </w:r>
          </w:p>
        </w:tc>
      </w:tr>
      <w:tr w:rsidR="00C55629" w:rsidRPr="00C55629" w14:paraId="088B1BC9"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FFB109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01 01 03 02</w:t>
            </w:r>
          </w:p>
        </w:tc>
        <w:tc>
          <w:tcPr>
            <w:tcW w:w="5103" w:type="dxa"/>
            <w:tcBorders>
              <w:top w:val="single" w:sz="4" w:space="0" w:color="auto"/>
              <w:left w:val="single" w:sz="4" w:space="0" w:color="auto"/>
              <w:bottom w:val="single" w:sz="4" w:space="0" w:color="auto"/>
              <w:right w:val="single" w:sz="4" w:space="0" w:color="auto"/>
            </w:tcBorders>
          </w:tcPr>
          <w:p w14:paraId="2DB73EA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External personnel implementing ITER</w:t>
            </w:r>
          </w:p>
        </w:tc>
        <w:tc>
          <w:tcPr>
            <w:tcW w:w="1701" w:type="dxa"/>
            <w:tcBorders>
              <w:top w:val="single" w:sz="4" w:space="0" w:color="auto"/>
              <w:left w:val="single" w:sz="4" w:space="0" w:color="auto"/>
              <w:bottom w:val="single" w:sz="4" w:space="0" w:color="auto"/>
              <w:right w:val="single" w:sz="4" w:space="0" w:color="auto"/>
            </w:tcBorders>
          </w:tcPr>
          <w:p w14:paraId="69EC4EEF"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5 750</w:t>
            </w:r>
          </w:p>
        </w:tc>
        <w:tc>
          <w:tcPr>
            <w:tcW w:w="1701" w:type="dxa"/>
            <w:tcBorders>
              <w:top w:val="single" w:sz="4" w:space="0" w:color="auto"/>
              <w:left w:val="single" w:sz="4" w:space="0" w:color="auto"/>
              <w:bottom w:val="single" w:sz="4" w:space="0" w:color="auto"/>
              <w:right w:val="single" w:sz="4" w:space="0" w:color="auto"/>
            </w:tcBorders>
          </w:tcPr>
          <w:p w14:paraId="299D09B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5 750</w:t>
            </w:r>
          </w:p>
        </w:tc>
      </w:tr>
      <w:tr w:rsidR="00C55629" w:rsidRPr="00C55629" w14:paraId="49D30B89" w14:textId="77777777" w:rsidTr="0028479A">
        <w:trPr>
          <w:trHeight w:val="300"/>
          <w:jc w:val="center"/>
        </w:trPr>
        <w:tc>
          <w:tcPr>
            <w:tcW w:w="1276" w:type="dxa"/>
          </w:tcPr>
          <w:p w14:paraId="5BB5A11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01 04 01</w:t>
            </w:r>
          </w:p>
        </w:tc>
        <w:tc>
          <w:tcPr>
            <w:tcW w:w="5103" w:type="dxa"/>
            <w:vAlign w:val="center"/>
          </w:tcPr>
          <w:p w14:paraId="61F2F774"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Construction, operation and exploitation of the ITER facilities — European Joint Undertaking for ITER — and the Development of Fusion Energy</w:t>
            </w:r>
          </w:p>
        </w:tc>
        <w:tc>
          <w:tcPr>
            <w:tcW w:w="1701" w:type="dxa"/>
          </w:tcPr>
          <w:p w14:paraId="410C0B2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-146 510</w:t>
            </w:r>
          </w:p>
        </w:tc>
        <w:tc>
          <w:tcPr>
            <w:tcW w:w="1701" w:type="dxa"/>
          </w:tcPr>
          <w:p w14:paraId="06140A1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-146 510</w:t>
            </w:r>
          </w:p>
        </w:tc>
      </w:tr>
      <w:tr w:rsidR="00C55629" w:rsidRPr="00C55629" w14:paraId="711B994F"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06E6D0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02 01 21 74</w:t>
            </w:r>
          </w:p>
        </w:tc>
        <w:tc>
          <w:tcPr>
            <w:tcW w:w="5103" w:type="dxa"/>
            <w:tcBorders>
              <w:top w:val="single" w:sz="4" w:space="0" w:color="auto"/>
              <w:left w:val="single" w:sz="4" w:space="0" w:color="auto"/>
              <w:bottom w:val="single" w:sz="4" w:space="0" w:color="auto"/>
              <w:right w:val="single" w:sz="4" w:space="0" w:color="auto"/>
            </w:tcBorders>
          </w:tcPr>
          <w:p w14:paraId="675A3CE0"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the Connecting Europe Facility - Transport</w:t>
            </w:r>
          </w:p>
        </w:tc>
        <w:tc>
          <w:tcPr>
            <w:tcW w:w="1701" w:type="dxa"/>
            <w:tcBorders>
              <w:top w:val="single" w:sz="4" w:space="0" w:color="auto"/>
              <w:left w:val="single" w:sz="4" w:space="0" w:color="auto"/>
              <w:bottom w:val="single" w:sz="4" w:space="0" w:color="auto"/>
              <w:right w:val="single" w:sz="4" w:space="0" w:color="auto"/>
            </w:tcBorders>
            <w:vAlign w:val="center"/>
          </w:tcPr>
          <w:p w14:paraId="0BDE3D36"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148 031</w:t>
            </w:r>
          </w:p>
        </w:tc>
        <w:tc>
          <w:tcPr>
            <w:tcW w:w="1701" w:type="dxa"/>
            <w:tcBorders>
              <w:top w:val="single" w:sz="4" w:space="0" w:color="auto"/>
              <w:left w:val="single" w:sz="4" w:space="0" w:color="auto"/>
              <w:bottom w:val="single" w:sz="4" w:space="0" w:color="auto"/>
              <w:right w:val="single" w:sz="4" w:space="0" w:color="auto"/>
            </w:tcBorders>
            <w:vAlign w:val="center"/>
          </w:tcPr>
          <w:p w14:paraId="67DF004E"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148 031</w:t>
            </w:r>
          </w:p>
        </w:tc>
      </w:tr>
      <w:tr w:rsidR="00C55629" w:rsidRPr="00C55629" w14:paraId="45A07782"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AD557E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02 03 01</w:t>
            </w:r>
          </w:p>
        </w:tc>
        <w:tc>
          <w:tcPr>
            <w:tcW w:w="5103" w:type="dxa"/>
            <w:tcBorders>
              <w:top w:val="single" w:sz="4" w:space="0" w:color="auto"/>
              <w:left w:val="single" w:sz="4" w:space="0" w:color="auto"/>
              <w:bottom w:val="single" w:sz="4" w:space="0" w:color="auto"/>
              <w:right w:val="single" w:sz="4" w:space="0" w:color="auto"/>
            </w:tcBorders>
          </w:tcPr>
          <w:p w14:paraId="7599D11E"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Connecting Europe Facility (CEF) - Transport</w:t>
            </w:r>
          </w:p>
        </w:tc>
        <w:tc>
          <w:tcPr>
            <w:tcW w:w="1701" w:type="dxa"/>
            <w:tcBorders>
              <w:top w:val="single" w:sz="4" w:space="0" w:color="auto"/>
              <w:left w:val="single" w:sz="4" w:space="0" w:color="auto"/>
              <w:bottom w:val="single" w:sz="4" w:space="0" w:color="auto"/>
              <w:right w:val="single" w:sz="4" w:space="0" w:color="auto"/>
            </w:tcBorders>
            <w:vAlign w:val="center"/>
          </w:tcPr>
          <w:p w14:paraId="28F85F71"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-148 031</w:t>
            </w:r>
          </w:p>
        </w:tc>
        <w:tc>
          <w:tcPr>
            <w:tcW w:w="1701" w:type="dxa"/>
            <w:tcBorders>
              <w:top w:val="single" w:sz="4" w:space="0" w:color="auto"/>
              <w:left w:val="single" w:sz="4" w:space="0" w:color="auto"/>
              <w:bottom w:val="single" w:sz="4" w:space="0" w:color="auto"/>
              <w:right w:val="single" w:sz="4" w:space="0" w:color="auto"/>
            </w:tcBorders>
            <w:vAlign w:val="center"/>
          </w:tcPr>
          <w:p w14:paraId="5B72291F"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-148 031</w:t>
            </w:r>
          </w:p>
        </w:tc>
      </w:tr>
      <w:tr w:rsidR="00C55629" w:rsidRPr="00C55629" w14:paraId="7F7D69D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815899F"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02 01 22 74</w:t>
            </w:r>
          </w:p>
        </w:tc>
        <w:tc>
          <w:tcPr>
            <w:tcW w:w="5103" w:type="dxa"/>
            <w:tcBorders>
              <w:top w:val="single" w:sz="4" w:space="0" w:color="auto"/>
              <w:left w:val="single" w:sz="4" w:space="0" w:color="auto"/>
              <w:bottom w:val="single" w:sz="4" w:space="0" w:color="auto"/>
              <w:right w:val="single" w:sz="4" w:space="0" w:color="auto"/>
            </w:tcBorders>
          </w:tcPr>
          <w:p w14:paraId="2D4D78F9"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the Connecting Europe Facility - Energy</w:t>
            </w:r>
          </w:p>
        </w:tc>
        <w:tc>
          <w:tcPr>
            <w:tcW w:w="1701" w:type="dxa"/>
            <w:tcBorders>
              <w:top w:val="single" w:sz="4" w:space="0" w:color="auto"/>
              <w:left w:val="single" w:sz="4" w:space="0" w:color="auto"/>
              <w:bottom w:val="single" w:sz="4" w:space="0" w:color="auto"/>
              <w:right w:val="single" w:sz="4" w:space="0" w:color="auto"/>
            </w:tcBorders>
            <w:vAlign w:val="center"/>
          </w:tcPr>
          <w:p w14:paraId="1026A4A1"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63 505</w:t>
            </w:r>
          </w:p>
        </w:tc>
        <w:tc>
          <w:tcPr>
            <w:tcW w:w="1701" w:type="dxa"/>
            <w:tcBorders>
              <w:top w:val="single" w:sz="4" w:space="0" w:color="auto"/>
              <w:left w:val="single" w:sz="4" w:space="0" w:color="auto"/>
              <w:bottom w:val="single" w:sz="4" w:space="0" w:color="auto"/>
              <w:right w:val="single" w:sz="4" w:space="0" w:color="auto"/>
            </w:tcBorders>
            <w:vAlign w:val="center"/>
          </w:tcPr>
          <w:p w14:paraId="3586627F"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63 505</w:t>
            </w:r>
          </w:p>
        </w:tc>
      </w:tr>
      <w:tr w:rsidR="00C55629" w:rsidRPr="00C55629" w14:paraId="58D4141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95256C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02 03 02</w:t>
            </w:r>
          </w:p>
        </w:tc>
        <w:tc>
          <w:tcPr>
            <w:tcW w:w="5103" w:type="dxa"/>
            <w:tcBorders>
              <w:top w:val="single" w:sz="4" w:space="0" w:color="auto"/>
              <w:left w:val="single" w:sz="4" w:space="0" w:color="auto"/>
              <w:bottom w:val="single" w:sz="4" w:space="0" w:color="auto"/>
              <w:right w:val="single" w:sz="4" w:space="0" w:color="auto"/>
            </w:tcBorders>
          </w:tcPr>
          <w:p w14:paraId="36D85CA0"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Connecting Europe Facility (CEF) - Energy</w:t>
            </w:r>
          </w:p>
        </w:tc>
        <w:tc>
          <w:tcPr>
            <w:tcW w:w="1701" w:type="dxa"/>
            <w:tcBorders>
              <w:top w:val="single" w:sz="4" w:space="0" w:color="auto"/>
              <w:left w:val="single" w:sz="4" w:space="0" w:color="auto"/>
              <w:bottom w:val="single" w:sz="4" w:space="0" w:color="auto"/>
              <w:right w:val="single" w:sz="4" w:space="0" w:color="auto"/>
            </w:tcBorders>
            <w:vAlign w:val="center"/>
          </w:tcPr>
          <w:p w14:paraId="2566266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-63 505</w:t>
            </w:r>
          </w:p>
        </w:tc>
        <w:tc>
          <w:tcPr>
            <w:tcW w:w="1701" w:type="dxa"/>
            <w:tcBorders>
              <w:top w:val="single" w:sz="4" w:space="0" w:color="auto"/>
              <w:left w:val="single" w:sz="4" w:space="0" w:color="auto"/>
              <w:bottom w:val="single" w:sz="4" w:space="0" w:color="auto"/>
              <w:right w:val="single" w:sz="4" w:space="0" w:color="auto"/>
            </w:tcBorders>
            <w:vAlign w:val="center"/>
          </w:tcPr>
          <w:p w14:paraId="5ADC8480"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-63 505</w:t>
            </w:r>
          </w:p>
        </w:tc>
      </w:tr>
      <w:tr w:rsidR="00C55629" w:rsidRPr="00C55629" w14:paraId="07AF4EE5"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vAlign w:val="center"/>
          </w:tcPr>
          <w:p w14:paraId="5B139E48" w14:textId="77777777" w:rsidR="00C55629" w:rsidRPr="00C55629" w:rsidRDefault="00C55629" w:rsidP="00C55629">
            <w:pPr>
              <w:spacing w:after="0"/>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05 01 01 01</w:t>
            </w:r>
          </w:p>
        </w:tc>
        <w:tc>
          <w:tcPr>
            <w:tcW w:w="5103" w:type="dxa"/>
            <w:tcBorders>
              <w:top w:val="single" w:sz="4" w:space="0" w:color="auto"/>
              <w:left w:val="single" w:sz="4" w:space="0" w:color="auto"/>
              <w:bottom w:val="single" w:sz="4" w:space="0" w:color="auto"/>
              <w:right w:val="single" w:sz="4" w:space="0" w:color="auto"/>
            </w:tcBorders>
            <w:vAlign w:val="center"/>
          </w:tcPr>
          <w:p w14:paraId="1AAC0786" w14:textId="77777777" w:rsidR="00C55629" w:rsidRPr="00C55629" w:rsidRDefault="00C55629" w:rsidP="00C55629">
            <w:pPr>
              <w:spacing w:after="0"/>
              <w:rPr>
                <w:rFonts w:ascii="Times New Roman" w:eastAsia="Times New Roman" w:hAnsi="Times New Roman" w:cs="Times New Roman"/>
                <w:noProof/>
                <w:kern w:val="0"/>
                <w:sz w:val="16"/>
                <w:szCs w:val="16"/>
                <w:lang w:val="en-GB" w:eastAsia="en-GB"/>
                <w14:ligatures w14:val="none"/>
              </w:rPr>
            </w:pPr>
            <w:r w:rsidRPr="00C55629">
              <w:rPr>
                <w:rFonts w:ascii="Times New Roman" w:eastAsia="Tahoma" w:hAnsi="Times New Roman" w:cs="Times New Roman"/>
                <w:noProof/>
                <w:color w:val="000000"/>
                <w:kern w:val="0"/>
                <w:sz w:val="16"/>
                <w:szCs w:val="16"/>
                <w:lang w:val="en-GB" w:eastAsia="en-GB"/>
                <w14:ligatures w14:val="none"/>
              </w:rPr>
              <w:t>Support expenditure for the European Regional Development Fund (ERDF)</w:t>
            </w:r>
          </w:p>
        </w:tc>
        <w:tc>
          <w:tcPr>
            <w:tcW w:w="1701" w:type="dxa"/>
            <w:tcBorders>
              <w:top w:val="single" w:sz="4" w:space="0" w:color="auto"/>
              <w:left w:val="single" w:sz="4" w:space="0" w:color="auto"/>
              <w:bottom w:val="single" w:sz="4" w:space="0" w:color="auto"/>
              <w:right w:val="single" w:sz="4" w:space="0" w:color="auto"/>
            </w:tcBorders>
            <w:vAlign w:val="center"/>
          </w:tcPr>
          <w:p w14:paraId="54A97193" w14:textId="77777777" w:rsidR="00C55629" w:rsidRPr="00C55629" w:rsidRDefault="00C55629" w:rsidP="00C55629">
            <w:pPr>
              <w:spacing w:after="0"/>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78 184</w:t>
            </w:r>
          </w:p>
        </w:tc>
        <w:tc>
          <w:tcPr>
            <w:tcW w:w="1701" w:type="dxa"/>
            <w:tcBorders>
              <w:top w:val="single" w:sz="4" w:space="0" w:color="auto"/>
              <w:left w:val="single" w:sz="4" w:space="0" w:color="auto"/>
              <w:bottom w:val="single" w:sz="4" w:space="0" w:color="auto"/>
              <w:right w:val="single" w:sz="4" w:space="0" w:color="auto"/>
            </w:tcBorders>
            <w:vAlign w:val="center"/>
          </w:tcPr>
          <w:p w14:paraId="037702B3" w14:textId="77777777" w:rsidR="00C55629" w:rsidRPr="00C55629" w:rsidRDefault="00C55629" w:rsidP="00C55629">
            <w:pPr>
              <w:spacing w:after="0"/>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78 184</w:t>
            </w:r>
          </w:p>
        </w:tc>
      </w:tr>
      <w:tr w:rsidR="00C55629" w:rsidRPr="00C55629" w14:paraId="01A0005D"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vAlign w:val="center"/>
          </w:tcPr>
          <w:p w14:paraId="6B724DB4"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05 01 01 76</w:t>
            </w:r>
          </w:p>
        </w:tc>
        <w:tc>
          <w:tcPr>
            <w:tcW w:w="5103" w:type="dxa"/>
            <w:tcBorders>
              <w:top w:val="single" w:sz="4" w:space="0" w:color="auto"/>
              <w:left w:val="single" w:sz="4" w:space="0" w:color="auto"/>
              <w:bottom w:val="single" w:sz="4" w:space="0" w:color="auto"/>
              <w:right w:val="single" w:sz="4" w:space="0" w:color="auto"/>
            </w:tcBorders>
            <w:vAlign w:val="center"/>
          </w:tcPr>
          <w:p w14:paraId="1B1BDA2B"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Innovation Council and SMEs Executive Agency — Contribution from interregional innovation investments</w:t>
            </w:r>
          </w:p>
        </w:tc>
        <w:tc>
          <w:tcPr>
            <w:tcW w:w="1701" w:type="dxa"/>
            <w:tcBorders>
              <w:top w:val="single" w:sz="4" w:space="0" w:color="auto"/>
              <w:left w:val="single" w:sz="4" w:space="0" w:color="auto"/>
              <w:bottom w:val="single" w:sz="4" w:space="0" w:color="auto"/>
              <w:right w:val="single" w:sz="4" w:space="0" w:color="auto"/>
            </w:tcBorders>
            <w:vAlign w:val="center"/>
          </w:tcPr>
          <w:p w14:paraId="168D6D21"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28 574</w:t>
            </w:r>
          </w:p>
        </w:tc>
        <w:tc>
          <w:tcPr>
            <w:tcW w:w="1701" w:type="dxa"/>
            <w:tcBorders>
              <w:top w:val="single" w:sz="4" w:space="0" w:color="auto"/>
              <w:left w:val="single" w:sz="4" w:space="0" w:color="auto"/>
              <w:bottom w:val="single" w:sz="4" w:space="0" w:color="auto"/>
              <w:right w:val="single" w:sz="4" w:space="0" w:color="auto"/>
            </w:tcBorders>
            <w:vAlign w:val="center"/>
          </w:tcPr>
          <w:p w14:paraId="4AA045B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28 574</w:t>
            </w:r>
          </w:p>
        </w:tc>
      </w:tr>
      <w:tr w:rsidR="00C55629" w:rsidRPr="00C55629" w14:paraId="578BBDE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vAlign w:val="center"/>
          </w:tcPr>
          <w:p w14:paraId="723A92B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05 02 02</w:t>
            </w:r>
          </w:p>
        </w:tc>
        <w:tc>
          <w:tcPr>
            <w:tcW w:w="5103" w:type="dxa"/>
            <w:tcBorders>
              <w:top w:val="single" w:sz="4" w:space="0" w:color="auto"/>
              <w:left w:val="single" w:sz="4" w:space="0" w:color="auto"/>
              <w:bottom w:val="single" w:sz="4" w:space="0" w:color="auto"/>
              <w:right w:val="single" w:sz="4" w:space="0" w:color="auto"/>
            </w:tcBorders>
            <w:vAlign w:val="center"/>
          </w:tcPr>
          <w:p w14:paraId="4C1ACF9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ERDF — Operational technical assistance</w:t>
            </w:r>
          </w:p>
        </w:tc>
        <w:tc>
          <w:tcPr>
            <w:tcW w:w="1701" w:type="dxa"/>
            <w:tcBorders>
              <w:top w:val="single" w:sz="4" w:space="0" w:color="auto"/>
              <w:left w:val="single" w:sz="4" w:space="0" w:color="auto"/>
              <w:bottom w:val="single" w:sz="4" w:space="0" w:color="auto"/>
              <w:right w:val="single" w:sz="4" w:space="0" w:color="auto"/>
            </w:tcBorders>
            <w:vAlign w:val="center"/>
          </w:tcPr>
          <w:p w14:paraId="3B9AD54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- 106 758</w:t>
            </w:r>
          </w:p>
        </w:tc>
        <w:tc>
          <w:tcPr>
            <w:tcW w:w="1701" w:type="dxa"/>
            <w:tcBorders>
              <w:top w:val="single" w:sz="4" w:space="0" w:color="auto"/>
              <w:left w:val="single" w:sz="4" w:space="0" w:color="auto"/>
              <w:bottom w:val="single" w:sz="4" w:space="0" w:color="auto"/>
              <w:right w:val="single" w:sz="4" w:space="0" w:color="auto"/>
            </w:tcBorders>
            <w:vAlign w:val="center"/>
          </w:tcPr>
          <w:p w14:paraId="3DF4130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- 106 758</w:t>
            </w:r>
          </w:p>
        </w:tc>
      </w:tr>
      <w:tr w:rsidR="00C55629" w:rsidRPr="00C55629" w14:paraId="2494C226"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vAlign w:val="center"/>
          </w:tcPr>
          <w:p w14:paraId="27011B24" w14:textId="77777777" w:rsidR="00C55629" w:rsidRPr="00C55629" w:rsidRDefault="00C55629" w:rsidP="00C55629">
            <w:pPr>
              <w:spacing w:after="0"/>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05 01 02 01</w:t>
            </w:r>
          </w:p>
        </w:tc>
        <w:tc>
          <w:tcPr>
            <w:tcW w:w="5103" w:type="dxa"/>
            <w:tcBorders>
              <w:top w:val="single" w:sz="4" w:space="0" w:color="auto"/>
              <w:left w:val="single" w:sz="4" w:space="0" w:color="auto"/>
              <w:bottom w:val="single" w:sz="4" w:space="0" w:color="auto"/>
              <w:right w:val="single" w:sz="4" w:space="0" w:color="auto"/>
            </w:tcBorders>
            <w:vAlign w:val="center"/>
          </w:tcPr>
          <w:p w14:paraId="707AEDD8" w14:textId="77777777" w:rsidR="00C55629" w:rsidRPr="00C55629" w:rsidRDefault="00C55629" w:rsidP="00C55629">
            <w:pPr>
              <w:spacing w:after="0"/>
              <w:rPr>
                <w:rFonts w:ascii="Times New Roman" w:eastAsia="Times New Roman" w:hAnsi="Times New Roman" w:cs="Times New Roman"/>
                <w:noProof/>
                <w:kern w:val="0"/>
                <w:sz w:val="16"/>
                <w:szCs w:val="16"/>
                <w:lang w:val="en-GB" w:eastAsia="en-GB"/>
                <w14:ligatures w14:val="none"/>
              </w:rPr>
            </w:pPr>
            <w:r w:rsidRPr="00C55629">
              <w:rPr>
                <w:rFonts w:ascii="Times New Roman" w:eastAsia="Tahoma" w:hAnsi="Times New Roman" w:cs="Times New Roman"/>
                <w:noProof/>
                <w:color w:val="000000"/>
                <w:kern w:val="0"/>
                <w:sz w:val="16"/>
                <w:szCs w:val="16"/>
                <w:lang w:val="en-GB" w:eastAsia="en-GB"/>
                <w14:ligatures w14:val="none"/>
              </w:rPr>
              <w:t>Support expenditure for the Cohesion Fund</w:t>
            </w:r>
          </w:p>
        </w:tc>
        <w:tc>
          <w:tcPr>
            <w:tcW w:w="1701" w:type="dxa"/>
            <w:tcBorders>
              <w:top w:val="single" w:sz="4" w:space="0" w:color="auto"/>
              <w:left w:val="single" w:sz="4" w:space="0" w:color="auto"/>
              <w:bottom w:val="single" w:sz="4" w:space="0" w:color="auto"/>
              <w:right w:val="single" w:sz="4" w:space="0" w:color="auto"/>
            </w:tcBorders>
            <w:vAlign w:val="center"/>
          </w:tcPr>
          <w:p w14:paraId="37037965" w14:textId="77777777" w:rsidR="00C55629" w:rsidRPr="00C55629" w:rsidRDefault="00C55629" w:rsidP="00C55629">
            <w:pPr>
              <w:spacing w:after="0"/>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34 237</w:t>
            </w:r>
          </w:p>
        </w:tc>
        <w:tc>
          <w:tcPr>
            <w:tcW w:w="1701" w:type="dxa"/>
            <w:tcBorders>
              <w:top w:val="single" w:sz="4" w:space="0" w:color="auto"/>
              <w:left w:val="single" w:sz="4" w:space="0" w:color="auto"/>
              <w:bottom w:val="single" w:sz="4" w:space="0" w:color="auto"/>
              <w:right w:val="single" w:sz="4" w:space="0" w:color="auto"/>
            </w:tcBorders>
            <w:vAlign w:val="center"/>
          </w:tcPr>
          <w:p w14:paraId="1B54F056" w14:textId="77777777" w:rsidR="00C55629" w:rsidRPr="00C55629" w:rsidRDefault="00C55629" w:rsidP="00C55629">
            <w:pPr>
              <w:spacing w:after="0"/>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34 237</w:t>
            </w:r>
          </w:p>
        </w:tc>
      </w:tr>
      <w:tr w:rsidR="00C55629" w:rsidRPr="00C55629" w14:paraId="05BBFBEE"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9E8FA67"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05 01 02 74</w:t>
            </w:r>
          </w:p>
        </w:tc>
        <w:tc>
          <w:tcPr>
            <w:tcW w:w="5103" w:type="dxa"/>
            <w:tcBorders>
              <w:top w:val="single" w:sz="4" w:space="0" w:color="auto"/>
              <w:left w:val="single" w:sz="4" w:space="0" w:color="auto"/>
              <w:bottom w:val="single" w:sz="4" w:space="0" w:color="auto"/>
              <w:right w:val="single" w:sz="4" w:space="0" w:color="auto"/>
            </w:tcBorders>
          </w:tcPr>
          <w:p w14:paraId="79DB3002"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the Cohesion Fund</w:t>
            </w:r>
          </w:p>
        </w:tc>
        <w:tc>
          <w:tcPr>
            <w:tcW w:w="1701" w:type="dxa"/>
            <w:tcBorders>
              <w:top w:val="single" w:sz="4" w:space="0" w:color="auto"/>
              <w:left w:val="single" w:sz="4" w:space="0" w:color="auto"/>
              <w:bottom w:val="single" w:sz="4" w:space="0" w:color="auto"/>
              <w:right w:val="single" w:sz="4" w:space="0" w:color="auto"/>
            </w:tcBorders>
            <w:vAlign w:val="center"/>
          </w:tcPr>
          <w:p w14:paraId="68CDC0D3"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131 712</w:t>
            </w:r>
          </w:p>
        </w:tc>
        <w:tc>
          <w:tcPr>
            <w:tcW w:w="1701" w:type="dxa"/>
            <w:tcBorders>
              <w:top w:val="single" w:sz="4" w:space="0" w:color="auto"/>
              <w:left w:val="single" w:sz="4" w:space="0" w:color="auto"/>
              <w:bottom w:val="single" w:sz="4" w:space="0" w:color="auto"/>
              <w:right w:val="single" w:sz="4" w:space="0" w:color="auto"/>
            </w:tcBorders>
            <w:vAlign w:val="center"/>
          </w:tcPr>
          <w:p w14:paraId="386B417C"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131 712</w:t>
            </w:r>
          </w:p>
        </w:tc>
      </w:tr>
      <w:tr w:rsidR="00C55629" w:rsidRPr="00C55629" w14:paraId="3F61FF16"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17BC90B0"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05 03 02</w:t>
            </w:r>
          </w:p>
        </w:tc>
        <w:tc>
          <w:tcPr>
            <w:tcW w:w="5103" w:type="dxa"/>
            <w:tcBorders>
              <w:top w:val="single" w:sz="4" w:space="0" w:color="auto"/>
              <w:left w:val="single" w:sz="4" w:space="0" w:color="auto"/>
              <w:bottom w:val="single" w:sz="4" w:space="0" w:color="auto"/>
              <w:right w:val="single" w:sz="4" w:space="0" w:color="auto"/>
            </w:tcBorders>
          </w:tcPr>
          <w:p w14:paraId="38075E6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Cohesion Fund (CF) — Operational technical assistance</w:t>
            </w:r>
          </w:p>
        </w:tc>
        <w:tc>
          <w:tcPr>
            <w:tcW w:w="1701" w:type="dxa"/>
            <w:tcBorders>
              <w:top w:val="single" w:sz="4" w:space="0" w:color="auto"/>
              <w:left w:val="single" w:sz="4" w:space="0" w:color="auto"/>
              <w:bottom w:val="single" w:sz="4" w:space="0" w:color="auto"/>
              <w:right w:val="single" w:sz="4" w:space="0" w:color="auto"/>
            </w:tcBorders>
            <w:vAlign w:val="center"/>
          </w:tcPr>
          <w:p w14:paraId="0DBD13D9" w14:textId="77777777" w:rsidR="00C55629" w:rsidRPr="00C55629" w:rsidRDefault="00C55629" w:rsidP="00C55629">
            <w:pPr>
              <w:widowControl w:val="0"/>
              <w:spacing w:before="15" w:after="15"/>
              <w:jc w:val="right"/>
              <w:rPr>
                <w:rFonts w:ascii="Times New Roman" w:eastAsia="Calibri"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- 165 949</w:t>
            </w:r>
          </w:p>
        </w:tc>
        <w:tc>
          <w:tcPr>
            <w:tcW w:w="1701" w:type="dxa"/>
            <w:tcBorders>
              <w:top w:val="single" w:sz="4" w:space="0" w:color="auto"/>
              <w:left w:val="single" w:sz="4" w:space="0" w:color="auto"/>
              <w:bottom w:val="single" w:sz="4" w:space="0" w:color="auto"/>
              <w:right w:val="single" w:sz="4" w:space="0" w:color="auto"/>
            </w:tcBorders>
            <w:vAlign w:val="center"/>
          </w:tcPr>
          <w:p w14:paraId="29AF266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- 165 949</w:t>
            </w:r>
          </w:p>
        </w:tc>
      </w:tr>
      <w:tr w:rsidR="00C55629" w:rsidRPr="00C55629" w14:paraId="6C1B95A2"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D83C084"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05 01 03</w:t>
            </w:r>
          </w:p>
        </w:tc>
        <w:tc>
          <w:tcPr>
            <w:tcW w:w="5103" w:type="dxa"/>
            <w:tcBorders>
              <w:top w:val="single" w:sz="4" w:space="0" w:color="auto"/>
              <w:left w:val="single" w:sz="4" w:space="0" w:color="auto"/>
              <w:bottom w:val="single" w:sz="4" w:space="0" w:color="auto"/>
              <w:right w:val="single" w:sz="4" w:space="0" w:color="auto"/>
            </w:tcBorders>
          </w:tcPr>
          <w:p w14:paraId="327D5368"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Support expenditure for the "Support to the Turkish-Cypriot Community"</w:t>
            </w:r>
          </w:p>
        </w:tc>
        <w:tc>
          <w:tcPr>
            <w:tcW w:w="1701" w:type="dxa"/>
            <w:tcBorders>
              <w:top w:val="single" w:sz="4" w:space="0" w:color="auto"/>
              <w:left w:val="single" w:sz="4" w:space="0" w:color="auto"/>
              <w:bottom w:val="single" w:sz="4" w:space="0" w:color="auto"/>
              <w:right w:val="single" w:sz="4" w:space="0" w:color="auto"/>
            </w:tcBorders>
            <w:vAlign w:val="center"/>
          </w:tcPr>
          <w:p w14:paraId="0CF59340"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47 176</w:t>
            </w:r>
          </w:p>
        </w:tc>
        <w:tc>
          <w:tcPr>
            <w:tcW w:w="1701" w:type="dxa"/>
            <w:tcBorders>
              <w:top w:val="single" w:sz="4" w:space="0" w:color="auto"/>
              <w:left w:val="single" w:sz="4" w:space="0" w:color="auto"/>
              <w:bottom w:val="single" w:sz="4" w:space="0" w:color="auto"/>
              <w:right w:val="single" w:sz="4" w:space="0" w:color="auto"/>
            </w:tcBorders>
            <w:vAlign w:val="center"/>
          </w:tcPr>
          <w:p w14:paraId="441EC941"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47 176</w:t>
            </w:r>
          </w:p>
        </w:tc>
      </w:tr>
      <w:tr w:rsidR="00C55629" w:rsidRPr="00C55629" w14:paraId="39E1EE01"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9484B94"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05 04 01</w:t>
            </w:r>
          </w:p>
        </w:tc>
        <w:tc>
          <w:tcPr>
            <w:tcW w:w="5103" w:type="dxa"/>
            <w:tcBorders>
              <w:top w:val="single" w:sz="4" w:space="0" w:color="auto"/>
              <w:left w:val="single" w:sz="4" w:space="0" w:color="auto"/>
              <w:bottom w:val="single" w:sz="4" w:space="0" w:color="auto"/>
              <w:right w:val="single" w:sz="4" w:space="0" w:color="auto"/>
            </w:tcBorders>
          </w:tcPr>
          <w:p w14:paraId="658863F9"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Financial support for encouraging the economic development of the Turkish Cypriot community</w:t>
            </w:r>
          </w:p>
        </w:tc>
        <w:tc>
          <w:tcPr>
            <w:tcW w:w="1701" w:type="dxa"/>
            <w:tcBorders>
              <w:top w:val="single" w:sz="4" w:space="0" w:color="auto"/>
              <w:left w:val="single" w:sz="4" w:space="0" w:color="auto"/>
              <w:bottom w:val="single" w:sz="4" w:space="0" w:color="auto"/>
              <w:right w:val="single" w:sz="4" w:space="0" w:color="auto"/>
            </w:tcBorders>
            <w:vAlign w:val="center"/>
          </w:tcPr>
          <w:p w14:paraId="3C70475C"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-47 176</w:t>
            </w:r>
          </w:p>
        </w:tc>
        <w:tc>
          <w:tcPr>
            <w:tcW w:w="1701" w:type="dxa"/>
            <w:tcBorders>
              <w:top w:val="single" w:sz="4" w:space="0" w:color="auto"/>
              <w:left w:val="single" w:sz="4" w:space="0" w:color="auto"/>
              <w:bottom w:val="single" w:sz="4" w:space="0" w:color="auto"/>
              <w:right w:val="single" w:sz="4" w:space="0" w:color="auto"/>
            </w:tcBorders>
            <w:vAlign w:val="center"/>
          </w:tcPr>
          <w:p w14:paraId="3A6E7096"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-47 176</w:t>
            </w:r>
          </w:p>
        </w:tc>
      </w:tr>
      <w:tr w:rsidR="00C55629" w:rsidRPr="00C55629" w14:paraId="2E848194"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B746917"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07 01 02 75</w:t>
            </w:r>
          </w:p>
        </w:tc>
        <w:tc>
          <w:tcPr>
            <w:tcW w:w="5103" w:type="dxa"/>
            <w:tcBorders>
              <w:top w:val="single" w:sz="4" w:space="0" w:color="auto"/>
              <w:left w:val="single" w:sz="4" w:space="0" w:color="auto"/>
              <w:bottom w:val="single" w:sz="4" w:space="0" w:color="auto"/>
              <w:right w:val="single" w:sz="4" w:space="0" w:color="auto"/>
            </w:tcBorders>
          </w:tcPr>
          <w:p w14:paraId="2BF07132"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Education and Culture Executive Agency — Contribution from Erasmus+</w:t>
            </w:r>
          </w:p>
        </w:tc>
        <w:tc>
          <w:tcPr>
            <w:tcW w:w="1701" w:type="dxa"/>
            <w:tcBorders>
              <w:top w:val="single" w:sz="4" w:space="0" w:color="auto"/>
              <w:left w:val="single" w:sz="4" w:space="0" w:color="auto"/>
              <w:bottom w:val="single" w:sz="4" w:space="0" w:color="auto"/>
              <w:right w:val="single" w:sz="4" w:space="0" w:color="auto"/>
            </w:tcBorders>
            <w:vAlign w:val="center"/>
          </w:tcPr>
          <w:p w14:paraId="42335CD6"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650 551</w:t>
            </w:r>
          </w:p>
        </w:tc>
        <w:tc>
          <w:tcPr>
            <w:tcW w:w="1701" w:type="dxa"/>
            <w:tcBorders>
              <w:top w:val="single" w:sz="4" w:space="0" w:color="auto"/>
              <w:left w:val="single" w:sz="4" w:space="0" w:color="auto"/>
              <w:bottom w:val="single" w:sz="4" w:space="0" w:color="auto"/>
              <w:right w:val="single" w:sz="4" w:space="0" w:color="auto"/>
            </w:tcBorders>
            <w:vAlign w:val="center"/>
          </w:tcPr>
          <w:p w14:paraId="477D572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650 551</w:t>
            </w:r>
          </w:p>
        </w:tc>
      </w:tr>
      <w:tr w:rsidR="00C55629" w:rsidRPr="00C55629" w14:paraId="582624DE"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C6BD68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07 03 01 01</w:t>
            </w:r>
          </w:p>
        </w:tc>
        <w:tc>
          <w:tcPr>
            <w:tcW w:w="5103" w:type="dxa"/>
            <w:tcBorders>
              <w:top w:val="single" w:sz="4" w:space="0" w:color="auto"/>
              <w:left w:val="single" w:sz="4" w:space="0" w:color="auto"/>
              <w:bottom w:val="single" w:sz="4" w:space="0" w:color="auto"/>
              <w:right w:val="single" w:sz="4" w:space="0" w:color="auto"/>
            </w:tcBorders>
          </w:tcPr>
          <w:p w14:paraId="4011784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Promoting learning mobility of individuals and groups, and cooperation, inclusion and equity, excellence, creativity and innovation at the level of organisations and policies in the field of education and training — Indirect management</w:t>
            </w:r>
          </w:p>
        </w:tc>
        <w:tc>
          <w:tcPr>
            <w:tcW w:w="1701" w:type="dxa"/>
            <w:tcBorders>
              <w:top w:val="single" w:sz="4" w:space="0" w:color="auto"/>
              <w:left w:val="single" w:sz="4" w:space="0" w:color="auto"/>
              <w:bottom w:val="single" w:sz="4" w:space="0" w:color="auto"/>
              <w:right w:val="single" w:sz="4" w:space="0" w:color="auto"/>
            </w:tcBorders>
            <w:vAlign w:val="center"/>
          </w:tcPr>
          <w:p w14:paraId="7940B620"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-650 551</w:t>
            </w:r>
          </w:p>
        </w:tc>
        <w:tc>
          <w:tcPr>
            <w:tcW w:w="1701" w:type="dxa"/>
            <w:tcBorders>
              <w:top w:val="single" w:sz="4" w:space="0" w:color="auto"/>
              <w:left w:val="single" w:sz="4" w:space="0" w:color="auto"/>
              <w:bottom w:val="single" w:sz="4" w:space="0" w:color="auto"/>
              <w:right w:val="single" w:sz="4" w:space="0" w:color="auto"/>
            </w:tcBorders>
            <w:vAlign w:val="center"/>
          </w:tcPr>
          <w:p w14:paraId="4297E48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-650 551</w:t>
            </w:r>
          </w:p>
        </w:tc>
      </w:tr>
      <w:tr w:rsidR="00C55629" w:rsidRPr="00C55629" w14:paraId="6307D2FB"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A614A17"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07 01 03 75</w:t>
            </w:r>
          </w:p>
        </w:tc>
        <w:tc>
          <w:tcPr>
            <w:tcW w:w="5103" w:type="dxa"/>
            <w:tcBorders>
              <w:top w:val="single" w:sz="4" w:space="0" w:color="auto"/>
              <w:left w:val="single" w:sz="4" w:space="0" w:color="auto"/>
              <w:bottom w:val="single" w:sz="4" w:space="0" w:color="auto"/>
              <w:right w:val="single" w:sz="4" w:space="0" w:color="auto"/>
            </w:tcBorders>
          </w:tcPr>
          <w:p w14:paraId="11642E59"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Education and Culture Executive Agency — Contribution from the European Solidarity Corps</w:t>
            </w:r>
          </w:p>
        </w:tc>
        <w:tc>
          <w:tcPr>
            <w:tcW w:w="1701" w:type="dxa"/>
            <w:tcBorders>
              <w:top w:val="single" w:sz="4" w:space="0" w:color="auto"/>
              <w:left w:val="single" w:sz="4" w:space="0" w:color="auto"/>
              <w:bottom w:val="single" w:sz="4" w:space="0" w:color="auto"/>
              <w:right w:val="single" w:sz="4" w:space="0" w:color="auto"/>
            </w:tcBorders>
            <w:vAlign w:val="center"/>
          </w:tcPr>
          <w:p w14:paraId="4B52C594"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29 593</w:t>
            </w:r>
          </w:p>
        </w:tc>
        <w:tc>
          <w:tcPr>
            <w:tcW w:w="1701" w:type="dxa"/>
            <w:tcBorders>
              <w:top w:val="single" w:sz="4" w:space="0" w:color="auto"/>
              <w:left w:val="single" w:sz="4" w:space="0" w:color="auto"/>
              <w:bottom w:val="single" w:sz="4" w:space="0" w:color="auto"/>
              <w:right w:val="single" w:sz="4" w:space="0" w:color="auto"/>
            </w:tcBorders>
            <w:vAlign w:val="center"/>
          </w:tcPr>
          <w:p w14:paraId="41728FE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29 593</w:t>
            </w:r>
          </w:p>
        </w:tc>
      </w:tr>
      <w:tr w:rsidR="00C55629" w:rsidRPr="00C55629" w14:paraId="3321CD7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E35D242"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07 04 01</w:t>
            </w:r>
          </w:p>
        </w:tc>
        <w:tc>
          <w:tcPr>
            <w:tcW w:w="5103" w:type="dxa"/>
            <w:tcBorders>
              <w:top w:val="single" w:sz="4" w:space="0" w:color="auto"/>
              <w:left w:val="single" w:sz="4" w:space="0" w:color="auto"/>
              <w:bottom w:val="single" w:sz="4" w:space="0" w:color="auto"/>
              <w:right w:val="single" w:sz="4" w:space="0" w:color="auto"/>
            </w:tcBorders>
          </w:tcPr>
          <w:p w14:paraId="31CFF71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Solidarity Corps</w:t>
            </w:r>
          </w:p>
        </w:tc>
        <w:tc>
          <w:tcPr>
            <w:tcW w:w="1701" w:type="dxa"/>
            <w:tcBorders>
              <w:top w:val="single" w:sz="4" w:space="0" w:color="auto"/>
              <w:left w:val="single" w:sz="4" w:space="0" w:color="auto"/>
              <w:bottom w:val="single" w:sz="4" w:space="0" w:color="auto"/>
              <w:right w:val="single" w:sz="4" w:space="0" w:color="auto"/>
            </w:tcBorders>
            <w:vAlign w:val="center"/>
          </w:tcPr>
          <w:p w14:paraId="1247AB71"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-29 593</w:t>
            </w:r>
          </w:p>
        </w:tc>
        <w:tc>
          <w:tcPr>
            <w:tcW w:w="1701" w:type="dxa"/>
            <w:tcBorders>
              <w:top w:val="single" w:sz="4" w:space="0" w:color="auto"/>
              <w:left w:val="single" w:sz="4" w:space="0" w:color="auto"/>
              <w:bottom w:val="single" w:sz="4" w:space="0" w:color="auto"/>
              <w:right w:val="single" w:sz="4" w:space="0" w:color="auto"/>
            </w:tcBorders>
            <w:vAlign w:val="center"/>
          </w:tcPr>
          <w:p w14:paraId="6288BF5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-29 593</w:t>
            </w:r>
          </w:p>
        </w:tc>
      </w:tr>
      <w:tr w:rsidR="00C55629" w:rsidRPr="00C55629" w14:paraId="1634DA0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2D42C0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07 01 04 75</w:t>
            </w:r>
          </w:p>
        </w:tc>
        <w:tc>
          <w:tcPr>
            <w:tcW w:w="5103" w:type="dxa"/>
            <w:tcBorders>
              <w:top w:val="single" w:sz="4" w:space="0" w:color="auto"/>
              <w:left w:val="single" w:sz="4" w:space="0" w:color="auto"/>
              <w:bottom w:val="single" w:sz="4" w:space="0" w:color="auto"/>
              <w:right w:val="single" w:sz="4" w:space="0" w:color="auto"/>
            </w:tcBorders>
          </w:tcPr>
          <w:p w14:paraId="10AA655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Education and Culture Executive Agency — Contribution from Creative Europe</w:t>
            </w:r>
          </w:p>
        </w:tc>
        <w:tc>
          <w:tcPr>
            <w:tcW w:w="1701" w:type="dxa"/>
            <w:tcBorders>
              <w:top w:val="single" w:sz="4" w:space="0" w:color="auto"/>
              <w:left w:val="single" w:sz="4" w:space="0" w:color="auto"/>
              <w:bottom w:val="single" w:sz="4" w:space="0" w:color="auto"/>
              <w:right w:val="single" w:sz="4" w:space="0" w:color="auto"/>
            </w:tcBorders>
            <w:vAlign w:val="center"/>
          </w:tcPr>
          <w:p w14:paraId="73FF3935"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365 873</w:t>
            </w:r>
          </w:p>
        </w:tc>
        <w:tc>
          <w:tcPr>
            <w:tcW w:w="1701" w:type="dxa"/>
            <w:tcBorders>
              <w:top w:val="single" w:sz="4" w:space="0" w:color="auto"/>
              <w:left w:val="single" w:sz="4" w:space="0" w:color="auto"/>
              <w:bottom w:val="single" w:sz="4" w:space="0" w:color="auto"/>
              <w:right w:val="single" w:sz="4" w:space="0" w:color="auto"/>
            </w:tcBorders>
            <w:vAlign w:val="center"/>
          </w:tcPr>
          <w:p w14:paraId="2142AEB3"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365 873</w:t>
            </w:r>
          </w:p>
        </w:tc>
      </w:tr>
      <w:tr w:rsidR="00C55629" w:rsidRPr="00C55629" w14:paraId="74AE2DA4"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49CFF96"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07 05 01</w:t>
            </w:r>
          </w:p>
        </w:tc>
        <w:tc>
          <w:tcPr>
            <w:tcW w:w="5103" w:type="dxa"/>
            <w:tcBorders>
              <w:top w:val="single" w:sz="4" w:space="0" w:color="auto"/>
              <w:left w:val="single" w:sz="4" w:space="0" w:color="auto"/>
              <w:bottom w:val="single" w:sz="4" w:space="0" w:color="auto"/>
              <w:right w:val="single" w:sz="4" w:space="0" w:color="auto"/>
            </w:tcBorders>
            <w:vAlign w:val="center"/>
          </w:tcPr>
          <w:p w14:paraId="1605C41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Culture strand</w:t>
            </w:r>
          </w:p>
        </w:tc>
        <w:tc>
          <w:tcPr>
            <w:tcW w:w="1701" w:type="dxa"/>
            <w:tcBorders>
              <w:top w:val="single" w:sz="4" w:space="0" w:color="auto"/>
              <w:left w:val="single" w:sz="4" w:space="0" w:color="auto"/>
              <w:bottom w:val="single" w:sz="4" w:space="0" w:color="auto"/>
              <w:right w:val="single" w:sz="4" w:space="0" w:color="auto"/>
            </w:tcBorders>
            <w:vAlign w:val="center"/>
          </w:tcPr>
          <w:p w14:paraId="7640220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-120 738</w:t>
            </w:r>
          </w:p>
        </w:tc>
        <w:tc>
          <w:tcPr>
            <w:tcW w:w="1701" w:type="dxa"/>
            <w:tcBorders>
              <w:top w:val="single" w:sz="4" w:space="0" w:color="auto"/>
              <w:left w:val="single" w:sz="4" w:space="0" w:color="auto"/>
              <w:bottom w:val="single" w:sz="4" w:space="0" w:color="auto"/>
              <w:right w:val="single" w:sz="4" w:space="0" w:color="auto"/>
            </w:tcBorders>
            <w:vAlign w:val="center"/>
          </w:tcPr>
          <w:p w14:paraId="15659267"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-120 738</w:t>
            </w:r>
          </w:p>
        </w:tc>
      </w:tr>
      <w:tr w:rsidR="00C55629" w:rsidRPr="00C55629" w14:paraId="48384E13"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5919DD92"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07 05 02</w:t>
            </w:r>
          </w:p>
        </w:tc>
        <w:tc>
          <w:tcPr>
            <w:tcW w:w="5103" w:type="dxa"/>
            <w:tcBorders>
              <w:top w:val="single" w:sz="4" w:space="0" w:color="auto"/>
              <w:left w:val="single" w:sz="4" w:space="0" w:color="auto"/>
              <w:bottom w:val="single" w:sz="4" w:space="0" w:color="auto"/>
              <w:right w:val="single" w:sz="4" w:space="0" w:color="auto"/>
            </w:tcBorders>
            <w:vAlign w:val="center"/>
          </w:tcPr>
          <w:p w14:paraId="5056009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Media strand</w:t>
            </w:r>
          </w:p>
        </w:tc>
        <w:tc>
          <w:tcPr>
            <w:tcW w:w="1701" w:type="dxa"/>
            <w:tcBorders>
              <w:top w:val="single" w:sz="4" w:space="0" w:color="auto"/>
              <w:left w:val="single" w:sz="4" w:space="0" w:color="auto"/>
              <w:bottom w:val="single" w:sz="4" w:space="0" w:color="auto"/>
              <w:right w:val="single" w:sz="4" w:space="0" w:color="auto"/>
            </w:tcBorders>
            <w:vAlign w:val="center"/>
          </w:tcPr>
          <w:p w14:paraId="0E61261B"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-212 206</w:t>
            </w:r>
          </w:p>
        </w:tc>
        <w:tc>
          <w:tcPr>
            <w:tcW w:w="1701" w:type="dxa"/>
            <w:tcBorders>
              <w:top w:val="single" w:sz="4" w:space="0" w:color="auto"/>
              <w:left w:val="single" w:sz="4" w:space="0" w:color="auto"/>
              <w:bottom w:val="single" w:sz="4" w:space="0" w:color="auto"/>
              <w:right w:val="single" w:sz="4" w:space="0" w:color="auto"/>
            </w:tcBorders>
            <w:vAlign w:val="center"/>
          </w:tcPr>
          <w:p w14:paraId="3FFF825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-212 206</w:t>
            </w:r>
          </w:p>
        </w:tc>
      </w:tr>
      <w:tr w:rsidR="00C55629" w:rsidRPr="00C55629" w14:paraId="6FAA8DD2"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317FC28"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07 05 03</w:t>
            </w:r>
          </w:p>
        </w:tc>
        <w:tc>
          <w:tcPr>
            <w:tcW w:w="5103" w:type="dxa"/>
            <w:tcBorders>
              <w:top w:val="single" w:sz="4" w:space="0" w:color="auto"/>
              <w:left w:val="single" w:sz="4" w:space="0" w:color="auto"/>
              <w:bottom w:val="single" w:sz="4" w:space="0" w:color="auto"/>
              <w:right w:val="single" w:sz="4" w:space="0" w:color="auto"/>
            </w:tcBorders>
            <w:vAlign w:val="center"/>
          </w:tcPr>
          <w:p w14:paraId="3A31486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cross-sectoral strand</w:t>
            </w:r>
          </w:p>
        </w:tc>
        <w:tc>
          <w:tcPr>
            <w:tcW w:w="1701" w:type="dxa"/>
            <w:tcBorders>
              <w:top w:val="single" w:sz="4" w:space="0" w:color="auto"/>
              <w:left w:val="single" w:sz="4" w:space="0" w:color="auto"/>
              <w:bottom w:val="single" w:sz="4" w:space="0" w:color="auto"/>
              <w:right w:val="single" w:sz="4" w:space="0" w:color="auto"/>
            </w:tcBorders>
            <w:vAlign w:val="center"/>
          </w:tcPr>
          <w:p w14:paraId="0FB4326D"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-32 929</w:t>
            </w:r>
          </w:p>
        </w:tc>
        <w:tc>
          <w:tcPr>
            <w:tcW w:w="1701" w:type="dxa"/>
            <w:tcBorders>
              <w:top w:val="single" w:sz="4" w:space="0" w:color="auto"/>
              <w:left w:val="single" w:sz="4" w:space="0" w:color="auto"/>
              <w:bottom w:val="single" w:sz="4" w:space="0" w:color="auto"/>
              <w:right w:val="single" w:sz="4" w:space="0" w:color="auto"/>
            </w:tcBorders>
            <w:vAlign w:val="center"/>
          </w:tcPr>
          <w:p w14:paraId="0EFF3540"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-32 929</w:t>
            </w:r>
          </w:p>
        </w:tc>
      </w:tr>
      <w:tr w:rsidR="00C55629" w:rsidRPr="00C55629" w14:paraId="0F5643E2"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D0FAC9E"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07 01 05 75</w:t>
            </w:r>
          </w:p>
        </w:tc>
        <w:tc>
          <w:tcPr>
            <w:tcW w:w="5103" w:type="dxa"/>
            <w:tcBorders>
              <w:top w:val="single" w:sz="4" w:space="0" w:color="auto"/>
              <w:left w:val="single" w:sz="4" w:space="0" w:color="auto"/>
              <w:bottom w:val="single" w:sz="4" w:space="0" w:color="auto"/>
              <w:right w:val="single" w:sz="4" w:space="0" w:color="auto"/>
            </w:tcBorders>
          </w:tcPr>
          <w:p w14:paraId="5D5E2900"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Education and Culture Executive Agency — Contribution from Citizens, Equality, Rights and Values</w:t>
            </w:r>
          </w:p>
        </w:tc>
        <w:tc>
          <w:tcPr>
            <w:tcW w:w="1701" w:type="dxa"/>
            <w:tcBorders>
              <w:top w:val="single" w:sz="4" w:space="0" w:color="auto"/>
              <w:left w:val="single" w:sz="4" w:space="0" w:color="auto"/>
              <w:bottom w:val="single" w:sz="4" w:space="0" w:color="auto"/>
              <w:right w:val="single" w:sz="4" w:space="0" w:color="auto"/>
            </w:tcBorders>
            <w:vAlign w:val="center"/>
          </w:tcPr>
          <w:p w14:paraId="0057CBBB"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167 077</w:t>
            </w:r>
          </w:p>
        </w:tc>
        <w:tc>
          <w:tcPr>
            <w:tcW w:w="1701" w:type="dxa"/>
            <w:tcBorders>
              <w:top w:val="single" w:sz="4" w:space="0" w:color="auto"/>
              <w:left w:val="single" w:sz="4" w:space="0" w:color="auto"/>
              <w:bottom w:val="single" w:sz="4" w:space="0" w:color="auto"/>
              <w:right w:val="single" w:sz="4" w:space="0" w:color="auto"/>
            </w:tcBorders>
            <w:vAlign w:val="center"/>
          </w:tcPr>
          <w:p w14:paraId="432F7989"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167 077</w:t>
            </w:r>
          </w:p>
        </w:tc>
      </w:tr>
      <w:tr w:rsidR="00C55629" w:rsidRPr="00C55629" w14:paraId="24F74D8E"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B76DF0F"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07 06 04</w:t>
            </w:r>
          </w:p>
        </w:tc>
        <w:tc>
          <w:tcPr>
            <w:tcW w:w="5103" w:type="dxa"/>
            <w:tcBorders>
              <w:top w:val="single" w:sz="4" w:space="0" w:color="auto"/>
              <w:left w:val="single" w:sz="4" w:space="0" w:color="auto"/>
              <w:bottom w:val="single" w:sz="4" w:space="0" w:color="auto"/>
              <w:right w:val="single" w:sz="4" w:space="0" w:color="auto"/>
            </w:tcBorders>
          </w:tcPr>
          <w:p w14:paraId="1A5837DD"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Union values</w:t>
            </w:r>
          </w:p>
        </w:tc>
        <w:tc>
          <w:tcPr>
            <w:tcW w:w="1701" w:type="dxa"/>
            <w:tcBorders>
              <w:top w:val="single" w:sz="4" w:space="0" w:color="auto"/>
              <w:left w:val="single" w:sz="4" w:space="0" w:color="auto"/>
              <w:bottom w:val="single" w:sz="4" w:space="0" w:color="auto"/>
              <w:right w:val="single" w:sz="4" w:space="0" w:color="auto"/>
            </w:tcBorders>
            <w:vAlign w:val="center"/>
          </w:tcPr>
          <w:p w14:paraId="4563E50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-167 077</w:t>
            </w:r>
          </w:p>
        </w:tc>
        <w:tc>
          <w:tcPr>
            <w:tcW w:w="1701" w:type="dxa"/>
            <w:tcBorders>
              <w:top w:val="single" w:sz="4" w:space="0" w:color="auto"/>
              <w:left w:val="single" w:sz="4" w:space="0" w:color="auto"/>
              <w:bottom w:val="single" w:sz="4" w:space="0" w:color="auto"/>
              <w:right w:val="single" w:sz="4" w:space="0" w:color="auto"/>
            </w:tcBorders>
            <w:vAlign w:val="center"/>
          </w:tcPr>
          <w:p w14:paraId="24567C9D"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-167 077</w:t>
            </w:r>
          </w:p>
        </w:tc>
      </w:tr>
      <w:tr w:rsidR="00C55629" w:rsidRPr="00C55629" w14:paraId="73A7017C"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3E67151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08 01 01 72</w:t>
            </w:r>
          </w:p>
        </w:tc>
        <w:tc>
          <w:tcPr>
            <w:tcW w:w="5103" w:type="dxa"/>
            <w:tcBorders>
              <w:top w:val="single" w:sz="4" w:space="0" w:color="auto"/>
              <w:left w:val="single" w:sz="4" w:space="0" w:color="auto"/>
              <w:bottom w:val="single" w:sz="4" w:space="0" w:color="auto"/>
              <w:right w:val="single" w:sz="4" w:space="0" w:color="auto"/>
            </w:tcBorders>
          </w:tcPr>
          <w:p w14:paraId="13A18274"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Research Executive Agency — Contribution from the European Agricultural Guarantee Fund</w:t>
            </w:r>
          </w:p>
        </w:tc>
        <w:tc>
          <w:tcPr>
            <w:tcW w:w="1701" w:type="dxa"/>
            <w:tcBorders>
              <w:top w:val="single" w:sz="4" w:space="0" w:color="auto"/>
              <w:left w:val="single" w:sz="4" w:space="0" w:color="auto"/>
              <w:bottom w:val="single" w:sz="4" w:space="0" w:color="auto"/>
              <w:right w:val="single" w:sz="4" w:space="0" w:color="auto"/>
            </w:tcBorders>
            <w:vAlign w:val="center"/>
          </w:tcPr>
          <w:p w14:paraId="3616673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40 463</w:t>
            </w:r>
          </w:p>
        </w:tc>
        <w:tc>
          <w:tcPr>
            <w:tcW w:w="1701" w:type="dxa"/>
            <w:tcBorders>
              <w:top w:val="single" w:sz="4" w:space="0" w:color="auto"/>
              <w:left w:val="single" w:sz="4" w:space="0" w:color="auto"/>
              <w:bottom w:val="single" w:sz="4" w:space="0" w:color="auto"/>
              <w:right w:val="single" w:sz="4" w:space="0" w:color="auto"/>
            </w:tcBorders>
            <w:vAlign w:val="center"/>
          </w:tcPr>
          <w:p w14:paraId="1482A956"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40 463</w:t>
            </w:r>
          </w:p>
        </w:tc>
      </w:tr>
      <w:tr w:rsidR="00C55629" w:rsidRPr="00C55629" w14:paraId="28F24E1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68F0E98E"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08 02 04 01</w:t>
            </w:r>
          </w:p>
        </w:tc>
        <w:tc>
          <w:tcPr>
            <w:tcW w:w="5103" w:type="dxa"/>
            <w:tcBorders>
              <w:top w:val="single" w:sz="4" w:space="0" w:color="auto"/>
              <w:left w:val="single" w:sz="4" w:space="0" w:color="auto"/>
              <w:bottom w:val="single" w:sz="4" w:space="0" w:color="auto"/>
              <w:right w:val="single" w:sz="4" w:space="0" w:color="auto"/>
            </w:tcBorders>
          </w:tcPr>
          <w:p w14:paraId="7D3CE1FF"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Basic income support for sustainability</w:t>
            </w:r>
          </w:p>
        </w:tc>
        <w:tc>
          <w:tcPr>
            <w:tcW w:w="1701" w:type="dxa"/>
            <w:tcBorders>
              <w:top w:val="single" w:sz="4" w:space="0" w:color="auto"/>
              <w:left w:val="single" w:sz="4" w:space="0" w:color="auto"/>
              <w:bottom w:val="single" w:sz="4" w:space="0" w:color="auto"/>
              <w:right w:val="single" w:sz="4" w:space="0" w:color="auto"/>
            </w:tcBorders>
            <w:vAlign w:val="center"/>
          </w:tcPr>
          <w:p w14:paraId="23B6E5AE"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-40 463</w:t>
            </w:r>
          </w:p>
        </w:tc>
        <w:tc>
          <w:tcPr>
            <w:tcW w:w="1701" w:type="dxa"/>
            <w:tcBorders>
              <w:top w:val="single" w:sz="4" w:space="0" w:color="auto"/>
              <w:left w:val="single" w:sz="4" w:space="0" w:color="auto"/>
              <w:bottom w:val="single" w:sz="4" w:space="0" w:color="auto"/>
              <w:right w:val="single" w:sz="4" w:space="0" w:color="auto"/>
            </w:tcBorders>
            <w:vAlign w:val="center"/>
          </w:tcPr>
          <w:p w14:paraId="3A96095F"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-40 463</w:t>
            </w:r>
          </w:p>
        </w:tc>
      </w:tr>
      <w:tr w:rsidR="00C55629" w:rsidRPr="00C55629" w14:paraId="23485CE3"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2AA9441"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08 01 02</w:t>
            </w:r>
          </w:p>
        </w:tc>
        <w:tc>
          <w:tcPr>
            <w:tcW w:w="5103" w:type="dxa"/>
            <w:tcBorders>
              <w:top w:val="single" w:sz="4" w:space="0" w:color="auto"/>
              <w:left w:val="single" w:sz="4" w:space="0" w:color="auto"/>
              <w:bottom w:val="single" w:sz="4" w:space="0" w:color="auto"/>
              <w:right w:val="single" w:sz="4" w:space="0" w:color="auto"/>
            </w:tcBorders>
          </w:tcPr>
          <w:p w14:paraId="150681E5"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Support expenditure for the European Agricultural Fund for Rural Development</w:t>
            </w:r>
          </w:p>
        </w:tc>
        <w:tc>
          <w:tcPr>
            <w:tcW w:w="1701" w:type="dxa"/>
            <w:tcBorders>
              <w:top w:val="single" w:sz="4" w:space="0" w:color="auto"/>
              <w:left w:val="single" w:sz="4" w:space="0" w:color="auto"/>
              <w:bottom w:val="single" w:sz="4" w:space="0" w:color="auto"/>
              <w:right w:val="single" w:sz="4" w:space="0" w:color="auto"/>
            </w:tcBorders>
            <w:vAlign w:val="center"/>
          </w:tcPr>
          <w:p w14:paraId="35B1E078"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45 484</w:t>
            </w:r>
          </w:p>
        </w:tc>
        <w:tc>
          <w:tcPr>
            <w:tcW w:w="1701" w:type="dxa"/>
            <w:tcBorders>
              <w:top w:val="single" w:sz="4" w:space="0" w:color="auto"/>
              <w:left w:val="single" w:sz="4" w:space="0" w:color="auto"/>
              <w:bottom w:val="single" w:sz="4" w:space="0" w:color="auto"/>
              <w:right w:val="single" w:sz="4" w:space="0" w:color="auto"/>
            </w:tcBorders>
            <w:vAlign w:val="center"/>
          </w:tcPr>
          <w:p w14:paraId="03FD30DE"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45 484</w:t>
            </w:r>
          </w:p>
        </w:tc>
      </w:tr>
      <w:tr w:rsidR="00C55629" w:rsidRPr="00C55629" w14:paraId="2DB0A6BD"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A2038B3"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08 03 02</w:t>
            </w:r>
          </w:p>
        </w:tc>
        <w:tc>
          <w:tcPr>
            <w:tcW w:w="5103" w:type="dxa"/>
            <w:tcBorders>
              <w:top w:val="single" w:sz="4" w:space="0" w:color="auto"/>
              <w:left w:val="single" w:sz="4" w:space="0" w:color="auto"/>
              <w:bottom w:val="single" w:sz="4" w:space="0" w:color="auto"/>
              <w:right w:val="single" w:sz="4" w:space="0" w:color="auto"/>
            </w:tcBorders>
          </w:tcPr>
          <w:p w14:paraId="312BE267"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Agricultural Fund for Rural Development (EAFRD) — Operational technical assistance</w:t>
            </w:r>
          </w:p>
        </w:tc>
        <w:tc>
          <w:tcPr>
            <w:tcW w:w="1701" w:type="dxa"/>
            <w:tcBorders>
              <w:top w:val="single" w:sz="4" w:space="0" w:color="auto"/>
              <w:left w:val="single" w:sz="4" w:space="0" w:color="auto"/>
              <w:bottom w:val="single" w:sz="4" w:space="0" w:color="auto"/>
              <w:right w:val="single" w:sz="4" w:space="0" w:color="auto"/>
            </w:tcBorders>
            <w:vAlign w:val="center"/>
          </w:tcPr>
          <w:p w14:paraId="7B9945CF"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-45 484</w:t>
            </w:r>
          </w:p>
        </w:tc>
        <w:tc>
          <w:tcPr>
            <w:tcW w:w="1701" w:type="dxa"/>
            <w:tcBorders>
              <w:top w:val="single" w:sz="4" w:space="0" w:color="auto"/>
              <w:left w:val="single" w:sz="4" w:space="0" w:color="auto"/>
              <w:bottom w:val="single" w:sz="4" w:space="0" w:color="auto"/>
              <w:right w:val="single" w:sz="4" w:space="0" w:color="auto"/>
            </w:tcBorders>
            <w:vAlign w:val="center"/>
          </w:tcPr>
          <w:p w14:paraId="4217FF79"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lang w:val="en-GB" w:eastAsia="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-45 484</w:t>
            </w:r>
          </w:p>
        </w:tc>
      </w:tr>
      <w:tr w:rsidR="00C55629" w:rsidRPr="00C55629" w14:paraId="01C2E5D7"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6CF97C12"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08 01 03 74</w:t>
            </w:r>
          </w:p>
        </w:tc>
        <w:tc>
          <w:tcPr>
            <w:tcW w:w="5103" w:type="dxa"/>
            <w:tcBorders>
              <w:top w:val="single" w:sz="4" w:space="0" w:color="auto"/>
              <w:left w:val="single" w:sz="4" w:space="0" w:color="auto"/>
              <w:bottom w:val="single" w:sz="4" w:space="0" w:color="auto"/>
              <w:right w:val="single" w:sz="4" w:space="0" w:color="auto"/>
            </w:tcBorders>
          </w:tcPr>
          <w:p w14:paraId="3A19AF75"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the European Maritime, Fisheries and Aquaculture Fund</w:t>
            </w:r>
          </w:p>
        </w:tc>
        <w:tc>
          <w:tcPr>
            <w:tcW w:w="1701" w:type="dxa"/>
            <w:tcBorders>
              <w:top w:val="single" w:sz="4" w:space="0" w:color="auto"/>
              <w:left w:val="single" w:sz="4" w:space="0" w:color="auto"/>
              <w:bottom w:val="single" w:sz="4" w:space="0" w:color="auto"/>
              <w:right w:val="single" w:sz="4" w:space="0" w:color="auto"/>
            </w:tcBorders>
            <w:vAlign w:val="center"/>
          </w:tcPr>
          <w:p w14:paraId="066CEB28"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91 422</w:t>
            </w:r>
          </w:p>
        </w:tc>
        <w:tc>
          <w:tcPr>
            <w:tcW w:w="1701" w:type="dxa"/>
            <w:tcBorders>
              <w:top w:val="single" w:sz="4" w:space="0" w:color="auto"/>
              <w:left w:val="single" w:sz="4" w:space="0" w:color="auto"/>
              <w:bottom w:val="single" w:sz="4" w:space="0" w:color="auto"/>
              <w:right w:val="single" w:sz="4" w:space="0" w:color="auto"/>
            </w:tcBorders>
            <w:vAlign w:val="center"/>
          </w:tcPr>
          <w:p w14:paraId="1B86143B"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91 422</w:t>
            </w:r>
          </w:p>
        </w:tc>
      </w:tr>
      <w:tr w:rsidR="00C55629" w:rsidRPr="00C55629" w14:paraId="22B39485"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CF82ABF"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08 04 03</w:t>
            </w:r>
          </w:p>
        </w:tc>
        <w:tc>
          <w:tcPr>
            <w:tcW w:w="5103" w:type="dxa"/>
            <w:tcBorders>
              <w:top w:val="single" w:sz="4" w:space="0" w:color="auto"/>
              <w:left w:val="single" w:sz="4" w:space="0" w:color="auto"/>
              <w:bottom w:val="single" w:sz="4" w:space="0" w:color="auto"/>
              <w:right w:val="single" w:sz="4" w:space="0" w:color="auto"/>
            </w:tcBorders>
          </w:tcPr>
          <w:p w14:paraId="478C995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Maritime, Fisheries and Aquaculture Fund (EMFAF) — Operational technical assistance</w:t>
            </w:r>
          </w:p>
        </w:tc>
        <w:tc>
          <w:tcPr>
            <w:tcW w:w="1701" w:type="dxa"/>
            <w:tcBorders>
              <w:top w:val="single" w:sz="4" w:space="0" w:color="auto"/>
              <w:left w:val="single" w:sz="4" w:space="0" w:color="auto"/>
              <w:bottom w:val="single" w:sz="4" w:space="0" w:color="auto"/>
              <w:right w:val="single" w:sz="4" w:space="0" w:color="auto"/>
            </w:tcBorders>
            <w:vAlign w:val="center"/>
          </w:tcPr>
          <w:p w14:paraId="77E44333"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-91 422</w:t>
            </w:r>
          </w:p>
        </w:tc>
        <w:tc>
          <w:tcPr>
            <w:tcW w:w="1701" w:type="dxa"/>
            <w:tcBorders>
              <w:top w:val="single" w:sz="4" w:space="0" w:color="auto"/>
              <w:left w:val="single" w:sz="4" w:space="0" w:color="auto"/>
              <w:bottom w:val="single" w:sz="4" w:space="0" w:color="auto"/>
              <w:right w:val="single" w:sz="4" w:space="0" w:color="auto"/>
            </w:tcBorders>
            <w:vAlign w:val="center"/>
          </w:tcPr>
          <w:p w14:paraId="0AF2E12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-91 422</w:t>
            </w:r>
          </w:p>
        </w:tc>
      </w:tr>
      <w:tr w:rsidR="00C55629" w:rsidRPr="00C55629" w14:paraId="487616C0"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5E556A83"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09 01 01 74</w:t>
            </w:r>
          </w:p>
        </w:tc>
        <w:tc>
          <w:tcPr>
            <w:tcW w:w="5103" w:type="dxa"/>
            <w:tcBorders>
              <w:top w:val="single" w:sz="4" w:space="0" w:color="auto"/>
              <w:left w:val="single" w:sz="4" w:space="0" w:color="auto"/>
              <w:bottom w:val="single" w:sz="4" w:space="0" w:color="auto"/>
              <w:right w:val="single" w:sz="4" w:space="0" w:color="auto"/>
            </w:tcBorders>
          </w:tcPr>
          <w:p w14:paraId="0DE40646"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the Programme for Environment and Climate Action (LIFE)</w:t>
            </w:r>
          </w:p>
        </w:tc>
        <w:tc>
          <w:tcPr>
            <w:tcW w:w="1701" w:type="dxa"/>
            <w:tcBorders>
              <w:top w:val="single" w:sz="4" w:space="0" w:color="auto"/>
              <w:left w:val="single" w:sz="4" w:space="0" w:color="auto"/>
              <w:bottom w:val="single" w:sz="4" w:space="0" w:color="auto"/>
              <w:right w:val="single" w:sz="4" w:space="0" w:color="auto"/>
            </w:tcBorders>
            <w:vAlign w:val="center"/>
          </w:tcPr>
          <w:p w14:paraId="7FD1675E"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327 107</w:t>
            </w:r>
          </w:p>
        </w:tc>
        <w:tc>
          <w:tcPr>
            <w:tcW w:w="1701" w:type="dxa"/>
            <w:tcBorders>
              <w:top w:val="single" w:sz="4" w:space="0" w:color="auto"/>
              <w:left w:val="single" w:sz="4" w:space="0" w:color="auto"/>
              <w:bottom w:val="single" w:sz="4" w:space="0" w:color="auto"/>
              <w:right w:val="single" w:sz="4" w:space="0" w:color="auto"/>
            </w:tcBorders>
            <w:vAlign w:val="center"/>
          </w:tcPr>
          <w:p w14:paraId="1F778D57"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327 107</w:t>
            </w:r>
          </w:p>
        </w:tc>
      </w:tr>
      <w:tr w:rsidR="00C55629" w:rsidRPr="00C55629" w14:paraId="66FE8F8B"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75539CE9"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highlight w:val="yellow"/>
                <w:lang w:val="en-GB"/>
                <w14:ligatures w14:val="none"/>
              </w:rPr>
            </w:pPr>
            <w:r w:rsidRPr="00C55629">
              <w:rPr>
                <w:rFonts w:ascii="Times New Roman" w:eastAsia="Times New Roman" w:hAnsi="Times New Roman" w:cs="Times New Roman"/>
                <w:noProof/>
                <w:kern w:val="0"/>
                <w:sz w:val="16"/>
                <w:szCs w:val="16"/>
                <w:lang w:val="en-GB" w:eastAsia="en-GB"/>
                <w14:ligatures w14:val="none"/>
              </w:rPr>
              <w:t>09 02 01</w:t>
            </w:r>
          </w:p>
        </w:tc>
        <w:tc>
          <w:tcPr>
            <w:tcW w:w="5103" w:type="dxa"/>
            <w:tcBorders>
              <w:top w:val="single" w:sz="4" w:space="0" w:color="auto"/>
              <w:left w:val="single" w:sz="4" w:space="0" w:color="auto"/>
              <w:bottom w:val="single" w:sz="4" w:space="0" w:color="auto"/>
              <w:right w:val="single" w:sz="4" w:space="0" w:color="auto"/>
            </w:tcBorders>
          </w:tcPr>
          <w:p w14:paraId="23B79CB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highlight w:val="yellow"/>
                <w:lang w:val="en-GB"/>
                <w14:ligatures w14:val="none"/>
              </w:rPr>
            </w:pPr>
            <w:r w:rsidRPr="00C55629">
              <w:rPr>
                <w:rFonts w:ascii="Times New Roman" w:eastAsia="Times New Roman" w:hAnsi="Times New Roman" w:cs="Times New Roman"/>
                <w:noProof/>
                <w:kern w:val="0"/>
                <w:sz w:val="16"/>
                <w:szCs w:val="16"/>
                <w:lang w:val="en-GB" w:eastAsia="en-GB"/>
                <w14:ligatures w14:val="none"/>
              </w:rPr>
              <w:t>Nature and biodiversity</w:t>
            </w:r>
          </w:p>
        </w:tc>
        <w:tc>
          <w:tcPr>
            <w:tcW w:w="1701" w:type="dxa"/>
            <w:tcBorders>
              <w:top w:val="single" w:sz="4" w:space="0" w:color="auto"/>
              <w:left w:val="single" w:sz="4" w:space="0" w:color="auto"/>
              <w:bottom w:val="single" w:sz="4" w:space="0" w:color="auto"/>
              <w:right w:val="single" w:sz="4" w:space="0" w:color="auto"/>
            </w:tcBorders>
          </w:tcPr>
          <w:p w14:paraId="56030A7E"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highlight w:val="yellow"/>
                <w:lang w:val="en-GB"/>
                <w14:ligatures w14:val="none"/>
              </w:rPr>
            </w:pPr>
            <w:r w:rsidRPr="00C55629">
              <w:rPr>
                <w:rFonts w:ascii="Times New Roman" w:eastAsia="Times New Roman" w:hAnsi="Times New Roman" w:cs="Times New Roman"/>
                <w:noProof/>
                <w:kern w:val="0"/>
                <w:sz w:val="16"/>
                <w:szCs w:val="16"/>
                <w:lang w:val="en-GB" w:eastAsia="en-GB"/>
                <w14:ligatures w14:val="none"/>
              </w:rPr>
              <w:t>-90 517</w:t>
            </w:r>
          </w:p>
        </w:tc>
        <w:tc>
          <w:tcPr>
            <w:tcW w:w="1701" w:type="dxa"/>
            <w:tcBorders>
              <w:top w:val="single" w:sz="4" w:space="0" w:color="auto"/>
              <w:left w:val="single" w:sz="4" w:space="0" w:color="auto"/>
              <w:bottom w:val="single" w:sz="4" w:space="0" w:color="auto"/>
              <w:right w:val="single" w:sz="4" w:space="0" w:color="auto"/>
            </w:tcBorders>
          </w:tcPr>
          <w:p w14:paraId="4DB65598"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highlight w:val="yellow"/>
                <w:lang w:val="en-GB"/>
                <w14:ligatures w14:val="none"/>
              </w:rPr>
            </w:pPr>
            <w:r w:rsidRPr="00C55629">
              <w:rPr>
                <w:rFonts w:ascii="Times New Roman" w:eastAsia="Times New Roman" w:hAnsi="Times New Roman" w:cs="Times New Roman"/>
                <w:noProof/>
                <w:kern w:val="0"/>
                <w:sz w:val="16"/>
                <w:szCs w:val="16"/>
                <w:lang w:val="en-GB" w:eastAsia="en-GB"/>
                <w14:ligatures w14:val="none"/>
              </w:rPr>
              <w:t>-90 517</w:t>
            </w:r>
          </w:p>
        </w:tc>
      </w:tr>
      <w:tr w:rsidR="00C55629" w:rsidRPr="00C55629" w14:paraId="3B966C0D"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ED5B3D8"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09 02 02</w:t>
            </w:r>
          </w:p>
        </w:tc>
        <w:tc>
          <w:tcPr>
            <w:tcW w:w="5103" w:type="dxa"/>
            <w:tcBorders>
              <w:top w:val="single" w:sz="4" w:space="0" w:color="auto"/>
              <w:left w:val="single" w:sz="4" w:space="0" w:color="auto"/>
              <w:bottom w:val="single" w:sz="4" w:space="0" w:color="auto"/>
              <w:right w:val="single" w:sz="4" w:space="0" w:color="auto"/>
            </w:tcBorders>
          </w:tcPr>
          <w:p w14:paraId="776131F8"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Circular economy and quality of life</w:t>
            </w:r>
          </w:p>
        </w:tc>
        <w:tc>
          <w:tcPr>
            <w:tcW w:w="1701" w:type="dxa"/>
            <w:tcBorders>
              <w:top w:val="single" w:sz="4" w:space="0" w:color="auto"/>
              <w:left w:val="single" w:sz="4" w:space="0" w:color="auto"/>
              <w:bottom w:val="single" w:sz="4" w:space="0" w:color="auto"/>
              <w:right w:val="single" w:sz="4" w:space="0" w:color="auto"/>
            </w:tcBorders>
          </w:tcPr>
          <w:p w14:paraId="66C6E264"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-55 080</w:t>
            </w:r>
          </w:p>
        </w:tc>
        <w:tc>
          <w:tcPr>
            <w:tcW w:w="1701" w:type="dxa"/>
            <w:tcBorders>
              <w:top w:val="single" w:sz="4" w:space="0" w:color="auto"/>
              <w:left w:val="single" w:sz="4" w:space="0" w:color="auto"/>
              <w:bottom w:val="single" w:sz="4" w:space="0" w:color="auto"/>
              <w:right w:val="single" w:sz="4" w:space="0" w:color="auto"/>
            </w:tcBorders>
          </w:tcPr>
          <w:p w14:paraId="76E7F45C"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-55 080</w:t>
            </w:r>
          </w:p>
        </w:tc>
      </w:tr>
      <w:tr w:rsidR="00C55629" w:rsidRPr="00C55629" w14:paraId="3FBF23D5"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14BC07AA"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09 02 03</w:t>
            </w:r>
          </w:p>
        </w:tc>
        <w:tc>
          <w:tcPr>
            <w:tcW w:w="5103" w:type="dxa"/>
            <w:tcBorders>
              <w:top w:val="single" w:sz="4" w:space="0" w:color="auto"/>
              <w:left w:val="single" w:sz="4" w:space="0" w:color="auto"/>
              <w:bottom w:val="single" w:sz="4" w:space="0" w:color="auto"/>
              <w:right w:val="single" w:sz="4" w:space="0" w:color="auto"/>
            </w:tcBorders>
          </w:tcPr>
          <w:p w14:paraId="0C7ECF8A"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Climate change mitigation and adaptation</w:t>
            </w:r>
          </w:p>
        </w:tc>
        <w:tc>
          <w:tcPr>
            <w:tcW w:w="1701" w:type="dxa"/>
            <w:tcBorders>
              <w:top w:val="single" w:sz="4" w:space="0" w:color="auto"/>
              <w:left w:val="single" w:sz="4" w:space="0" w:color="auto"/>
              <w:bottom w:val="single" w:sz="4" w:space="0" w:color="auto"/>
              <w:right w:val="single" w:sz="4" w:space="0" w:color="auto"/>
            </w:tcBorders>
          </w:tcPr>
          <w:p w14:paraId="77EC9F3F"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-33 586</w:t>
            </w:r>
          </w:p>
        </w:tc>
        <w:tc>
          <w:tcPr>
            <w:tcW w:w="1701" w:type="dxa"/>
            <w:tcBorders>
              <w:top w:val="single" w:sz="4" w:space="0" w:color="auto"/>
              <w:left w:val="single" w:sz="4" w:space="0" w:color="auto"/>
              <w:bottom w:val="single" w:sz="4" w:space="0" w:color="auto"/>
              <w:right w:val="single" w:sz="4" w:space="0" w:color="auto"/>
            </w:tcBorders>
          </w:tcPr>
          <w:p w14:paraId="4BA623FB"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-33 586</w:t>
            </w:r>
          </w:p>
        </w:tc>
      </w:tr>
      <w:tr w:rsidR="00C55629" w:rsidRPr="00C55629" w14:paraId="1EE66D49"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22CE7F71"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09 02 04</w:t>
            </w:r>
          </w:p>
        </w:tc>
        <w:tc>
          <w:tcPr>
            <w:tcW w:w="5103" w:type="dxa"/>
            <w:tcBorders>
              <w:top w:val="single" w:sz="4" w:space="0" w:color="auto"/>
              <w:left w:val="single" w:sz="4" w:space="0" w:color="auto"/>
              <w:bottom w:val="single" w:sz="4" w:space="0" w:color="auto"/>
              <w:right w:val="single" w:sz="4" w:space="0" w:color="auto"/>
            </w:tcBorders>
          </w:tcPr>
          <w:p w14:paraId="66FBDC74" w14:textId="77777777" w:rsidR="00C55629" w:rsidRPr="00C55629" w:rsidRDefault="00C55629" w:rsidP="00C55629">
            <w:pPr>
              <w:widowControl w:val="0"/>
              <w:spacing w:before="15" w:after="15"/>
              <w:ind w:right="-113"/>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Clean energy transition</w:t>
            </w:r>
          </w:p>
        </w:tc>
        <w:tc>
          <w:tcPr>
            <w:tcW w:w="1701" w:type="dxa"/>
            <w:tcBorders>
              <w:top w:val="single" w:sz="4" w:space="0" w:color="auto"/>
              <w:left w:val="single" w:sz="4" w:space="0" w:color="auto"/>
              <w:bottom w:val="single" w:sz="4" w:space="0" w:color="auto"/>
              <w:right w:val="single" w:sz="4" w:space="0" w:color="auto"/>
            </w:tcBorders>
          </w:tcPr>
          <w:p w14:paraId="67453624"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-147 924</w:t>
            </w:r>
          </w:p>
        </w:tc>
        <w:tc>
          <w:tcPr>
            <w:tcW w:w="1701" w:type="dxa"/>
            <w:tcBorders>
              <w:top w:val="single" w:sz="4" w:space="0" w:color="auto"/>
              <w:left w:val="single" w:sz="4" w:space="0" w:color="auto"/>
              <w:bottom w:val="single" w:sz="4" w:space="0" w:color="auto"/>
              <w:right w:val="single" w:sz="4" w:space="0" w:color="auto"/>
            </w:tcBorders>
          </w:tcPr>
          <w:p w14:paraId="653AE169" w14:textId="77777777" w:rsidR="00C55629" w:rsidRPr="00C55629" w:rsidRDefault="00C55629" w:rsidP="00C55629">
            <w:pPr>
              <w:widowControl w:val="0"/>
              <w:spacing w:before="15" w:after="15"/>
              <w:jc w:val="right"/>
              <w:rPr>
                <w:rFonts w:ascii="Times New Roman" w:eastAsia="Times New Roman" w:hAnsi="Times New Roman" w:cs="Times New Roman"/>
                <w:noProof/>
                <w:color w:val="000000"/>
                <w:kern w:val="0"/>
                <w:sz w:val="16"/>
                <w:szCs w:val="16"/>
                <w:highlight w:val="yellow"/>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-147 924</w:t>
            </w:r>
          </w:p>
        </w:tc>
      </w:tr>
      <w:tr w:rsidR="00C55629" w:rsidRPr="00C55629" w14:paraId="45059476"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8FB51D4"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13 01 02 01</w:t>
            </w:r>
          </w:p>
        </w:tc>
        <w:tc>
          <w:tcPr>
            <w:tcW w:w="5103" w:type="dxa"/>
            <w:tcBorders>
              <w:top w:val="single" w:sz="4" w:space="0" w:color="auto"/>
              <w:left w:val="single" w:sz="4" w:space="0" w:color="auto"/>
              <w:bottom w:val="single" w:sz="4" w:space="0" w:color="auto"/>
              <w:right w:val="single" w:sz="4" w:space="0" w:color="auto"/>
            </w:tcBorders>
          </w:tcPr>
          <w:p w14:paraId="2C7EF05C"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Expenditure related to officials and temporary staff implementing the European Defence Fund — Research</w:t>
            </w:r>
          </w:p>
        </w:tc>
        <w:tc>
          <w:tcPr>
            <w:tcW w:w="1701" w:type="dxa"/>
            <w:tcBorders>
              <w:top w:val="single" w:sz="4" w:space="0" w:color="auto"/>
              <w:left w:val="single" w:sz="4" w:space="0" w:color="auto"/>
              <w:bottom w:val="single" w:sz="4" w:space="0" w:color="auto"/>
              <w:right w:val="single" w:sz="4" w:space="0" w:color="auto"/>
            </w:tcBorders>
            <w:vAlign w:val="center"/>
          </w:tcPr>
          <w:p w14:paraId="1CD7B1B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152 719</w:t>
            </w:r>
          </w:p>
        </w:tc>
        <w:tc>
          <w:tcPr>
            <w:tcW w:w="1701" w:type="dxa"/>
            <w:tcBorders>
              <w:top w:val="single" w:sz="4" w:space="0" w:color="auto"/>
              <w:left w:val="single" w:sz="4" w:space="0" w:color="auto"/>
              <w:bottom w:val="single" w:sz="4" w:space="0" w:color="auto"/>
              <w:right w:val="single" w:sz="4" w:space="0" w:color="auto"/>
            </w:tcBorders>
            <w:vAlign w:val="center"/>
          </w:tcPr>
          <w:p w14:paraId="19C8BCF4"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152 719</w:t>
            </w:r>
          </w:p>
        </w:tc>
      </w:tr>
      <w:tr w:rsidR="00C55629" w:rsidRPr="00C55629" w14:paraId="565A09A6"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21D5913"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13 01 02 02</w:t>
            </w:r>
          </w:p>
        </w:tc>
        <w:tc>
          <w:tcPr>
            <w:tcW w:w="5103" w:type="dxa"/>
            <w:tcBorders>
              <w:top w:val="single" w:sz="4" w:space="0" w:color="auto"/>
              <w:left w:val="single" w:sz="4" w:space="0" w:color="auto"/>
              <w:bottom w:val="single" w:sz="4" w:space="0" w:color="auto"/>
              <w:right w:val="single" w:sz="4" w:space="0" w:color="auto"/>
            </w:tcBorders>
          </w:tcPr>
          <w:p w14:paraId="3AEED816"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External personnel implementing the European Defence Fund — Research</w:t>
            </w:r>
          </w:p>
        </w:tc>
        <w:tc>
          <w:tcPr>
            <w:tcW w:w="1701" w:type="dxa"/>
            <w:tcBorders>
              <w:top w:val="single" w:sz="4" w:space="0" w:color="auto"/>
              <w:left w:val="single" w:sz="4" w:space="0" w:color="auto"/>
              <w:bottom w:val="single" w:sz="4" w:space="0" w:color="auto"/>
              <w:right w:val="single" w:sz="4" w:space="0" w:color="auto"/>
            </w:tcBorders>
            <w:vAlign w:val="center"/>
          </w:tcPr>
          <w:p w14:paraId="77E4A7F2"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42 299</w:t>
            </w:r>
          </w:p>
        </w:tc>
        <w:tc>
          <w:tcPr>
            <w:tcW w:w="1701" w:type="dxa"/>
            <w:tcBorders>
              <w:top w:val="single" w:sz="4" w:space="0" w:color="auto"/>
              <w:left w:val="single" w:sz="4" w:space="0" w:color="auto"/>
              <w:bottom w:val="single" w:sz="4" w:space="0" w:color="auto"/>
              <w:right w:val="single" w:sz="4" w:space="0" w:color="auto"/>
            </w:tcBorders>
            <w:vAlign w:val="center"/>
          </w:tcPr>
          <w:p w14:paraId="1A0BEB99"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42 299</w:t>
            </w:r>
          </w:p>
        </w:tc>
      </w:tr>
      <w:tr w:rsidR="00C55629" w:rsidRPr="00C55629" w14:paraId="730C7AEA"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57310091"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13 03 01</w:t>
            </w:r>
          </w:p>
        </w:tc>
        <w:tc>
          <w:tcPr>
            <w:tcW w:w="5103" w:type="dxa"/>
            <w:tcBorders>
              <w:top w:val="single" w:sz="4" w:space="0" w:color="auto"/>
              <w:left w:val="single" w:sz="4" w:space="0" w:color="auto"/>
              <w:bottom w:val="single" w:sz="4" w:space="0" w:color="auto"/>
              <w:right w:val="single" w:sz="4" w:space="0" w:color="auto"/>
            </w:tcBorders>
          </w:tcPr>
          <w:p w14:paraId="0DEF9DA9"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Defence Research</w:t>
            </w:r>
          </w:p>
        </w:tc>
        <w:tc>
          <w:tcPr>
            <w:tcW w:w="1701" w:type="dxa"/>
            <w:tcBorders>
              <w:top w:val="single" w:sz="4" w:space="0" w:color="auto"/>
              <w:left w:val="single" w:sz="4" w:space="0" w:color="auto"/>
              <w:bottom w:val="single" w:sz="4" w:space="0" w:color="auto"/>
              <w:right w:val="single" w:sz="4" w:space="0" w:color="auto"/>
            </w:tcBorders>
            <w:vAlign w:val="center"/>
          </w:tcPr>
          <w:p w14:paraId="3C800DD9"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-195 018</w:t>
            </w:r>
          </w:p>
        </w:tc>
        <w:tc>
          <w:tcPr>
            <w:tcW w:w="1701" w:type="dxa"/>
            <w:tcBorders>
              <w:top w:val="single" w:sz="4" w:space="0" w:color="auto"/>
              <w:left w:val="single" w:sz="4" w:space="0" w:color="auto"/>
              <w:bottom w:val="single" w:sz="4" w:space="0" w:color="auto"/>
              <w:right w:val="single" w:sz="4" w:space="0" w:color="auto"/>
            </w:tcBorders>
            <w:vAlign w:val="center"/>
          </w:tcPr>
          <w:p w14:paraId="17A0132E"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-195 018</w:t>
            </w:r>
          </w:p>
        </w:tc>
      </w:tr>
      <w:tr w:rsidR="00C55629" w:rsidRPr="00C55629" w14:paraId="147C5EFB"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40D44D7B"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13 01 03 74</w:t>
            </w:r>
          </w:p>
        </w:tc>
        <w:tc>
          <w:tcPr>
            <w:tcW w:w="5103" w:type="dxa"/>
            <w:tcBorders>
              <w:top w:val="single" w:sz="4" w:space="0" w:color="auto"/>
              <w:left w:val="single" w:sz="4" w:space="0" w:color="auto"/>
              <w:bottom w:val="single" w:sz="4" w:space="0" w:color="auto"/>
              <w:right w:val="single" w:sz="4" w:space="0" w:color="auto"/>
            </w:tcBorders>
          </w:tcPr>
          <w:p w14:paraId="2BAD45DF"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European Climate, Infrastructure and Environment Executive Agency — Contribution from Connecting Europe Facility (Transport) for military mobility</w:t>
            </w:r>
          </w:p>
        </w:tc>
        <w:tc>
          <w:tcPr>
            <w:tcW w:w="1701" w:type="dxa"/>
            <w:tcBorders>
              <w:top w:val="single" w:sz="4" w:space="0" w:color="auto"/>
              <w:left w:val="single" w:sz="4" w:space="0" w:color="auto"/>
              <w:bottom w:val="single" w:sz="4" w:space="0" w:color="auto"/>
              <w:right w:val="single" w:sz="4" w:space="0" w:color="auto"/>
            </w:tcBorders>
            <w:vAlign w:val="center"/>
          </w:tcPr>
          <w:p w14:paraId="315E3BD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19 621</w:t>
            </w:r>
          </w:p>
        </w:tc>
        <w:tc>
          <w:tcPr>
            <w:tcW w:w="1701" w:type="dxa"/>
            <w:tcBorders>
              <w:top w:val="single" w:sz="4" w:space="0" w:color="auto"/>
              <w:left w:val="single" w:sz="4" w:space="0" w:color="auto"/>
              <w:bottom w:val="single" w:sz="4" w:space="0" w:color="auto"/>
              <w:right w:val="single" w:sz="4" w:space="0" w:color="auto"/>
            </w:tcBorders>
            <w:vAlign w:val="center"/>
          </w:tcPr>
          <w:p w14:paraId="072AEABF"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19 621</w:t>
            </w:r>
          </w:p>
        </w:tc>
      </w:tr>
      <w:tr w:rsidR="00C55629" w:rsidRPr="00C55629" w14:paraId="1F5E9245" w14:textId="77777777" w:rsidTr="0028479A">
        <w:trPr>
          <w:trHeight w:val="300"/>
          <w:jc w:val="center"/>
        </w:trPr>
        <w:tc>
          <w:tcPr>
            <w:tcW w:w="1276" w:type="dxa"/>
            <w:tcBorders>
              <w:top w:val="single" w:sz="4" w:space="0" w:color="auto"/>
              <w:left w:val="single" w:sz="4" w:space="0" w:color="auto"/>
              <w:bottom w:val="single" w:sz="4" w:space="0" w:color="auto"/>
              <w:right w:val="single" w:sz="4" w:space="0" w:color="auto"/>
            </w:tcBorders>
          </w:tcPr>
          <w:p w14:paraId="02548281"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13 04 01</w:t>
            </w:r>
          </w:p>
        </w:tc>
        <w:tc>
          <w:tcPr>
            <w:tcW w:w="5103" w:type="dxa"/>
            <w:tcBorders>
              <w:top w:val="single" w:sz="4" w:space="0" w:color="auto"/>
              <w:left w:val="single" w:sz="4" w:space="0" w:color="auto"/>
              <w:bottom w:val="single" w:sz="4" w:space="0" w:color="auto"/>
              <w:right w:val="single" w:sz="4" w:space="0" w:color="auto"/>
            </w:tcBorders>
          </w:tcPr>
          <w:p w14:paraId="7F1F2EA1" w14:textId="77777777" w:rsidR="00C55629" w:rsidRPr="00C55629" w:rsidRDefault="00C55629" w:rsidP="00C55629">
            <w:pPr>
              <w:widowControl w:val="0"/>
              <w:spacing w:before="15" w:after="15"/>
              <w:ind w:right="-113"/>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Military mobility</w:t>
            </w:r>
          </w:p>
        </w:tc>
        <w:tc>
          <w:tcPr>
            <w:tcW w:w="1701" w:type="dxa"/>
            <w:tcBorders>
              <w:top w:val="single" w:sz="4" w:space="0" w:color="auto"/>
              <w:left w:val="single" w:sz="4" w:space="0" w:color="auto"/>
              <w:bottom w:val="single" w:sz="4" w:space="0" w:color="auto"/>
              <w:right w:val="single" w:sz="4" w:space="0" w:color="auto"/>
            </w:tcBorders>
            <w:vAlign w:val="center"/>
          </w:tcPr>
          <w:p w14:paraId="6A4CD74A"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-19 621</w:t>
            </w:r>
          </w:p>
        </w:tc>
        <w:tc>
          <w:tcPr>
            <w:tcW w:w="1701" w:type="dxa"/>
            <w:tcBorders>
              <w:top w:val="single" w:sz="4" w:space="0" w:color="auto"/>
              <w:left w:val="single" w:sz="4" w:space="0" w:color="auto"/>
              <w:bottom w:val="single" w:sz="4" w:space="0" w:color="auto"/>
              <w:right w:val="single" w:sz="4" w:space="0" w:color="auto"/>
            </w:tcBorders>
            <w:vAlign w:val="center"/>
          </w:tcPr>
          <w:p w14:paraId="20EC2BF1" w14:textId="77777777" w:rsidR="00C55629" w:rsidRPr="00C55629" w:rsidRDefault="00C55629" w:rsidP="00C55629">
            <w:pPr>
              <w:widowControl w:val="0"/>
              <w:spacing w:before="15" w:after="15"/>
              <w:jc w:val="right"/>
              <w:rPr>
                <w:rFonts w:ascii="Times New Roman" w:eastAsia="Calibri" w:hAnsi="Times New Roman" w:cs="Times New Roman"/>
                <w:noProof/>
                <w:kern w:val="0"/>
                <w:sz w:val="20"/>
                <w:szCs w:val="20"/>
                <w:lang w:val="en-GB"/>
                <w14:ligatures w14:val="none"/>
              </w:rPr>
            </w:pPr>
            <w:r w:rsidRPr="00C55629">
              <w:rPr>
                <w:rFonts w:ascii="Times New Roman" w:eastAsia="Times New Roman" w:hAnsi="Times New Roman" w:cs="Times New Roman"/>
                <w:noProof/>
                <w:color w:val="000000"/>
                <w:kern w:val="0"/>
                <w:sz w:val="16"/>
                <w:szCs w:val="16"/>
                <w:lang w:val="en-GB" w:eastAsia="en-GB"/>
                <w14:ligatures w14:val="none"/>
              </w:rPr>
              <w:t>-19 621</w:t>
            </w:r>
          </w:p>
        </w:tc>
      </w:tr>
      <w:tr w:rsidR="00C55629" w:rsidRPr="00C55629" w14:paraId="3D010D0B" w14:textId="77777777" w:rsidTr="00C55629">
        <w:trPr>
          <w:trHeight w:val="300"/>
          <w:jc w:val="center"/>
        </w:trPr>
        <w:tc>
          <w:tcPr>
            <w:tcW w:w="6379" w:type="dxa"/>
            <w:gridSpan w:val="2"/>
            <w:shd w:val="clear" w:color="auto" w:fill="D9D9D9"/>
          </w:tcPr>
          <w:p w14:paraId="0A1E331E"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39BB567"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0</w:t>
            </w:r>
            <w:r w:rsidRPr="00C55629" w:rsidDel="007A2247">
              <w:rPr>
                <w:rFonts w:ascii="Times New Roman" w:eastAsia="Calibri" w:hAnsi="Times New Roman" w:cs="Times New Roman"/>
                <w:b/>
                <w:bCs/>
                <w:noProof/>
                <w:kern w:val="0"/>
                <w:sz w:val="20"/>
                <w:szCs w:val="20"/>
                <w:lang w:val="en-GB"/>
                <w14:ligatures w14:val="none"/>
              </w:rPr>
              <w:t xml:space="preserve"> </w:t>
            </w:r>
          </w:p>
        </w:tc>
        <w:tc>
          <w:tcPr>
            <w:tcW w:w="1701" w:type="dxa"/>
            <w:shd w:val="clear" w:color="auto" w:fill="D9D9D9"/>
          </w:tcPr>
          <w:p w14:paraId="478B1067"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0</w:t>
            </w:r>
          </w:p>
        </w:tc>
      </w:tr>
    </w:tbl>
    <w:p w14:paraId="6C5E3FBA" w14:textId="77777777" w:rsidR="00C55629" w:rsidRPr="00C55629" w:rsidRDefault="00C55629" w:rsidP="00C55629">
      <w:pPr>
        <w:autoSpaceDE w:val="0"/>
        <w:autoSpaceDN w:val="0"/>
        <w:adjustRightInd w:val="0"/>
        <w:spacing w:before="240" w:after="120" w:line="240" w:lineRule="auto"/>
        <w:jc w:val="both"/>
        <w:rPr>
          <w:rFonts w:ascii="Times New Roman" w:eastAsia="Times New Roman" w:hAnsi="Times New Roman" w:cs="Times New Roman"/>
          <w:noProof/>
          <w:color w:val="000000"/>
          <w:kern w:val="0"/>
          <w:sz w:val="24"/>
          <w:szCs w:val="24"/>
          <w:shd w:val="clear" w:color="auto" w:fill="FFFFFF"/>
          <w:lang w:val="en-GB" w:eastAsia="en-GB"/>
          <w14:ligatures w14:val="none"/>
        </w:rPr>
      </w:pP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Conversely, for decentralised agencies </w:t>
      </w:r>
      <w:r w:rsidRPr="00C55629">
        <w:rPr>
          <w:rFonts w:ascii="Times New Roman" w:eastAsia="Times New Roman" w:hAnsi="Times New Roman" w:cs="Times New Roman"/>
          <w:noProof/>
          <w:color w:val="000000"/>
          <w:kern w:val="0"/>
          <w:sz w:val="24"/>
          <w:szCs w:val="24"/>
          <w:lang w:val="en-GB" w:eastAsia="en-GB"/>
          <w14:ligatures w14:val="none"/>
        </w:rPr>
        <w:t>the scope for</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internal redeployments </w:t>
      </w:r>
      <w:r w:rsidRPr="00C55629">
        <w:rPr>
          <w:rFonts w:ascii="Times New Roman" w:eastAsia="Times New Roman" w:hAnsi="Times New Roman" w:cs="Times New Roman"/>
          <w:noProof/>
          <w:color w:val="000000"/>
          <w:kern w:val="0"/>
          <w:sz w:val="24"/>
          <w:szCs w:val="24"/>
          <w:lang w:val="en-GB" w:eastAsia="en-GB"/>
          <w14:ligatures w14:val="none"/>
        </w:rPr>
        <w:t>is</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limited and therefore the Commission proposes to increase the EU contribution by 2</w:t>
      </w:r>
      <w:r w:rsidRPr="00C55629">
        <w:rPr>
          <w:rFonts w:ascii="Times New Roman" w:eastAsia="Times New Roman" w:hAnsi="Times New Roman" w:cs="Times New Roman"/>
          <w:noProof/>
          <w:color w:val="000000"/>
          <w:kern w:val="0"/>
          <w:sz w:val="24"/>
          <w:szCs w:val="24"/>
          <w:lang w:val="en-GB" w:eastAsia="en-GB"/>
          <w14:ligatures w14:val="none"/>
        </w:rPr>
        <w:t>,</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3</w:t>
      </w:r>
      <w:r w:rsidRPr="00C55629">
        <w:rPr>
          <w:rFonts w:ascii="Times New Roman" w:eastAsia="Times New Roman" w:hAnsi="Times New Roman" w:cs="Times New Roman"/>
          <w:noProof/>
          <w:color w:val="000000"/>
          <w:kern w:val="0"/>
          <w:sz w:val="24"/>
          <w:szCs w:val="24"/>
          <w:lang w:val="en-GB" w:eastAsia="en-GB"/>
          <w14:ligatures w14:val="none"/>
        </w:rPr>
        <w:t xml:space="preserve"> </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applied to </w:t>
      </w:r>
      <w:r w:rsidRPr="00C55629">
        <w:rPr>
          <w:rFonts w:ascii="Times New Roman" w:eastAsia="Times New Roman" w:hAnsi="Times New Roman" w:cs="Times New Roman"/>
          <w:noProof/>
          <w:color w:val="000000"/>
          <w:kern w:val="0"/>
          <w:sz w:val="24"/>
          <w:szCs w:val="24"/>
          <w:lang w:val="en-GB" w:eastAsia="en-GB"/>
          <w14:ligatures w14:val="none"/>
        </w:rPr>
        <w:t>T</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itle 1 ‘Staff expenditure’ of the agencies’ budget</w:t>
      </w:r>
      <w:r w:rsidRPr="00C55629">
        <w:rPr>
          <w:rFonts w:ascii="Times New Roman" w:eastAsia="Times New Roman" w:hAnsi="Times New Roman" w:cs="Times New Roman"/>
          <w:noProof/>
          <w:color w:val="000000"/>
          <w:kern w:val="0"/>
          <w:sz w:val="24"/>
          <w:szCs w:val="24"/>
          <w:lang w:val="en-GB" w:eastAsia="en-GB"/>
          <w14:ligatures w14:val="none"/>
        </w:rPr>
        <w:t>,</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taking into account the ratio between the EU contribution and the agencies’ total budget</w:t>
      </w:r>
      <w:r w:rsidRPr="00C55629">
        <w:rPr>
          <w:rFonts w:ascii="Times New Roman" w:eastAsia="Times New Roman" w:hAnsi="Times New Roman" w:cs="Times New Roman"/>
          <w:noProof/>
          <w:color w:val="000000"/>
          <w:kern w:val="0"/>
          <w:sz w:val="24"/>
          <w:szCs w:val="24"/>
          <w:lang w:val="en-GB" w:eastAsia="en-GB"/>
          <w14:ligatures w14:val="none"/>
        </w:rPr>
        <w:t>,</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except for some </w:t>
      </w:r>
      <w:r w:rsidRPr="00C55629">
        <w:rPr>
          <w:rFonts w:ascii="Times New Roman" w:eastAsia="Times New Roman" w:hAnsi="Times New Roman" w:cs="Times New Roman"/>
          <w:noProof/>
          <w:color w:val="000000"/>
          <w:kern w:val="0"/>
          <w:sz w:val="24"/>
          <w:szCs w:val="24"/>
          <w:lang w:val="en-GB" w:eastAsia="en-GB"/>
          <w14:ligatures w14:val="none"/>
        </w:rPr>
        <w:t xml:space="preserve">agencies </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for which internal redeployments can cover the additional needs. Moreover, it is proposed not to include FRONTEX in the increase, notably because of </w:t>
      </w:r>
      <w:r w:rsidRPr="00C55629">
        <w:rPr>
          <w:rFonts w:ascii="Times New Roman" w:eastAsia="Times New Roman" w:hAnsi="Times New Roman" w:cs="Times New Roman"/>
          <w:noProof/>
          <w:kern w:val="0"/>
          <w:sz w:val="24"/>
          <w:szCs w:val="24"/>
          <w:lang w:val="en-GB" w:eastAsia="en-GB"/>
          <w14:ligatures w14:val="none"/>
        </w:rPr>
        <w:t xml:space="preserve">a still rather significant vacancy rate </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and because the salaries represent a lower portion of the total budget of the agency, leaving more room for internal redeployments</w:t>
      </w:r>
      <w:r w:rsidRPr="00C55629">
        <w:rPr>
          <w:rFonts w:ascii="Times New Roman" w:eastAsia="Times New Roman" w:hAnsi="Times New Roman" w:cs="Times New Roman"/>
          <w:noProof/>
          <w:color w:val="000000"/>
          <w:kern w:val="0"/>
          <w:sz w:val="24"/>
          <w:szCs w:val="24"/>
          <w:lang w:val="en-GB" w:eastAsia="en-GB"/>
          <w14:ligatures w14:val="none"/>
        </w:rPr>
        <w:t xml:space="preserve"> with limited impact on the tasks or the functioning of the agency</w:t>
      </w:r>
      <w:r w:rsidRPr="00C55629">
        <w:rPr>
          <w:rFonts w:ascii="Times New Roman" w:eastAsia="Times New Roman" w:hAnsi="Times New Roman" w:cs="Times New Roman"/>
          <w:noProof/>
          <w:color w:val="000000"/>
          <w:kern w:val="0"/>
          <w:sz w:val="24"/>
          <w:szCs w:val="24"/>
          <w:shd w:val="clear" w:color="auto" w:fill="FFFFFF"/>
          <w:lang w:val="en-GB" w:eastAsia="en-GB"/>
          <w14:ligatures w14:val="none"/>
        </w:rPr>
        <w:t xml:space="preserve">. </w:t>
      </w:r>
    </w:p>
    <w:p w14:paraId="76BFAF83" w14:textId="77777777" w:rsidR="00C55629" w:rsidRPr="00C55629" w:rsidRDefault="00C55629" w:rsidP="00C55629">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overall impact on expenditure of EUR 19,6 million in commitment and payment appropriations is detailed as follows:</w:t>
      </w:r>
    </w:p>
    <w:p w14:paraId="32BD38FD" w14:textId="77777777" w:rsidR="00C55629" w:rsidRPr="00C55629" w:rsidRDefault="00C55629" w:rsidP="00C55629">
      <w:pPr>
        <w:numPr>
          <w:ilvl w:val="0"/>
          <w:numId w:val="23"/>
        </w:numPr>
        <w:autoSpaceDE w:val="0"/>
        <w:autoSpaceDN w:val="0"/>
        <w:adjustRightInd w:val="0"/>
        <w:spacing w:before="120" w:after="120" w:line="240" w:lineRule="auto"/>
        <w:contextualSpacing/>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Heading 1 - Single Market, Innovation and Digital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563BE902" w14:textId="77777777" w:rsidTr="0028479A">
        <w:tc>
          <w:tcPr>
            <w:tcW w:w="9781" w:type="dxa"/>
            <w:gridSpan w:val="4"/>
            <w:tcBorders>
              <w:top w:val="nil"/>
              <w:left w:val="nil"/>
              <w:bottom w:val="single" w:sz="4" w:space="0" w:color="auto"/>
              <w:right w:val="nil"/>
            </w:tcBorders>
            <w:shd w:val="clear" w:color="auto" w:fill="FFFFFF"/>
            <w:vAlign w:val="center"/>
          </w:tcPr>
          <w:p w14:paraId="20401A41"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35C2BAE8" w14:textId="77777777" w:rsidTr="0028479A">
        <w:tc>
          <w:tcPr>
            <w:tcW w:w="1276" w:type="dxa"/>
            <w:tcBorders>
              <w:top w:val="single" w:sz="4" w:space="0" w:color="auto"/>
            </w:tcBorders>
            <w:shd w:val="clear" w:color="auto" w:fill="D9D9D9"/>
            <w:vAlign w:val="center"/>
          </w:tcPr>
          <w:p w14:paraId="5366D0CF"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2A65824C"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13446312"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1996BA0"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7342BBD4" w14:textId="77777777" w:rsidTr="0028479A">
        <w:trPr>
          <w:trHeight w:val="300"/>
        </w:trPr>
        <w:tc>
          <w:tcPr>
            <w:tcW w:w="1276" w:type="dxa"/>
            <w:vAlign w:val="center"/>
          </w:tcPr>
          <w:p w14:paraId="0A8931B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02 10 01</w:t>
            </w:r>
          </w:p>
        </w:tc>
        <w:tc>
          <w:tcPr>
            <w:tcW w:w="5103" w:type="dxa"/>
            <w:vAlign w:val="center"/>
          </w:tcPr>
          <w:p w14:paraId="4C44443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Aviation Safety Agency (EASA)</w:t>
            </w:r>
          </w:p>
        </w:tc>
        <w:tc>
          <w:tcPr>
            <w:tcW w:w="1701" w:type="dxa"/>
            <w:vAlign w:val="center"/>
          </w:tcPr>
          <w:p w14:paraId="71F9E7E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516 817</w:t>
            </w:r>
          </w:p>
        </w:tc>
        <w:tc>
          <w:tcPr>
            <w:tcW w:w="1701" w:type="dxa"/>
            <w:vAlign w:val="center"/>
          </w:tcPr>
          <w:p w14:paraId="1B42F877"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516 817</w:t>
            </w:r>
          </w:p>
        </w:tc>
      </w:tr>
      <w:tr w:rsidR="00C55629" w:rsidRPr="00C55629" w14:paraId="10B044B5" w14:textId="77777777" w:rsidTr="0028479A">
        <w:trPr>
          <w:trHeight w:val="300"/>
        </w:trPr>
        <w:tc>
          <w:tcPr>
            <w:tcW w:w="1276" w:type="dxa"/>
            <w:vAlign w:val="center"/>
          </w:tcPr>
          <w:p w14:paraId="622CA29C"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02 10 02</w:t>
            </w:r>
          </w:p>
        </w:tc>
        <w:tc>
          <w:tcPr>
            <w:tcW w:w="5103" w:type="dxa"/>
            <w:vAlign w:val="center"/>
          </w:tcPr>
          <w:p w14:paraId="6567186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Maritime Safety Agency (EMSA)</w:t>
            </w:r>
          </w:p>
        </w:tc>
        <w:tc>
          <w:tcPr>
            <w:tcW w:w="1701" w:type="dxa"/>
            <w:vAlign w:val="center"/>
          </w:tcPr>
          <w:p w14:paraId="3F20308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848 698</w:t>
            </w:r>
          </w:p>
        </w:tc>
        <w:tc>
          <w:tcPr>
            <w:tcW w:w="1701" w:type="dxa"/>
            <w:vAlign w:val="center"/>
          </w:tcPr>
          <w:p w14:paraId="50F2E10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848 698</w:t>
            </w:r>
          </w:p>
        </w:tc>
      </w:tr>
      <w:tr w:rsidR="00C55629" w:rsidRPr="00C55629" w14:paraId="1E96E04D" w14:textId="77777777" w:rsidTr="0028479A">
        <w:trPr>
          <w:trHeight w:val="300"/>
        </w:trPr>
        <w:tc>
          <w:tcPr>
            <w:tcW w:w="1276" w:type="dxa"/>
            <w:vAlign w:val="center"/>
          </w:tcPr>
          <w:p w14:paraId="554881D5"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02 10 03</w:t>
            </w:r>
          </w:p>
        </w:tc>
        <w:tc>
          <w:tcPr>
            <w:tcW w:w="5103" w:type="dxa"/>
            <w:vAlign w:val="center"/>
          </w:tcPr>
          <w:p w14:paraId="59A9BD6A"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Railways (ERA)</w:t>
            </w:r>
          </w:p>
        </w:tc>
        <w:tc>
          <w:tcPr>
            <w:tcW w:w="1701" w:type="dxa"/>
            <w:vAlign w:val="center"/>
          </w:tcPr>
          <w:p w14:paraId="5FD4811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514 383</w:t>
            </w:r>
          </w:p>
        </w:tc>
        <w:tc>
          <w:tcPr>
            <w:tcW w:w="1701" w:type="dxa"/>
            <w:vAlign w:val="center"/>
          </w:tcPr>
          <w:p w14:paraId="76686926"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514 383</w:t>
            </w:r>
          </w:p>
        </w:tc>
      </w:tr>
      <w:tr w:rsidR="00C55629" w:rsidRPr="00C55629" w14:paraId="326BB9A0" w14:textId="77777777" w:rsidTr="0028479A">
        <w:trPr>
          <w:trHeight w:val="300"/>
        </w:trPr>
        <w:tc>
          <w:tcPr>
            <w:tcW w:w="1276" w:type="dxa"/>
            <w:vAlign w:val="center"/>
          </w:tcPr>
          <w:p w14:paraId="1D27A97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02 10 04</w:t>
            </w:r>
          </w:p>
        </w:tc>
        <w:tc>
          <w:tcPr>
            <w:tcW w:w="5103" w:type="dxa"/>
            <w:vAlign w:val="center"/>
          </w:tcPr>
          <w:p w14:paraId="159C01C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Cybersecurity (ENISA)</w:t>
            </w:r>
          </w:p>
        </w:tc>
        <w:tc>
          <w:tcPr>
            <w:tcW w:w="1701" w:type="dxa"/>
            <w:vAlign w:val="center"/>
          </w:tcPr>
          <w:p w14:paraId="1CFC41A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276 379</w:t>
            </w:r>
          </w:p>
        </w:tc>
        <w:tc>
          <w:tcPr>
            <w:tcW w:w="1701" w:type="dxa"/>
            <w:vAlign w:val="center"/>
          </w:tcPr>
          <w:p w14:paraId="1470474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276 379</w:t>
            </w:r>
          </w:p>
        </w:tc>
      </w:tr>
      <w:tr w:rsidR="00C55629" w:rsidRPr="00C55629" w14:paraId="4E8349E5" w14:textId="77777777" w:rsidTr="0028479A">
        <w:trPr>
          <w:trHeight w:val="300"/>
        </w:trPr>
        <w:tc>
          <w:tcPr>
            <w:tcW w:w="1276" w:type="dxa"/>
            <w:vAlign w:val="center"/>
          </w:tcPr>
          <w:p w14:paraId="69BCFD7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02 10 05</w:t>
            </w:r>
          </w:p>
        </w:tc>
        <w:tc>
          <w:tcPr>
            <w:tcW w:w="5103" w:type="dxa"/>
            <w:vAlign w:val="center"/>
          </w:tcPr>
          <w:p w14:paraId="1255F13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Agency for Support for BEREC (BEREC Office)</w:t>
            </w:r>
          </w:p>
        </w:tc>
        <w:tc>
          <w:tcPr>
            <w:tcW w:w="1701" w:type="dxa"/>
            <w:vAlign w:val="center"/>
          </w:tcPr>
          <w:p w14:paraId="0612A88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117 342</w:t>
            </w:r>
          </w:p>
        </w:tc>
        <w:tc>
          <w:tcPr>
            <w:tcW w:w="1701" w:type="dxa"/>
            <w:vAlign w:val="center"/>
          </w:tcPr>
          <w:p w14:paraId="14D87167"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117 342</w:t>
            </w:r>
          </w:p>
        </w:tc>
      </w:tr>
      <w:tr w:rsidR="00C55629" w:rsidRPr="00C55629" w14:paraId="393E288B" w14:textId="77777777" w:rsidTr="0028479A">
        <w:trPr>
          <w:trHeight w:val="300"/>
        </w:trPr>
        <w:tc>
          <w:tcPr>
            <w:tcW w:w="1276" w:type="dxa"/>
            <w:vAlign w:val="center"/>
          </w:tcPr>
          <w:p w14:paraId="1DB6A8F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02 10 06</w:t>
            </w:r>
          </w:p>
        </w:tc>
        <w:tc>
          <w:tcPr>
            <w:tcW w:w="5103" w:type="dxa"/>
            <w:vAlign w:val="center"/>
          </w:tcPr>
          <w:p w14:paraId="037DC0B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the Cooperation of Energy Regulators (ACER)</w:t>
            </w:r>
          </w:p>
        </w:tc>
        <w:tc>
          <w:tcPr>
            <w:tcW w:w="1701" w:type="dxa"/>
            <w:vAlign w:val="center"/>
          </w:tcPr>
          <w:p w14:paraId="0A57C970"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275 013</w:t>
            </w:r>
          </w:p>
        </w:tc>
        <w:tc>
          <w:tcPr>
            <w:tcW w:w="1701" w:type="dxa"/>
            <w:vAlign w:val="center"/>
          </w:tcPr>
          <w:p w14:paraId="64D778B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275 013</w:t>
            </w:r>
          </w:p>
        </w:tc>
      </w:tr>
      <w:tr w:rsidR="00C55629" w:rsidRPr="00C55629" w14:paraId="5C79F3E4" w14:textId="77777777" w:rsidTr="0028479A">
        <w:trPr>
          <w:trHeight w:val="300"/>
        </w:trPr>
        <w:tc>
          <w:tcPr>
            <w:tcW w:w="1276" w:type="dxa"/>
            <w:vAlign w:val="center"/>
          </w:tcPr>
          <w:p w14:paraId="20A63B35"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 xml:space="preserve">03 10 01 01 </w:t>
            </w:r>
          </w:p>
        </w:tc>
        <w:tc>
          <w:tcPr>
            <w:tcW w:w="5103" w:type="dxa"/>
            <w:vAlign w:val="center"/>
          </w:tcPr>
          <w:p w14:paraId="243A2A8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Chemicals Agency — Chemicals legislation</w:t>
            </w:r>
          </w:p>
        </w:tc>
        <w:tc>
          <w:tcPr>
            <w:tcW w:w="1701" w:type="dxa"/>
            <w:vAlign w:val="center"/>
          </w:tcPr>
          <w:p w14:paraId="667D974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1 142 251</w:t>
            </w:r>
          </w:p>
        </w:tc>
        <w:tc>
          <w:tcPr>
            <w:tcW w:w="1701" w:type="dxa"/>
            <w:vAlign w:val="center"/>
          </w:tcPr>
          <w:p w14:paraId="7B21D87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1 142 251</w:t>
            </w:r>
          </w:p>
        </w:tc>
      </w:tr>
      <w:tr w:rsidR="00C55629" w:rsidRPr="00C55629" w14:paraId="268DB771" w14:textId="77777777" w:rsidTr="0028479A">
        <w:trPr>
          <w:trHeight w:val="300"/>
        </w:trPr>
        <w:tc>
          <w:tcPr>
            <w:tcW w:w="1276" w:type="dxa"/>
            <w:vAlign w:val="center"/>
          </w:tcPr>
          <w:p w14:paraId="4D8E678A"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03 10 01 02</w:t>
            </w:r>
          </w:p>
        </w:tc>
        <w:tc>
          <w:tcPr>
            <w:tcW w:w="5103" w:type="dxa"/>
            <w:vAlign w:val="center"/>
          </w:tcPr>
          <w:p w14:paraId="6B2700AE"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Chemicals Agency — Activities in the field of biocides legislation</w:t>
            </w:r>
          </w:p>
        </w:tc>
        <w:tc>
          <w:tcPr>
            <w:tcW w:w="1701" w:type="dxa"/>
            <w:vAlign w:val="center"/>
          </w:tcPr>
          <w:p w14:paraId="52521476"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118 498</w:t>
            </w:r>
          </w:p>
        </w:tc>
        <w:tc>
          <w:tcPr>
            <w:tcW w:w="1701" w:type="dxa"/>
            <w:vAlign w:val="center"/>
          </w:tcPr>
          <w:p w14:paraId="31E7D97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118 498</w:t>
            </w:r>
          </w:p>
        </w:tc>
      </w:tr>
      <w:tr w:rsidR="00C55629" w:rsidRPr="00C55629" w14:paraId="3399B02E" w14:textId="77777777" w:rsidTr="0028479A">
        <w:trPr>
          <w:trHeight w:val="300"/>
        </w:trPr>
        <w:tc>
          <w:tcPr>
            <w:tcW w:w="1276" w:type="dxa"/>
            <w:vAlign w:val="center"/>
          </w:tcPr>
          <w:p w14:paraId="25C33967"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03 10 02</w:t>
            </w:r>
          </w:p>
        </w:tc>
        <w:tc>
          <w:tcPr>
            <w:tcW w:w="5103" w:type="dxa"/>
            <w:vAlign w:val="center"/>
          </w:tcPr>
          <w:p w14:paraId="4D7DE59B"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Banking Authority (EBA)</w:t>
            </w:r>
          </w:p>
        </w:tc>
        <w:tc>
          <w:tcPr>
            <w:tcW w:w="1701" w:type="dxa"/>
            <w:vAlign w:val="center"/>
          </w:tcPr>
          <w:p w14:paraId="71DE463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337 416</w:t>
            </w:r>
          </w:p>
        </w:tc>
        <w:tc>
          <w:tcPr>
            <w:tcW w:w="1701" w:type="dxa"/>
            <w:vAlign w:val="center"/>
          </w:tcPr>
          <w:p w14:paraId="7737D2A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337 416</w:t>
            </w:r>
          </w:p>
        </w:tc>
      </w:tr>
      <w:tr w:rsidR="00C55629" w:rsidRPr="00C55629" w14:paraId="12FEDFD2" w14:textId="77777777" w:rsidTr="0028479A">
        <w:trPr>
          <w:trHeight w:val="300"/>
        </w:trPr>
        <w:tc>
          <w:tcPr>
            <w:tcW w:w="1276" w:type="dxa"/>
            <w:vAlign w:val="center"/>
          </w:tcPr>
          <w:p w14:paraId="2A08A84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03 10 03</w:t>
            </w:r>
          </w:p>
        </w:tc>
        <w:tc>
          <w:tcPr>
            <w:tcW w:w="5103" w:type="dxa"/>
            <w:vAlign w:val="center"/>
          </w:tcPr>
          <w:p w14:paraId="292BB3C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Insurance and Occupational Pensions Authority (EIOPA)</w:t>
            </w:r>
          </w:p>
        </w:tc>
        <w:tc>
          <w:tcPr>
            <w:tcW w:w="1701" w:type="dxa"/>
            <w:vAlign w:val="center"/>
          </w:tcPr>
          <w:p w14:paraId="0C9BF3C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240 155</w:t>
            </w:r>
          </w:p>
        </w:tc>
        <w:tc>
          <w:tcPr>
            <w:tcW w:w="1701" w:type="dxa"/>
            <w:vAlign w:val="center"/>
          </w:tcPr>
          <w:p w14:paraId="55E37B5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240 155</w:t>
            </w:r>
          </w:p>
        </w:tc>
      </w:tr>
      <w:tr w:rsidR="00C55629" w:rsidRPr="00C55629" w14:paraId="66AF2F96" w14:textId="77777777" w:rsidTr="0028479A">
        <w:trPr>
          <w:trHeight w:val="300"/>
        </w:trPr>
        <w:tc>
          <w:tcPr>
            <w:tcW w:w="1276" w:type="dxa"/>
            <w:vAlign w:val="center"/>
          </w:tcPr>
          <w:p w14:paraId="56DD2566"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03 10 04</w:t>
            </w:r>
          </w:p>
        </w:tc>
        <w:tc>
          <w:tcPr>
            <w:tcW w:w="5103" w:type="dxa"/>
            <w:vAlign w:val="center"/>
          </w:tcPr>
          <w:p w14:paraId="7CF0970A"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Securities and Markets Authority (ESMA)</w:t>
            </w:r>
          </w:p>
        </w:tc>
        <w:tc>
          <w:tcPr>
            <w:tcW w:w="1701" w:type="dxa"/>
            <w:vAlign w:val="center"/>
          </w:tcPr>
          <w:p w14:paraId="34DF446F"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319 986</w:t>
            </w:r>
          </w:p>
        </w:tc>
        <w:tc>
          <w:tcPr>
            <w:tcW w:w="1701" w:type="dxa"/>
            <w:vAlign w:val="center"/>
          </w:tcPr>
          <w:p w14:paraId="74511C14"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319 986</w:t>
            </w:r>
          </w:p>
        </w:tc>
      </w:tr>
      <w:tr w:rsidR="00C55629" w:rsidRPr="00C55629" w14:paraId="303D61B1" w14:textId="77777777" w:rsidTr="0028479A">
        <w:trPr>
          <w:trHeight w:val="300"/>
        </w:trPr>
        <w:tc>
          <w:tcPr>
            <w:tcW w:w="1276" w:type="dxa"/>
            <w:vAlign w:val="center"/>
          </w:tcPr>
          <w:p w14:paraId="69C1854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03 10 05</w:t>
            </w:r>
          </w:p>
        </w:tc>
        <w:tc>
          <w:tcPr>
            <w:tcW w:w="5103" w:type="dxa"/>
            <w:vAlign w:val="center"/>
          </w:tcPr>
          <w:p w14:paraId="4023C5D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Anti-Money Laundering Authority (AMLA)</w:t>
            </w:r>
          </w:p>
        </w:tc>
        <w:tc>
          <w:tcPr>
            <w:tcW w:w="1701" w:type="dxa"/>
            <w:vAlign w:val="center"/>
          </w:tcPr>
          <w:p w14:paraId="3768E3E1"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181 944</w:t>
            </w:r>
          </w:p>
        </w:tc>
        <w:tc>
          <w:tcPr>
            <w:tcW w:w="1701" w:type="dxa"/>
            <w:vAlign w:val="center"/>
          </w:tcPr>
          <w:p w14:paraId="4DFAF95E"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181 944</w:t>
            </w:r>
          </w:p>
        </w:tc>
      </w:tr>
      <w:tr w:rsidR="00C55629" w:rsidRPr="00C55629" w14:paraId="68908803" w14:textId="77777777" w:rsidTr="0028479A">
        <w:tc>
          <w:tcPr>
            <w:tcW w:w="6379" w:type="dxa"/>
            <w:gridSpan w:val="2"/>
            <w:shd w:val="clear" w:color="auto" w:fill="D9D9D9"/>
          </w:tcPr>
          <w:p w14:paraId="3DD99546"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5F406D54"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4 888 882</w:t>
            </w:r>
          </w:p>
        </w:tc>
        <w:tc>
          <w:tcPr>
            <w:tcW w:w="1701" w:type="dxa"/>
            <w:shd w:val="clear" w:color="auto" w:fill="D9D9D9"/>
          </w:tcPr>
          <w:p w14:paraId="45AF139F"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4 888 882</w:t>
            </w:r>
          </w:p>
        </w:tc>
      </w:tr>
    </w:tbl>
    <w:p w14:paraId="67D1DCD9" w14:textId="77777777" w:rsidR="00C25694" w:rsidRDefault="00C25694">
      <w:pPr>
        <w:rPr>
          <w:rFonts w:ascii="Times New Roman" w:eastAsia="Times New Roman" w:hAnsi="Times New Roman" w:cs="Times New Roman"/>
          <w:b/>
          <w:bCs/>
          <w:noProof/>
          <w:kern w:val="0"/>
          <w:sz w:val="24"/>
          <w:szCs w:val="24"/>
          <w:lang w:val="en-GB" w:eastAsia="en-GB"/>
          <w14:ligatures w14:val="none"/>
        </w:rPr>
      </w:pPr>
      <w:r>
        <w:rPr>
          <w:rFonts w:ascii="Times New Roman" w:eastAsia="Times New Roman" w:hAnsi="Times New Roman" w:cs="Times New Roman"/>
          <w:b/>
          <w:bCs/>
          <w:noProof/>
          <w:kern w:val="0"/>
          <w:sz w:val="24"/>
          <w:szCs w:val="24"/>
          <w:lang w:val="en-GB" w:eastAsia="en-GB"/>
          <w14:ligatures w14:val="none"/>
        </w:rPr>
        <w:br w:type="page"/>
      </w:r>
    </w:p>
    <w:p w14:paraId="0BBEBF59" w14:textId="2688C3F2" w:rsidR="00C55629" w:rsidRPr="00C55629" w:rsidRDefault="00C55629" w:rsidP="00C55629">
      <w:pPr>
        <w:numPr>
          <w:ilvl w:val="0"/>
          <w:numId w:val="23"/>
        </w:numPr>
        <w:autoSpaceDE w:val="0"/>
        <w:autoSpaceDN w:val="0"/>
        <w:adjustRightInd w:val="0"/>
        <w:spacing w:before="120" w:after="120" w:line="240" w:lineRule="auto"/>
        <w:contextualSpacing/>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Sub-heading 2b - Resilience and Values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5DF1D08B" w14:textId="77777777" w:rsidTr="0028479A">
        <w:tc>
          <w:tcPr>
            <w:tcW w:w="9781" w:type="dxa"/>
            <w:gridSpan w:val="4"/>
            <w:tcBorders>
              <w:top w:val="nil"/>
              <w:left w:val="nil"/>
              <w:bottom w:val="single" w:sz="4" w:space="0" w:color="auto"/>
              <w:right w:val="nil"/>
            </w:tcBorders>
            <w:shd w:val="clear" w:color="auto" w:fill="FFFFFF"/>
            <w:vAlign w:val="center"/>
          </w:tcPr>
          <w:p w14:paraId="2FBF6E28"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00F03B1E" w14:textId="77777777" w:rsidTr="0028479A">
        <w:tc>
          <w:tcPr>
            <w:tcW w:w="1276" w:type="dxa"/>
            <w:tcBorders>
              <w:top w:val="single" w:sz="4" w:space="0" w:color="auto"/>
            </w:tcBorders>
            <w:shd w:val="clear" w:color="auto" w:fill="D9D9D9"/>
            <w:vAlign w:val="center"/>
          </w:tcPr>
          <w:p w14:paraId="20DA406F"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6FE6B74A"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01129157"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05E6908"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5E5C27EB" w14:textId="77777777" w:rsidTr="0028479A">
        <w:trPr>
          <w:trHeight w:val="300"/>
        </w:trPr>
        <w:tc>
          <w:tcPr>
            <w:tcW w:w="1276" w:type="dxa"/>
          </w:tcPr>
          <w:p w14:paraId="1B18995C"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06 10 01</w:t>
            </w:r>
          </w:p>
        </w:tc>
        <w:tc>
          <w:tcPr>
            <w:tcW w:w="5103" w:type="dxa"/>
            <w:vAlign w:val="center"/>
          </w:tcPr>
          <w:p w14:paraId="19C01F6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Centre for Disease Prevention and Control</w:t>
            </w:r>
          </w:p>
        </w:tc>
        <w:tc>
          <w:tcPr>
            <w:tcW w:w="1701" w:type="dxa"/>
          </w:tcPr>
          <w:p w14:paraId="7A80EA7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978 047</w:t>
            </w:r>
          </w:p>
        </w:tc>
        <w:tc>
          <w:tcPr>
            <w:tcW w:w="1701" w:type="dxa"/>
          </w:tcPr>
          <w:p w14:paraId="3EAF18EE"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978 047</w:t>
            </w:r>
          </w:p>
        </w:tc>
      </w:tr>
      <w:tr w:rsidR="00C55629" w:rsidRPr="00C55629" w14:paraId="11B73DBE" w14:textId="77777777" w:rsidTr="0028479A">
        <w:trPr>
          <w:trHeight w:val="300"/>
        </w:trPr>
        <w:tc>
          <w:tcPr>
            <w:tcW w:w="1276" w:type="dxa"/>
          </w:tcPr>
          <w:p w14:paraId="10744AD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06 10 02</w:t>
            </w:r>
          </w:p>
        </w:tc>
        <w:tc>
          <w:tcPr>
            <w:tcW w:w="5103" w:type="dxa"/>
            <w:vAlign w:val="center"/>
          </w:tcPr>
          <w:p w14:paraId="58673C1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Food Safety Authority</w:t>
            </w:r>
          </w:p>
        </w:tc>
        <w:tc>
          <w:tcPr>
            <w:tcW w:w="1701" w:type="dxa"/>
          </w:tcPr>
          <w:p w14:paraId="0B7859F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1 642 278</w:t>
            </w:r>
          </w:p>
        </w:tc>
        <w:tc>
          <w:tcPr>
            <w:tcW w:w="1701" w:type="dxa"/>
          </w:tcPr>
          <w:p w14:paraId="231FB03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1 642 278</w:t>
            </w:r>
          </w:p>
        </w:tc>
      </w:tr>
      <w:tr w:rsidR="00C55629" w:rsidRPr="00C55629" w14:paraId="4FDE8BE6" w14:textId="77777777" w:rsidTr="0028479A">
        <w:trPr>
          <w:trHeight w:val="300"/>
        </w:trPr>
        <w:tc>
          <w:tcPr>
            <w:tcW w:w="1276" w:type="dxa"/>
          </w:tcPr>
          <w:p w14:paraId="3DC851C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06 10 03 01</w:t>
            </w:r>
          </w:p>
        </w:tc>
        <w:tc>
          <w:tcPr>
            <w:tcW w:w="5103" w:type="dxa"/>
            <w:vAlign w:val="center"/>
          </w:tcPr>
          <w:p w14:paraId="48F527A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Union contribution to the European Medicines Agency</w:t>
            </w:r>
          </w:p>
        </w:tc>
        <w:tc>
          <w:tcPr>
            <w:tcW w:w="1701" w:type="dxa"/>
          </w:tcPr>
          <w:p w14:paraId="7FFE7FD6"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311 554</w:t>
            </w:r>
          </w:p>
        </w:tc>
        <w:tc>
          <w:tcPr>
            <w:tcW w:w="1701" w:type="dxa"/>
          </w:tcPr>
          <w:p w14:paraId="617B3CF6"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311 554</w:t>
            </w:r>
          </w:p>
        </w:tc>
      </w:tr>
      <w:tr w:rsidR="00C55629" w:rsidRPr="00C55629" w14:paraId="2812AA38" w14:textId="77777777" w:rsidTr="0028479A">
        <w:trPr>
          <w:trHeight w:val="300"/>
        </w:trPr>
        <w:tc>
          <w:tcPr>
            <w:tcW w:w="1276" w:type="dxa"/>
          </w:tcPr>
          <w:p w14:paraId="27A9CAE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07 10 01</w:t>
            </w:r>
          </w:p>
        </w:tc>
        <w:tc>
          <w:tcPr>
            <w:tcW w:w="5103" w:type="dxa"/>
            <w:vAlign w:val="center"/>
          </w:tcPr>
          <w:p w14:paraId="37DAADCE"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Foundation for the improvement of living and working conditions (Eurofound)</w:t>
            </w:r>
          </w:p>
        </w:tc>
        <w:tc>
          <w:tcPr>
            <w:tcW w:w="1701" w:type="dxa"/>
          </w:tcPr>
          <w:p w14:paraId="5B4A8B28"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380 111</w:t>
            </w:r>
          </w:p>
        </w:tc>
        <w:tc>
          <w:tcPr>
            <w:tcW w:w="1701" w:type="dxa"/>
          </w:tcPr>
          <w:p w14:paraId="55C956C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380 111</w:t>
            </w:r>
          </w:p>
        </w:tc>
      </w:tr>
      <w:tr w:rsidR="00C55629" w:rsidRPr="00C55629" w14:paraId="632EBF6F" w14:textId="77777777" w:rsidTr="0028479A">
        <w:trPr>
          <w:trHeight w:val="300"/>
        </w:trPr>
        <w:tc>
          <w:tcPr>
            <w:tcW w:w="1276" w:type="dxa"/>
          </w:tcPr>
          <w:p w14:paraId="6F18FA56"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07 10 02</w:t>
            </w:r>
          </w:p>
        </w:tc>
        <w:tc>
          <w:tcPr>
            <w:tcW w:w="5103" w:type="dxa"/>
            <w:vAlign w:val="center"/>
          </w:tcPr>
          <w:p w14:paraId="2C48A6D6"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Agency for Safety and Health at Work (EU-OSHA)</w:t>
            </w:r>
          </w:p>
        </w:tc>
        <w:tc>
          <w:tcPr>
            <w:tcW w:w="1701" w:type="dxa"/>
          </w:tcPr>
          <w:p w14:paraId="7A35214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190 571</w:t>
            </w:r>
          </w:p>
        </w:tc>
        <w:tc>
          <w:tcPr>
            <w:tcW w:w="1701" w:type="dxa"/>
          </w:tcPr>
          <w:p w14:paraId="634B84B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190 571</w:t>
            </w:r>
          </w:p>
        </w:tc>
      </w:tr>
      <w:tr w:rsidR="00C55629" w:rsidRPr="00C55629" w14:paraId="05888C6F" w14:textId="77777777" w:rsidTr="0028479A">
        <w:trPr>
          <w:trHeight w:val="300"/>
        </w:trPr>
        <w:tc>
          <w:tcPr>
            <w:tcW w:w="1276" w:type="dxa"/>
          </w:tcPr>
          <w:p w14:paraId="1373018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07 10 03</w:t>
            </w:r>
          </w:p>
        </w:tc>
        <w:tc>
          <w:tcPr>
            <w:tcW w:w="5103" w:type="dxa"/>
            <w:vAlign w:val="center"/>
          </w:tcPr>
          <w:p w14:paraId="3E0F849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Centre for the Development of Vocational Training (Cedefop)</w:t>
            </w:r>
          </w:p>
        </w:tc>
        <w:tc>
          <w:tcPr>
            <w:tcW w:w="1701" w:type="dxa"/>
          </w:tcPr>
          <w:p w14:paraId="745DA2A9"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311 055</w:t>
            </w:r>
          </w:p>
        </w:tc>
        <w:tc>
          <w:tcPr>
            <w:tcW w:w="1701" w:type="dxa"/>
          </w:tcPr>
          <w:p w14:paraId="4736347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311 055</w:t>
            </w:r>
          </w:p>
        </w:tc>
      </w:tr>
      <w:tr w:rsidR="00C55629" w:rsidRPr="00C55629" w14:paraId="45821D4E" w14:textId="77777777" w:rsidTr="0028479A">
        <w:trPr>
          <w:trHeight w:val="300"/>
        </w:trPr>
        <w:tc>
          <w:tcPr>
            <w:tcW w:w="1276" w:type="dxa"/>
          </w:tcPr>
          <w:p w14:paraId="62803CD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07 10 04</w:t>
            </w:r>
          </w:p>
        </w:tc>
        <w:tc>
          <w:tcPr>
            <w:tcW w:w="5103" w:type="dxa"/>
            <w:vAlign w:val="center"/>
          </w:tcPr>
          <w:p w14:paraId="6CA9E42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Fundamental Rights (FRA)</w:t>
            </w:r>
          </w:p>
        </w:tc>
        <w:tc>
          <w:tcPr>
            <w:tcW w:w="1701" w:type="dxa"/>
          </w:tcPr>
          <w:p w14:paraId="4CA1CDC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400 080</w:t>
            </w:r>
          </w:p>
        </w:tc>
        <w:tc>
          <w:tcPr>
            <w:tcW w:w="1701" w:type="dxa"/>
          </w:tcPr>
          <w:p w14:paraId="765F6A68"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400 080</w:t>
            </w:r>
          </w:p>
        </w:tc>
      </w:tr>
      <w:tr w:rsidR="00C55629" w:rsidRPr="00C55629" w14:paraId="2B4F7666" w14:textId="77777777" w:rsidTr="0028479A">
        <w:trPr>
          <w:trHeight w:val="300"/>
        </w:trPr>
        <w:tc>
          <w:tcPr>
            <w:tcW w:w="1276" w:type="dxa"/>
          </w:tcPr>
          <w:p w14:paraId="2BAB073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07 10 05</w:t>
            </w:r>
          </w:p>
        </w:tc>
        <w:tc>
          <w:tcPr>
            <w:tcW w:w="5103" w:type="dxa"/>
            <w:vAlign w:val="center"/>
          </w:tcPr>
          <w:p w14:paraId="5B3F8BB6"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Institute for Gender Equality (EIGE)</w:t>
            </w:r>
          </w:p>
        </w:tc>
        <w:tc>
          <w:tcPr>
            <w:tcW w:w="1701" w:type="dxa"/>
          </w:tcPr>
          <w:p w14:paraId="2FDFA5B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124 267</w:t>
            </w:r>
          </w:p>
        </w:tc>
        <w:tc>
          <w:tcPr>
            <w:tcW w:w="1701" w:type="dxa"/>
          </w:tcPr>
          <w:p w14:paraId="31E4A30A"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124 267</w:t>
            </w:r>
          </w:p>
        </w:tc>
      </w:tr>
      <w:tr w:rsidR="00C55629" w:rsidRPr="00C55629" w14:paraId="64589D95" w14:textId="77777777" w:rsidTr="0028479A">
        <w:trPr>
          <w:trHeight w:val="300"/>
        </w:trPr>
        <w:tc>
          <w:tcPr>
            <w:tcW w:w="1276" w:type="dxa"/>
          </w:tcPr>
          <w:p w14:paraId="227DF0A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07 10 06</w:t>
            </w:r>
          </w:p>
        </w:tc>
        <w:tc>
          <w:tcPr>
            <w:tcW w:w="5103" w:type="dxa"/>
            <w:vAlign w:val="center"/>
          </w:tcPr>
          <w:p w14:paraId="54855EE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Training Foundation (ETF)</w:t>
            </w:r>
          </w:p>
        </w:tc>
        <w:tc>
          <w:tcPr>
            <w:tcW w:w="1701" w:type="dxa"/>
          </w:tcPr>
          <w:p w14:paraId="1B978F67"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395 290</w:t>
            </w:r>
          </w:p>
        </w:tc>
        <w:tc>
          <w:tcPr>
            <w:tcW w:w="1701" w:type="dxa"/>
          </w:tcPr>
          <w:p w14:paraId="20652C1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395 290</w:t>
            </w:r>
          </w:p>
        </w:tc>
      </w:tr>
      <w:tr w:rsidR="00C55629" w:rsidRPr="00C55629" w14:paraId="23736955" w14:textId="77777777" w:rsidTr="0028479A">
        <w:trPr>
          <w:trHeight w:val="300"/>
        </w:trPr>
        <w:tc>
          <w:tcPr>
            <w:tcW w:w="1276" w:type="dxa"/>
          </w:tcPr>
          <w:p w14:paraId="36A23E5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07 10 07</w:t>
            </w:r>
          </w:p>
        </w:tc>
        <w:tc>
          <w:tcPr>
            <w:tcW w:w="5103" w:type="dxa"/>
            <w:vAlign w:val="center"/>
          </w:tcPr>
          <w:p w14:paraId="093D4D1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Criminal Justice Cooperation (Eurojust)</w:t>
            </w:r>
          </w:p>
        </w:tc>
        <w:tc>
          <w:tcPr>
            <w:tcW w:w="1701" w:type="dxa"/>
          </w:tcPr>
          <w:p w14:paraId="0FC356E1"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821 164</w:t>
            </w:r>
          </w:p>
        </w:tc>
        <w:tc>
          <w:tcPr>
            <w:tcW w:w="1701" w:type="dxa"/>
          </w:tcPr>
          <w:p w14:paraId="53E8C250"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821 164</w:t>
            </w:r>
          </w:p>
        </w:tc>
      </w:tr>
      <w:tr w:rsidR="00C55629" w:rsidRPr="00C55629" w14:paraId="34C2B25C" w14:textId="77777777" w:rsidTr="0028479A">
        <w:trPr>
          <w:trHeight w:val="300"/>
        </w:trPr>
        <w:tc>
          <w:tcPr>
            <w:tcW w:w="1276" w:type="dxa"/>
          </w:tcPr>
          <w:p w14:paraId="1D9C956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07 10 08</w:t>
            </w:r>
          </w:p>
        </w:tc>
        <w:tc>
          <w:tcPr>
            <w:tcW w:w="5103" w:type="dxa"/>
            <w:vAlign w:val="center"/>
          </w:tcPr>
          <w:p w14:paraId="1B1D759B"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Public Prosecutor's Office (EPPO)</w:t>
            </w:r>
          </w:p>
        </w:tc>
        <w:tc>
          <w:tcPr>
            <w:tcW w:w="1701" w:type="dxa"/>
          </w:tcPr>
          <w:p w14:paraId="54356A36"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1 297 225</w:t>
            </w:r>
          </w:p>
        </w:tc>
        <w:tc>
          <w:tcPr>
            <w:tcW w:w="1701" w:type="dxa"/>
          </w:tcPr>
          <w:p w14:paraId="20388E9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1 297 225</w:t>
            </w:r>
          </w:p>
        </w:tc>
      </w:tr>
      <w:tr w:rsidR="00C55629" w:rsidRPr="00C55629" w14:paraId="72461695" w14:textId="77777777" w:rsidTr="0028479A">
        <w:trPr>
          <w:trHeight w:val="300"/>
        </w:trPr>
        <w:tc>
          <w:tcPr>
            <w:tcW w:w="1276" w:type="dxa"/>
          </w:tcPr>
          <w:p w14:paraId="2C415129"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07 10 09</w:t>
            </w:r>
          </w:p>
        </w:tc>
        <w:tc>
          <w:tcPr>
            <w:tcW w:w="5103" w:type="dxa"/>
            <w:vAlign w:val="center"/>
          </w:tcPr>
          <w:p w14:paraId="60D34E49"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Labour Authority (ELA)</w:t>
            </w:r>
          </w:p>
        </w:tc>
        <w:tc>
          <w:tcPr>
            <w:tcW w:w="1701" w:type="dxa"/>
          </w:tcPr>
          <w:p w14:paraId="256F2FCC"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351 925</w:t>
            </w:r>
          </w:p>
        </w:tc>
        <w:tc>
          <w:tcPr>
            <w:tcW w:w="1701" w:type="dxa"/>
          </w:tcPr>
          <w:p w14:paraId="35896074"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351 925</w:t>
            </w:r>
          </w:p>
        </w:tc>
      </w:tr>
      <w:tr w:rsidR="00C55629" w:rsidRPr="00C55629" w14:paraId="250364D5" w14:textId="77777777" w:rsidTr="0028479A">
        <w:tc>
          <w:tcPr>
            <w:tcW w:w="6379" w:type="dxa"/>
            <w:gridSpan w:val="2"/>
            <w:shd w:val="clear" w:color="auto" w:fill="D9D9D9"/>
          </w:tcPr>
          <w:p w14:paraId="05DD472C"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15000BF9"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7 203 567</w:t>
            </w:r>
          </w:p>
        </w:tc>
        <w:tc>
          <w:tcPr>
            <w:tcW w:w="1701" w:type="dxa"/>
            <w:shd w:val="clear" w:color="auto" w:fill="D9D9D9"/>
          </w:tcPr>
          <w:p w14:paraId="3DD810A5"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 xml:space="preserve">7 203 567 </w:t>
            </w:r>
          </w:p>
        </w:tc>
      </w:tr>
    </w:tbl>
    <w:p w14:paraId="0E3FFF85" w14:textId="77777777" w:rsidR="00C55629" w:rsidRPr="00C55629" w:rsidRDefault="00C55629" w:rsidP="00C55629">
      <w:pPr>
        <w:numPr>
          <w:ilvl w:val="0"/>
          <w:numId w:val="23"/>
        </w:numPr>
        <w:autoSpaceDE w:val="0"/>
        <w:autoSpaceDN w:val="0"/>
        <w:adjustRightInd w:val="0"/>
        <w:spacing w:before="120" w:after="120" w:line="240" w:lineRule="auto"/>
        <w:contextualSpacing/>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Heading 3 - Natural Resources and Environment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0136D159" w14:textId="77777777" w:rsidTr="0028479A">
        <w:tc>
          <w:tcPr>
            <w:tcW w:w="9781" w:type="dxa"/>
            <w:gridSpan w:val="4"/>
            <w:tcBorders>
              <w:top w:val="nil"/>
              <w:left w:val="nil"/>
              <w:bottom w:val="single" w:sz="4" w:space="0" w:color="auto"/>
              <w:right w:val="nil"/>
            </w:tcBorders>
            <w:shd w:val="clear" w:color="auto" w:fill="FFFFFF"/>
            <w:vAlign w:val="center"/>
          </w:tcPr>
          <w:p w14:paraId="483A5760"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6E3254A0" w14:textId="77777777" w:rsidTr="0028479A">
        <w:tc>
          <w:tcPr>
            <w:tcW w:w="1276" w:type="dxa"/>
            <w:tcBorders>
              <w:top w:val="single" w:sz="4" w:space="0" w:color="auto"/>
            </w:tcBorders>
            <w:shd w:val="clear" w:color="auto" w:fill="D9D9D9"/>
            <w:vAlign w:val="center"/>
          </w:tcPr>
          <w:p w14:paraId="2F0A0425"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2E4DDDDB"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7C44D470"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7796C5E2"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3C866518" w14:textId="77777777" w:rsidTr="0028479A">
        <w:trPr>
          <w:trHeight w:val="300"/>
        </w:trPr>
        <w:tc>
          <w:tcPr>
            <w:tcW w:w="1276" w:type="dxa"/>
          </w:tcPr>
          <w:p w14:paraId="1BE58320"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08 10 01</w:t>
            </w:r>
          </w:p>
        </w:tc>
        <w:tc>
          <w:tcPr>
            <w:tcW w:w="5103" w:type="dxa"/>
            <w:vAlign w:val="center"/>
          </w:tcPr>
          <w:p w14:paraId="4EE425FC"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Fisheries Control Agency</w:t>
            </w:r>
          </w:p>
        </w:tc>
        <w:tc>
          <w:tcPr>
            <w:tcW w:w="1701" w:type="dxa"/>
          </w:tcPr>
          <w:p w14:paraId="219219B4"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286 350</w:t>
            </w:r>
          </w:p>
        </w:tc>
        <w:tc>
          <w:tcPr>
            <w:tcW w:w="1701" w:type="dxa"/>
          </w:tcPr>
          <w:p w14:paraId="7CF0CA1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286 350</w:t>
            </w:r>
          </w:p>
        </w:tc>
      </w:tr>
      <w:tr w:rsidR="00C55629" w:rsidRPr="00C55629" w14:paraId="001DC7CA" w14:textId="77777777" w:rsidTr="0028479A">
        <w:trPr>
          <w:trHeight w:val="300"/>
        </w:trPr>
        <w:tc>
          <w:tcPr>
            <w:tcW w:w="1276" w:type="dxa"/>
          </w:tcPr>
          <w:p w14:paraId="0AE12A28"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09 10 01</w:t>
            </w:r>
          </w:p>
        </w:tc>
        <w:tc>
          <w:tcPr>
            <w:tcW w:w="5103" w:type="dxa"/>
            <w:vAlign w:val="center"/>
          </w:tcPr>
          <w:p w14:paraId="7B1AEB3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Chemicals Agency – Environmental directives and international conventions</w:t>
            </w:r>
          </w:p>
        </w:tc>
        <w:tc>
          <w:tcPr>
            <w:tcW w:w="1701" w:type="dxa"/>
          </w:tcPr>
          <w:p w14:paraId="52BF7187"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141 571</w:t>
            </w:r>
          </w:p>
        </w:tc>
        <w:tc>
          <w:tcPr>
            <w:tcW w:w="1701" w:type="dxa"/>
          </w:tcPr>
          <w:p w14:paraId="15733750"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141 571</w:t>
            </w:r>
          </w:p>
        </w:tc>
      </w:tr>
      <w:tr w:rsidR="00C55629" w:rsidRPr="00C55629" w14:paraId="1C702BFF" w14:textId="77777777" w:rsidTr="0028479A">
        <w:trPr>
          <w:trHeight w:val="300"/>
        </w:trPr>
        <w:tc>
          <w:tcPr>
            <w:tcW w:w="1276" w:type="dxa"/>
          </w:tcPr>
          <w:p w14:paraId="11864E0D"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09 10 02</w:t>
            </w:r>
          </w:p>
        </w:tc>
        <w:tc>
          <w:tcPr>
            <w:tcW w:w="5103" w:type="dxa"/>
            <w:vAlign w:val="center"/>
          </w:tcPr>
          <w:p w14:paraId="686D0F0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Environment Agency</w:t>
            </w:r>
          </w:p>
        </w:tc>
        <w:tc>
          <w:tcPr>
            <w:tcW w:w="1701" w:type="dxa"/>
          </w:tcPr>
          <w:p w14:paraId="3AE5901B"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962 392</w:t>
            </w:r>
          </w:p>
        </w:tc>
        <w:tc>
          <w:tcPr>
            <w:tcW w:w="1701" w:type="dxa"/>
          </w:tcPr>
          <w:p w14:paraId="13D639B2"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962 392</w:t>
            </w:r>
          </w:p>
        </w:tc>
      </w:tr>
      <w:tr w:rsidR="00C55629" w:rsidRPr="00C55629" w14:paraId="6C77A4A1" w14:textId="77777777" w:rsidTr="0028479A">
        <w:tc>
          <w:tcPr>
            <w:tcW w:w="6379" w:type="dxa"/>
            <w:gridSpan w:val="2"/>
            <w:shd w:val="clear" w:color="auto" w:fill="D9D9D9"/>
          </w:tcPr>
          <w:p w14:paraId="1654904F"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530E2CB"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1 390 313</w:t>
            </w:r>
          </w:p>
        </w:tc>
        <w:tc>
          <w:tcPr>
            <w:tcW w:w="1701" w:type="dxa"/>
            <w:shd w:val="clear" w:color="auto" w:fill="D9D9D9"/>
          </w:tcPr>
          <w:p w14:paraId="7F795325"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1 390 313</w:t>
            </w:r>
          </w:p>
        </w:tc>
      </w:tr>
    </w:tbl>
    <w:p w14:paraId="44F3ADCC" w14:textId="77777777" w:rsidR="00C55629" w:rsidRPr="00C55629" w:rsidRDefault="00C55629" w:rsidP="00C55629">
      <w:pPr>
        <w:numPr>
          <w:ilvl w:val="0"/>
          <w:numId w:val="23"/>
        </w:numPr>
        <w:autoSpaceDE w:val="0"/>
        <w:autoSpaceDN w:val="0"/>
        <w:adjustRightInd w:val="0"/>
        <w:spacing w:before="120" w:after="120" w:line="240" w:lineRule="auto"/>
        <w:contextualSpacing/>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Heading 4 - Migration and Border Management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0957EAC8" w14:textId="77777777" w:rsidTr="0028479A">
        <w:tc>
          <w:tcPr>
            <w:tcW w:w="9781" w:type="dxa"/>
            <w:gridSpan w:val="4"/>
            <w:tcBorders>
              <w:top w:val="nil"/>
              <w:left w:val="nil"/>
              <w:bottom w:val="single" w:sz="4" w:space="0" w:color="auto"/>
              <w:right w:val="nil"/>
            </w:tcBorders>
            <w:shd w:val="clear" w:color="auto" w:fill="FFFFFF"/>
            <w:vAlign w:val="center"/>
          </w:tcPr>
          <w:p w14:paraId="535F47F2"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69A33A4D" w14:textId="77777777" w:rsidTr="0028479A">
        <w:tc>
          <w:tcPr>
            <w:tcW w:w="1276" w:type="dxa"/>
            <w:tcBorders>
              <w:top w:val="single" w:sz="4" w:space="0" w:color="auto"/>
            </w:tcBorders>
            <w:shd w:val="clear" w:color="auto" w:fill="D9D9D9"/>
            <w:vAlign w:val="center"/>
          </w:tcPr>
          <w:p w14:paraId="0CD6A24C"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211CF476"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6EDB04D8"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6355B23A"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006FDDFB" w14:textId="77777777" w:rsidTr="0028479A">
        <w:trPr>
          <w:trHeight w:val="300"/>
        </w:trPr>
        <w:tc>
          <w:tcPr>
            <w:tcW w:w="1276" w:type="dxa"/>
          </w:tcPr>
          <w:p w14:paraId="3600970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10 10 01</w:t>
            </w:r>
          </w:p>
        </w:tc>
        <w:tc>
          <w:tcPr>
            <w:tcW w:w="5103" w:type="dxa"/>
            <w:vAlign w:val="center"/>
          </w:tcPr>
          <w:p w14:paraId="4FADE4F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Asylum (EUAA)</w:t>
            </w:r>
          </w:p>
        </w:tc>
        <w:tc>
          <w:tcPr>
            <w:tcW w:w="1701" w:type="dxa"/>
          </w:tcPr>
          <w:p w14:paraId="5D34DAC0"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1 425 925</w:t>
            </w:r>
          </w:p>
        </w:tc>
        <w:tc>
          <w:tcPr>
            <w:tcW w:w="1701" w:type="dxa"/>
          </w:tcPr>
          <w:p w14:paraId="4FB8D27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1 425 925</w:t>
            </w:r>
          </w:p>
        </w:tc>
      </w:tr>
      <w:tr w:rsidR="00C55629" w:rsidRPr="00C55629" w14:paraId="03AB7B1F" w14:textId="77777777" w:rsidTr="0028479A">
        <w:trPr>
          <w:trHeight w:val="300"/>
        </w:trPr>
        <w:tc>
          <w:tcPr>
            <w:tcW w:w="1276" w:type="dxa"/>
          </w:tcPr>
          <w:p w14:paraId="5EA38E1E"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11 10 02</w:t>
            </w:r>
          </w:p>
        </w:tc>
        <w:tc>
          <w:tcPr>
            <w:tcW w:w="5103" w:type="dxa"/>
            <w:vAlign w:val="center"/>
          </w:tcPr>
          <w:p w14:paraId="43900DFC"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the Operational Management of Large-Scale IT Systems in the Area of Freedom, Security and Justice (eu-LISA)</w:t>
            </w:r>
          </w:p>
        </w:tc>
        <w:tc>
          <w:tcPr>
            <w:tcW w:w="1701" w:type="dxa"/>
          </w:tcPr>
          <w:p w14:paraId="08754FDF"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1 191 352</w:t>
            </w:r>
          </w:p>
        </w:tc>
        <w:tc>
          <w:tcPr>
            <w:tcW w:w="1701" w:type="dxa"/>
          </w:tcPr>
          <w:p w14:paraId="1785D0E4"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1 191 352</w:t>
            </w:r>
          </w:p>
        </w:tc>
      </w:tr>
      <w:tr w:rsidR="00C55629" w:rsidRPr="00C55629" w14:paraId="46DA9A7A" w14:textId="77777777" w:rsidTr="0028479A">
        <w:tc>
          <w:tcPr>
            <w:tcW w:w="6379" w:type="dxa"/>
            <w:gridSpan w:val="2"/>
            <w:shd w:val="clear" w:color="auto" w:fill="D9D9D9"/>
          </w:tcPr>
          <w:p w14:paraId="649F01E4"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318796B"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2 617 277</w:t>
            </w:r>
          </w:p>
        </w:tc>
        <w:tc>
          <w:tcPr>
            <w:tcW w:w="1701" w:type="dxa"/>
            <w:shd w:val="clear" w:color="auto" w:fill="D9D9D9"/>
          </w:tcPr>
          <w:p w14:paraId="1CF6E5CD"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2 617 277</w:t>
            </w:r>
          </w:p>
        </w:tc>
      </w:tr>
    </w:tbl>
    <w:p w14:paraId="4B650C37" w14:textId="77777777" w:rsidR="00C55629" w:rsidRPr="00C55629" w:rsidRDefault="00C55629" w:rsidP="00C55629">
      <w:pPr>
        <w:numPr>
          <w:ilvl w:val="0"/>
          <w:numId w:val="23"/>
        </w:numPr>
        <w:autoSpaceDE w:val="0"/>
        <w:autoSpaceDN w:val="0"/>
        <w:adjustRightInd w:val="0"/>
        <w:spacing w:before="120" w:after="120" w:line="240" w:lineRule="auto"/>
        <w:contextualSpacing/>
        <w:jc w:val="both"/>
        <w:rPr>
          <w:rFonts w:ascii="Times New Roman" w:eastAsia="Times New Roman" w:hAnsi="Times New Roman" w:cs="Times New Roman"/>
          <w:b/>
          <w:bCs/>
          <w:noProof/>
          <w:kern w:val="0"/>
          <w:sz w:val="24"/>
          <w:szCs w:val="24"/>
          <w:lang w:val="en-GB" w:eastAsia="en-GB"/>
          <w14:ligatures w14:val="none"/>
        </w:rPr>
      </w:pPr>
      <w:r w:rsidRPr="00C55629">
        <w:rPr>
          <w:rFonts w:ascii="Times New Roman" w:eastAsia="Times New Roman" w:hAnsi="Times New Roman" w:cs="Times New Roman"/>
          <w:b/>
          <w:bCs/>
          <w:noProof/>
          <w:kern w:val="0"/>
          <w:sz w:val="24"/>
          <w:szCs w:val="24"/>
          <w:lang w:val="en-GB" w:eastAsia="en-GB"/>
          <w14:ligatures w14:val="none"/>
        </w:rPr>
        <w:t>Heading 5 - Resilience, Security and Defence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5682CDA7" w14:textId="77777777" w:rsidTr="0028479A">
        <w:tc>
          <w:tcPr>
            <w:tcW w:w="9781" w:type="dxa"/>
            <w:gridSpan w:val="4"/>
            <w:tcBorders>
              <w:top w:val="nil"/>
              <w:left w:val="nil"/>
              <w:bottom w:val="single" w:sz="4" w:space="0" w:color="auto"/>
              <w:right w:val="nil"/>
            </w:tcBorders>
            <w:shd w:val="clear" w:color="auto" w:fill="FFFFFF"/>
            <w:vAlign w:val="center"/>
          </w:tcPr>
          <w:p w14:paraId="7E928845"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2EA38D39" w14:textId="77777777" w:rsidTr="0028479A">
        <w:tc>
          <w:tcPr>
            <w:tcW w:w="1276" w:type="dxa"/>
            <w:tcBorders>
              <w:top w:val="single" w:sz="4" w:space="0" w:color="auto"/>
            </w:tcBorders>
            <w:shd w:val="clear" w:color="auto" w:fill="D9D9D9"/>
            <w:vAlign w:val="center"/>
          </w:tcPr>
          <w:p w14:paraId="731872FB"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0BFFF5EE"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758A70EB"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5B1ACFD2"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0914AA74" w14:textId="77777777" w:rsidTr="0028479A">
        <w:trPr>
          <w:trHeight w:val="300"/>
        </w:trPr>
        <w:tc>
          <w:tcPr>
            <w:tcW w:w="1276" w:type="dxa"/>
          </w:tcPr>
          <w:p w14:paraId="536D86B1"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12 10 01</w:t>
            </w:r>
          </w:p>
        </w:tc>
        <w:tc>
          <w:tcPr>
            <w:tcW w:w="5103" w:type="dxa"/>
            <w:vAlign w:val="center"/>
          </w:tcPr>
          <w:p w14:paraId="2BD51CFA"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Law Enforcement Cooperation (Europol)</w:t>
            </w:r>
          </w:p>
        </w:tc>
        <w:tc>
          <w:tcPr>
            <w:tcW w:w="1701" w:type="dxa"/>
          </w:tcPr>
          <w:p w14:paraId="29C5732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2 934 906</w:t>
            </w:r>
          </w:p>
        </w:tc>
        <w:tc>
          <w:tcPr>
            <w:tcW w:w="1701" w:type="dxa"/>
          </w:tcPr>
          <w:p w14:paraId="16DF217E"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2 934 906</w:t>
            </w:r>
          </w:p>
        </w:tc>
      </w:tr>
      <w:tr w:rsidR="00C55629" w:rsidRPr="00C55629" w14:paraId="6154C509" w14:textId="77777777" w:rsidTr="0028479A">
        <w:trPr>
          <w:trHeight w:val="300"/>
        </w:trPr>
        <w:tc>
          <w:tcPr>
            <w:tcW w:w="1276" w:type="dxa"/>
          </w:tcPr>
          <w:p w14:paraId="78DBE925"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12 10 02</w:t>
            </w:r>
          </w:p>
        </w:tc>
        <w:tc>
          <w:tcPr>
            <w:tcW w:w="5103" w:type="dxa"/>
            <w:vAlign w:val="center"/>
          </w:tcPr>
          <w:p w14:paraId="278C3BCF"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Law Enforcement Training (CEPOL)</w:t>
            </w:r>
          </w:p>
        </w:tc>
        <w:tc>
          <w:tcPr>
            <w:tcW w:w="1701" w:type="dxa"/>
          </w:tcPr>
          <w:p w14:paraId="49DF4858"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124 115</w:t>
            </w:r>
          </w:p>
        </w:tc>
        <w:tc>
          <w:tcPr>
            <w:tcW w:w="1701" w:type="dxa"/>
          </w:tcPr>
          <w:p w14:paraId="15E73123"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124 115</w:t>
            </w:r>
          </w:p>
        </w:tc>
      </w:tr>
      <w:tr w:rsidR="00C55629" w:rsidRPr="00C55629" w14:paraId="28AF5412" w14:textId="77777777" w:rsidTr="0028479A">
        <w:trPr>
          <w:trHeight w:val="300"/>
        </w:trPr>
        <w:tc>
          <w:tcPr>
            <w:tcW w:w="1276" w:type="dxa"/>
          </w:tcPr>
          <w:p w14:paraId="0C17C264"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12 10 03</w:t>
            </w:r>
          </w:p>
        </w:tc>
        <w:tc>
          <w:tcPr>
            <w:tcW w:w="5103" w:type="dxa"/>
            <w:vAlign w:val="center"/>
          </w:tcPr>
          <w:p w14:paraId="06891AD2"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Drugs Agency (EUDA)</w:t>
            </w:r>
          </w:p>
        </w:tc>
        <w:tc>
          <w:tcPr>
            <w:tcW w:w="1701" w:type="dxa"/>
          </w:tcPr>
          <w:p w14:paraId="54D6AF5F"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430 239</w:t>
            </w:r>
          </w:p>
        </w:tc>
        <w:tc>
          <w:tcPr>
            <w:tcW w:w="1701" w:type="dxa"/>
          </w:tcPr>
          <w:p w14:paraId="4B12BB7C"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Times New Roman" w:hAnsi="Times New Roman" w:cs="Times New Roman"/>
                <w:noProof/>
                <w:kern w:val="0"/>
                <w:sz w:val="16"/>
                <w:szCs w:val="16"/>
                <w:lang w:val="en-GB" w:eastAsia="en-GB"/>
                <w14:ligatures w14:val="none"/>
              </w:rPr>
              <w:t>430 239</w:t>
            </w:r>
          </w:p>
        </w:tc>
      </w:tr>
      <w:tr w:rsidR="00C55629" w:rsidRPr="00C55629" w14:paraId="77D814AE" w14:textId="77777777" w:rsidTr="0028479A">
        <w:tc>
          <w:tcPr>
            <w:tcW w:w="6379" w:type="dxa"/>
            <w:gridSpan w:val="2"/>
            <w:shd w:val="clear" w:color="auto" w:fill="D9D9D9"/>
          </w:tcPr>
          <w:p w14:paraId="69391014"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D2AAB6D"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3 489 260</w:t>
            </w:r>
            <w:r w:rsidRPr="00C55629" w:rsidDel="007A2247">
              <w:rPr>
                <w:rFonts w:ascii="Times New Roman" w:eastAsia="Calibri" w:hAnsi="Times New Roman" w:cs="Times New Roman"/>
                <w:b/>
                <w:bCs/>
                <w:noProof/>
                <w:kern w:val="0"/>
                <w:sz w:val="20"/>
                <w:szCs w:val="20"/>
                <w:lang w:val="en-GB"/>
                <w14:ligatures w14:val="none"/>
              </w:rPr>
              <w:t xml:space="preserve"> </w:t>
            </w:r>
          </w:p>
        </w:tc>
        <w:tc>
          <w:tcPr>
            <w:tcW w:w="1701" w:type="dxa"/>
            <w:shd w:val="clear" w:color="auto" w:fill="D9D9D9"/>
          </w:tcPr>
          <w:p w14:paraId="78FF5E78" w14:textId="77777777" w:rsidR="00C55629" w:rsidRPr="00C55629" w:rsidRDefault="00C55629" w:rsidP="00C55629">
            <w:pPr>
              <w:spacing w:after="0"/>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3 489 260</w:t>
            </w:r>
          </w:p>
        </w:tc>
      </w:tr>
    </w:tbl>
    <w:p w14:paraId="379E576A" w14:textId="77777777" w:rsidR="00C55629" w:rsidRPr="00C55629" w:rsidRDefault="00C55629" w:rsidP="00CA47B3">
      <w:pPr>
        <w:pStyle w:val="ManualHeading1"/>
        <w:rPr>
          <w:noProof/>
        </w:rPr>
      </w:pPr>
      <w:r w:rsidRPr="00C55629">
        <w:rPr>
          <w:noProof/>
        </w:rPr>
        <w:t>8.</w:t>
      </w:r>
      <w:r w:rsidRPr="00C55629">
        <w:rPr>
          <w:noProof/>
        </w:rPr>
        <w:tab/>
        <w:t>Additional adjustments to decentralised agencies</w:t>
      </w:r>
    </w:p>
    <w:p w14:paraId="508C4F41" w14:textId="77777777" w:rsidR="00C55629" w:rsidRPr="00C55629" w:rsidRDefault="00C55629" w:rsidP="00C55629">
      <w:pPr>
        <w:keepNext/>
        <w:tabs>
          <w:tab w:val="left" w:pos="850"/>
        </w:tabs>
        <w:spacing w:before="360" w:after="120" w:line="240" w:lineRule="auto"/>
        <w:jc w:val="both"/>
        <w:outlineLvl w:val="0"/>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Times New Roman" w:hAnsi="Times New Roman" w:cs="Times New Roman"/>
          <w:b/>
          <w:smallCaps/>
          <w:noProof/>
          <w:kern w:val="0"/>
          <w:sz w:val="24"/>
          <w:szCs w:val="24"/>
          <w:lang w:val="en-GB" w:eastAsia="de-DE"/>
          <w14:ligatures w14:val="none"/>
        </w:rPr>
        <w:t>8.1. Reinforcement for the European Union Agency for Law Enforcement Training (CEPOL)</w:t>
      </w:r>
    </w:p>
    <w:p w14:paraId="31C950F9"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In early June 2024, the European Union Agency for Law Enforcement Training (CEPOL) was the target of a series of cyberattacks. The incidents were immediately reported to the competent Cybersecurity Service for the EU institutions, bodies, offices and agencies (CERT-EU). After a full investigation launched in collaboration with CERT-EU, the agency needed a complete rebuilding of its IT infrastructure. To allow the agency to substantially increase its cybersecurity up to the highest levels, the Commission proposes to increase the EU contribution to the agency for 2025 by EUR 1 million in commitment and payment appropriations and to add one additional AD post to its establishment plan. With respect to 2024, the Commission proposed a reinforcement in the DAB 5/2024, to cover the immediate costs of the cyber-attacks. The agency will work closely with the Commission (DG DIGIT) to rebuild its IT infrastructure and for the maintenance of its cyber security.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C55629" w:rsidRPr="00C55629" w14:paraId="5351A270" w14:textId="77777777" w:rsidTr="00C55629">
        <w:tc>
          <w:tcPr>
            <w:tcW w:w="9781" w:type="dxa"/>
            <w:gridSpan w:val="4"/>
            <w:tcBorders>
              <w:top w:val="nil"/>
              <w:left w:val="nil"/>
              <w:bottom w:val="single" w:sz="4" w:space="0" w:color="auto"/>
              <w:right w:val="nil"/>
            </w:tcBorders>
            <w:shd w:val="clear" w:color="auto" w:fill="FFFFFF"/>
            <w:vAlign w:val="center"/>
          </w:tcPr>
          <w:p w14:paraId="13342A90"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i/>
                <w:noProof/>
                <w:kern w:val="0"/>
                <w:sz w:val="20"/>
                <w:szCs w:val="20"/>
                <w:shd w:val="clear" w:color="auto" w:fill="FFFFFF"/>
                <w:lang w:val="en-GB"/>
                <w14:ligatures w14:val="none"/>
              </w:rPr>
              <w:t>Amounts in</w:t>
            </w:r>
            <w:r w:rsidRPr="00C55629">
              <w:rPr>
                <w:rFonts w:ascii="Times New Roman" w:eastAsia="Calibri" w:hAnsi="Times New Roman" w:cs="Times New Roman"/>
                <w:i/>
                <w:noProof/>
                <w:kern w:val="0"/>
                <w:sz w:val="20"/>
                <w:szCs w:val="20"/>
                <w:lang w:val="en-GB"/>
                <w14:ligatures w14:val="none"/>
              </w:rPr>
              <w:t xml:space="preserve"> EUR</w:t>
            </w:r>
          </w:p>
        </w:tc>
      </w:tr>
      <w:tr w:rsidR="00C55629" w:rsidRPr="00C55629" w14:paraId="3A508CF6" w14:textId="77777777" w:rsidTr="00C55629">
        <w:tc>
          <w:tcPr>
            <w:tcW w:w="1276" w:type="dxa"/>
            <w:tcBorders>
              <w:top w:val="single" w:sz="4" w:space="0" w:color="auto"/>
            </w:tcBorders>
            <w:shd w:val="clear" w:color="auto" w:fill="D9D9D9"/>
            <w:vAlign w:val="center"/>
          </w:tcPr>
          <w:p w14:paraId="7DD19181"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6BC7F480"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70FBCF67"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07509AD5"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5F674C9D" w14:textId="77777777" w:rsidTr="0028479A">
        <w:tc>
          <w:tcPr>
            <w:tcW w:w="1276" w:type="dxa"/>
            <w:vAlign w:val="center"/>
          </w:tcPr>
          <w:p w14:paraId="3F3C79F5"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12 10 02</w:t>
            </w:r>
          </w:p>
        </w:tc>
        <w:tc>
          <w:tcPr>
            <w:tcW w:w="5103" w:type="dxa"/>
            <w:vAlign w:val="center"/>
          </w:tcPr>
          <w:p w14:paraId="0E1F7583" w14:textId="77777777" w:rsidR="00C55629" w:rsidRPr="00C55629" w:rsidRDefault="00C55629" w:rsidP="00C55629">
            <w:pPr>
              <w:widowControl w:val="0"/>
              <w:spacing w:before="15" w:after="15"/>
              <w:ind w:right="-113"/>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Union Agency for Law Enforcement Training (CEPOL)</w:t>
            </w:r>
          </w:p>
        </w:tc>
        <w:tc>
          <w:tcPr>
            <w:tcW w:w="1701" w:type="dxa"/>
            <w:vAlign w:val="center"/>
          </w:tcPr>
          <w:p w14:paraId="67EBDD55"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eastAsia="en-GB"/>
                <w14:ligatures w14:val="none"/>
              </w:rPr>
            </w:pPr>
            <w:r w:rsidRPr="00C55629">
              <w:rPr>
                <w:rFonts w:ascii="Times New Roman" w:eastAsia="Calibri" w:hAnsi="Times New Roman" w:cs="Times New Roman"/>
                <w:noProof/>
                <w:kern w:val="0"/>
                <w:sz w:val="16"/>
                <w:szCs w:val="16"/>
                <w:lang w:val="en-GB"/>
                <w14:ligatures w14:val="none"/>
              </w:rPr>
              <w:t>1 100 000</w:t>
            </w:r>
          </w:p>
        </w:tc>
        <w:tc>
          <w:tcPr>
            <w:tcW w:w="1701" w:type="dxa"/>
            <w:vAlign w:val="center"/>
          </w:tcPr>
          <w:p w14:paraId="5E96EF4D"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1 100 000</w:t>
            </w:r>
          </w:p>
        </w:tc>
      </w:tr>
      <w:tr w:rsidR="00C55629" w:rsidRPr="00C55629" w14:paraId="557A8EE3" w14:textId="77777777" w:rsidTr="00C55629">
        <w:tc>
          <w:tcPr>
            <w:tcW w:w="6379" w:type="dxa"/>
            <w:gridSpan w:val="2"/>
            <w:shd w:val="clear" w:color="auto" w:fill="D9D9D9"/>
          </w:tcPr>
          <w:p w14:paraId="18F3159A" w14:textId="77777777" w:rsidR="00C55629" w:rsidRPr="00C55629" w:rsidRDefault="00C55629" w:rsidP="00C55629">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090845F" w14:textId="77777777" w:rsidR="00C55629" w:rsidRPr="00C55629" w:rsidRDefault="00C55629" w:rsidP="00C55629">
            <w:pPr>
              <w:spacing w:after="0"/>
              <w:jc w:val="right"/>
              <w:rPr>
                <w:rFonts w:ascii="Times New Roman" w:eastAsia="Times New Roman" w:hAnsi="Times New Roman" w:cs="Times New Roman"/>
                <w:noProof/>
                <w:kern w:val="0"/>
                <w:sz w:val="20"/>
                <w:szCs w:val="20"/>
                <w:lang w:val="en-GB" w:eastAsia="en-GB"/>
                <w14:ligatures w14:val="none"/>
              </w:rPr>
            </w:pPr>
            <w:r w:rsidRPr="00C55629">
              <w:rPr>
                <w:rFonts w:ascii="Times New Roman" w:eastAsia="Calibri" w:hAnsi="Times New Roman" w:cs="Times New Roman"/>
                <w:b/>
                <w:bCs/>
                <w:noProof/>
                <w:kern w:val="0"/>
                <w:sz w:val="20"/>
                <w:szCs w:val="20"/>
                <w:lang w:val="en-GB"/>
                <w14:ligatures w14:val="none"/>
              </w:rPr>
              <w:t>1 100 000</w:t>
            </w:r>
          </w:p>
        </w:tc>
        <w:tc>
          <w:tcPr>
            <w:tcW w:w="1701" w:type="dxa"/>
            <w:shd w:val="clear" w:color="auto" w:fill="D9D9D9"/>
          </w:tcPr>
          <w:p w14:paraId="0332F8AC" w14:textId="77777777" w:rsidR="00C55629" w:rsidRPr="00C55629" w:rsidRDefault="00C55629" w:rsidP="00C55629">
            <w:pPr>
              <w:spacing w:after="0"/>
              <w:jc w:val="right"/>
              <w:rPr>
                <w:rFonts w:ascii="Times New Roman" w:eastAsia="Times New Roman" w:hAnsi="Times New Roman" w:cs="Times New Roman"/>
                <w:noProof/>
                <w:kern w:val="0"/>
                <w:sz w:val="20"/>
                <w:szCs w:val="20"/>
                <w:lang w:val="en-GB" w:eastAsia="en-GB"/>
                <w14:ligatures w14:val="none"/>
              </w:rPr>
            </w:pPr>
            <w:r w:rsidRPr="00C55629">
              <w:rPr>
                <w:rFonts w:ascii="Times New Roman" w:eastAsia="Calibri" w:hAnsi="Times New Roman" w:cs="Times New Roman"/>
                <w:b/>
                <w:bCs/>
                <w:noProof/>
                <w:kern w:val="0"/>
                <w:sz w:val="20"/>
                <w:szCs w:val="20"/>
                <w:lang w:val="en-GB"/>
                <w14:ligatures w14:val="none"/>
              </w:rPr>
              <w:t>1 100 000</w:t>
            </w:r>
          </w:p>
        </w:tc>
      </w:tr>
    </w:tbl>
    <w:p w14:paraId="59C88158" w14:textId="77777777" w:rsidR="00C55629" w:rsidRPr="00C55629" w:rsidRDefault="00C55629" w:rsidP="00C55629">
      <w:pPr>
        <w:spacing w:after="0" w:line="240" w:lineRule="auto"/>
        <w:jc w:val="both"/>
        <w:rPr>
          <w:rFonts w:ascii="Times New Roman" w:eastAsia="Times New Roman" w:hAnsi="Times New Roman" w:cs="Times New Roman"/>
          <w:noProof/>
          <w:kern w:val="0"/>
          <w:sz w:val="24"/>
          <w:szCs w:val="24"/>
          <w:lang w:val="en-GB" w:eastAsia="en-GB"/>
          <w14:ligatures w14:val="none"/>
        </w:rPr>
      </w:pPr>
    </w:p>
    <w:p w14:paraId="7C16E681" w14:textId="77777777" w:rsidR="00C55629" w:rsidRPr="00C55629" w:rsidDel="00D652BF"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sidDel="00D652BF">
        <w:rPr>
          <w:rFonts w:ascii="Times New Roman" w:eastAsia="Times New Roman" w:hAnsi="Times New Roman" w:cs="Times New Roman"/>
          <w:noProof/>
          <w:kern w:val="0"/>
          <w:sz w:val="24"/>
          <w:szCs w:val="24"/>
          <w:lang w:val="en-GB" w:eastAsia="de-DE"/>
          <w14:ligatures w14:val="none"/>
        </w:rPr>
        <w:t xml:space="preserve">In combination with the effect of the salary update </w:t>
      </w:r>
      <w:r w:rsidRPr="00C55629">
        <w:rPr>
          <w:rFonts w:ascii="Times New Roman" w:eastAsia="Times New Roman" w:hAnsi="Times New Roman" w:cs="Times New Roman"/>
          <w:noProof/>
          <w:kern w:val="0"/>
          <w:sz w:val="24"/>
          <w:szCs w:val="24"/>
          <w:lang w:val="en-GB" w:eastAsia="de-DE"/>
          <w14:ligatures w14:val="none"/>
        </w:rPr>
        <w:t xml:space="preserve">mentioned above </w:t>
      </w:r>
      <w:r w:rsidRPr="00C55629" w:rsidDel="00D652BF">
        <w:rPr>
          <w:rFonts w:ascii="Times New Roman" w:eastAsia="Times New Roman" w:hAnsi="Times New Roman" w:cs="Times New Roman"/>
          <w:noProof/>
          <w:kern w:val="0"/>
          <w:sz w:val="24"/>
          <w:szCs w:val="24"/>
          <w:lang w:val="en-GB" w:eastAsia="de-DE"/>
          <w14:ligatures w14:val="none"/>
        </w:rPr>
        <w:t>(proposed reinforcement of the EU contribution of EUR</w:t>
      </w:r>
      <w:r w:rsidRPr="00C55629">
        <w:rPr>
          <w:rFonts w:ascii="Times New Roman" w:eastAsia="Times New Roman" w:hAnsi="Times New Roman" w:cs="Times New Roman"/>
          <w:noProof/>
          <w:kern w:val="0"/>
          <w:sz w:val="24"/>
          <w:szCs w:val="24"/>
          <w:lang w:val="en-GB" w:eastAsia="de-DE"/>
          <w14:ligatures w14:val="none"/>
        </w:rPr>
        <w:t> 124 115</w:t>
      </w:r>
      <w:r w:rsidRPr="00C55629" w:rsidDel="00D652BF">
        <w:rPr>
          <w:rFonts w:ascii="Times New Roman" w:eastAsia="Times New Roman" w:hAnsi="Times New Roman" w:cs="Times New Roman"/>
          <w:noProof/>
          <w:kern w:val="0"/>
          <w:sz w:val="24"/>
          <w:szCs w:val="24"/>
          <w:lang w:val="en-GB" w:eastAsia="de-DE"/>
          <w14:ligatures w14:val="none"/>
        </w:rPr>
        <w:t>), the total reinforcement for CEPOL is proposed to be</w:t>
      </w:r>
      <w:r w:rsidRPr="00C55629">
        <w:rPr>
          <w:rFonts w:ascii="Times New Roman" w:eastAsia="Times New Roman" w:hAnsi="Times New Roman" w:cs="Times New Roman"/>
          <w:noProof/>
          <w:kern w:val="0"/>
          <w:sz w:val="24"/>
          <w:szCs w:val="24"/>
          <w:lang w:val="en-GB" w:eastAsia="de-DE"/>
          <w14:ligatures w14:val="none"/>
        </w:rPr>
        <w:t xml:space="preserve"> increased by</w:t>
      </w:r>
      <w:r w:rsidRPr="00C55629" w:rsidDel="00D652BF">
        <w:rPr>
          <w:rFonts w:ascii="Times New Roman" w:eastAsia="Times New Roman" w:hAnsi="Times New Roman" w:cs="Times New Roman"/>
          <w:noProof/>
          <w:kern w:val="0"/>
          <w:sz w:val="24"/>
          <w:szCs w:val="24"/>
          <w:lang w:val="en-GB" w:eastAsia="de-DE"/>
          <w14:ligatures w14:val="none"/>
        </w:rPr>
        <w:t xml:space="preserve"> EUR</w:t>
      </w:r>
      <w:r w:rsidRPr="00C55629">
        <w:rPr>
          <w:rFonts w:ascii="Times New Roman" w:eastAsia="Times New Roman" w:hAnsi="Times New Roman" w:cs="Times New Roman"/>
          <w:noProof/>
          <w:kern w:val="0"/>
          <w:sz w:val="24"/>
          <w:szCs w:val="24"/>
          <w:lang w:val="en-GB" w:eastAsia="de-DE"/>
          <w14:ligatures w14:val="none"/>
        </w:rPr>
        <w:t> 1 224 115</w:t>
      </w:r>
      <w:r w:rsidRPr="00C55629" w:rsidDel="00D652BF">
        <w:rPr>
          <w:rFonts w:ascii="Times New Roman" w:eastAsia="Times New Roman" w:hAnsi="Times New Roman" w:cs="Times New Roman"/>
          <w:noProof/>
          <w:kern w:val="0"/>
          <w:sz w:val="24"/>
          <w:szCs w:val="24"/>
          <w:lang w:val="en-GB" w:eastAsia="de-DE"/>
          <w14:ligatures w14:val="none"/>
        </w:rPr>
        <w:t xml:space="preserve">. </w:t>
      </w:r>
    </w:p>
    <w:p w14:paraId="1595E564" w14:textId="77777777" w:rsidR="00C55629" w:rsidRPr="00C55629" w:rsidRDefault="00C55629" w:rsidP="00C55629">
      <w:pPr>
        <w:spacing w:after="0"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updated establishment plan is set out in the budgetary annex.</w:t>
      </w:r>
    </w:p>
    <w:p w14:paraId="328DF0FD" w14:textId="77777777" w:rsidR="00C55629" w:rsidRPr="00C55629" w:rsidRDefault="00C55629" w:rsidP="00C55629">
      <w:pPr>
        <w:keepNext/>
        <w:tabs>
          <w:tab w:val="left" w:pos="850"/>
        </w:tabs>
        <w:spacing w:before="360" w:after="120" w:line="240" w:lineRule="auto"/>
        <w:jc w:val="both"/>
        <w:outlineLvl w:val="0"/>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Times New Roman" w:hAnsi="Times New Roman" w:cs="Times New Roman"/>
          <w:b/>
          <w:smallCaps/>
          <w:noProof/>
          <w:kern w:val="0"/>
          <w:sz w:val="24"/>
          <w:szCs w:val="24"/>
          <w:lang w:val="en-GB" w:eastAsia="de-DE"/>
          <w14:ligatures w14:val="none"/>
        </w:rPr>
        <w:t>8.2. Adjustments to the establishment plans for the European union Agency for Law Enforcement Cooperation (Europol) and the European Union Agency for Criminal Justice Cooperation (Eurojust)</w:t>
      </w:r>
    </w:p>
    <w:p w14:paraId="0A62F494" w14:textId="77777777" w:rsidR="00C55629" w:rsidRPr="00C55629" w:rsidRDefault="00C55629" w:rsidP="00C55629">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The breakdown of posts across the grades of the establishment plans of the European Union Agency for Law Enforcement Cooperation (Europol) and of the European Union Agency for Criminal Justice Cooperation (Eurojust), as transmitted by the agencies in the context of the preparation of the DB 2025, does not allow for the necessary career development of staff through reclassification. Following a careful review of the grades carried out with Europol and Eurojust, the Commission proposes to adjust the breakdown of the grades in the establishment plan accordingly. The overall budget and the total number of posts of Europol and Eurojust remain unchanged. </w:t>
      </w:r>
    </w:p>
    <w:p w14:paraId="114D7D01" w14:textId="77777777" w:rsidR="00C55629" w:rsidRPr="00C55629" w:rsidRDefault="00C55629" w:rsidP="00C55629">
      <w:pPr>
        <w:spacing w:after="0"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updated establishment plans are set out in the budgetary annex.</w:t>
      </w:r>
    </w:p>
    <w:p w14:paraId="64C13B6B" w14:textId="77777777" w:rsidR="00C55629" w:rsidRPr="00C55629" w:rsidRDefault="00C55629" w:rsidP="00C55629">
      <w:pPr>
        <w:keepNext/>
        <w:tabs>
          <w:tab w:val="left" w:pos="850"/>
        </w:tabs>
        <w:spacing w:before="360" w:after="120" w:line="240" w:lineRule="auto"/>
        <w:jc w:val="both"/>
        <w:outlineLvl w:val="0"/>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Times New Roman" w:hAnsi="Times New Roman" w:cs="Times New Roman"/>
          <w:b/>
          <w:smallCaps/>
          <w:noProof/>
          <w:kern w:val="0"/>
          <w:sz w:val="24"/>
          <w:szCs w:val="24"/>
          <w:lang w:val="en-GB" w:eastAsia="de-DE"/>
          <w14:ligatures w14:val="none"/>
        </w:rPr>
        <w:t>8.3. Reinforcement of the European Public Prosecutor’s Office (EPPO)</w:t>
      </w:r>
    </w:p>
    <w:p w14:paraId="64117094" w14:textId="77777777" w:rsidR="00C55629" w:rsidRPr="00C55629" w:rsidRDefault="00C55629" w:rsidP="00C55629">
      <w:pPr>
        <w:spacing w:after="120"/>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 xml:space="preserve">The EPPO has its headquarters in Luxembourg. To allow the EPPO to introduce a Luxembourg allowance for staff at the lower grades to assist them in meeting the costs of accommodation in Luxembourg as other EU institutions are planning on introducing, it is proposed to include an amount of </w:t>
      </w:r>
      <w:r w:rsidRPr="00C55629">
        <w:rPr>
          <w:rFonts w:ascii="Times New Roman" w:eastAsia="Calibri" w:hAnsi="Times New Roman" w:cs="Times New Roman"/>
          <w:noProof/>
          <w:kern w:val="0"/>
          <w:sz w:val="24"/>
          <w:szCs w:val="24"/>
          <w:lang w:val="en-GB" w:eastAsia="en-GB"/>
          <w14:ligatures w14:val="none"/>
        </w:rPr>
        <w:t>EUR 499</w:t>
      </w:r>
      <w:r w:rsidRPr="00C55629">
        <w:rPr>
          <w:rFonts w:ascii="Times New Roman" w:eastAsia="Calibri" w:hAnsi="Times New Roman" w:cs="Times New Roman"/>
          <w:noProof/>
          <w:kern w:val="0"/>
          <w:sz w:val="24"/>
          <w:szCs w:val="24"/>
          <w:lang w:val="en-GB"/>
          <w14:ligatures w14:val="none"/>
        </w:rPr>
        <w:t> 848 for such expenditure, pending the final adoption of the related internal decision.</w:t>
      </w:r>
    </w:p>
    <w:p w14:paraId="0C18CF83" w14:textId="77777777" w:rsidR="00C55629" w:rsidRPr="00C55629" w:rsidRDefault="00C55629" w:rsidP="00C55629">
      <w:pPr>
        <w:spacing w:after="120"/>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Additionally, to ensure the EPPO’s IT-independence from the Commission IT network, it is proposed to reinforce EPPO by allocating three establishment plan posts and one contract agent to take account of the additional workload. This would require EUR 2 814 000 to cover the salaries of the staff to be hired as well as EPPO IT-expenditure needed for its IT-independence.</w:t>
      </w:r>
    </w:p>
    <w:p w14:paraId="2EDD7DBA" w14:textId="77777777" w:rsidR="00C55629" w:rsidRPr="00C55629" w:rsidRDefault="00C55629" w:rsidP="00C55629">
      <w:pPr>
        <w:spacing w:after="120" w:line="240" w:lineRule="auto"/>
        <w:jc w:val="both"/>
        <w:rPr>
          <w:rFonts w:ascii="Times New Roman" w:eastAsia="Calibri" w:hAnsi="Times New Roman" w:cs="Times New Roman"/>
          <w:noProof/>
          <w:kern w:val="0"/>
          <w:sz w:val="24"/>
          <w:szCs w:val="24"/>
          <w:lang w:val="en-GB"/>
          <w14:ligatures w14:val="none"/>
        </w:rPr>
      </w:pPr>
      <w:r w:rsidRPr="00C55629">
        <w:rPr>
          <w:rFonts w:ascii="Times New Roman" w:eastAsia="Times New Roman" w:hAnsi="Times New Roman" w:cs="Times New Roman"/>
          <w:noProof/>
          <w:kern w:val="0"/>
          <w:sz w:val="24"/>
          <w:szCs w:val="24"/>
          <w:lang w:val="en-GB" w:eastAsia="en-GB"/>
          <w14:ligatures w14:val="none"/>
        </w:rPr>
        <w:t>Consequently, the proposed reinforcement of the EU contribution to EPPO amounts to EUR 3,3 million, as follows: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C55629" w:rsidRPr="00C55629" w14:paraId="16F2DA50" w14:textId="77777777" w:rsidTr="0028479A">
        <w:trPr>
          <w:jc w:val="center"/>
        </w:trPr>
        <w:tc>
          <w:tcPr>
            <w:tcW w:w="9810" w:type="dxa"/>
            <w:gridSpan w:val="4"/>
            <w:tcBorders>
              <w:top w:val="nil"/>
              <w:left w:val="nil"/>
              <w:bottom w:val="single" w:sz="4" w:space="0" w:color="auto"/>
              <w:right w:val="nil"/>
            </w:tcBorders>
            <w:shd w:val="clear" w:color="auto" w:fill="auto"/>
            <w:vAlign w:val="center"/>
          </w:tcPr>
          <w:p w14:paraId="022D17B3" w14:textId="77777777" w:rsidR="00C55629" w:rsidRPr="00C55629" w:rsidRDefault="00C55629" w:rsidP="00C55629">
            <w:pPr>
              <w:widowControl w:val="0"/>
              <w:spacing w:before="15" w:after="15"/>
              <w:jc w:val="right"/>
              <w:rPr>
                <w:rFonts w:ascii="Times New Roman" w:eastAsia="Calibri" w:hAnsi="Times New Roman" w:cs="Times New Roman"/>
                <w:i/>
                <w:noProof/>
                <w:kern w:val="0"/>
                <w:sz w:val="20"/>
                <w:szCs w:val="20"/>
                <w:lang w:val="en-GB"/>
                <w14:ligatures w14:val="none"/>
              </w:rPr>
            </w:pPr>
            <w:r w:rsidRPr="00C55629">
              <w:rPr>
                <w:rFonts w:ascii="Times New Roman" w:eastAsia="Calibri" w:hAnsi="Times New Roman" w:cs="Times New Roman"/>
                <w:i/>
                <w:noProof/>
                <w:kern w:val="0"/>
                <w:sz w:val="20"/>
                <w:szCs w:val="20"/>
                <w:lang w:val="en-GB"/>
                <w14:ligatures w14:val="none"/>
              </w:rPr>
              <w:t>EUR</w:t>
            </w:r>
          </w:p>
        </w:tc>
      </w:tr>
      <w:tr w:rsidR="00C55629" w:rsidRPr="00C55629" w14:paraId="4EAA8CA9" w14:textId="77777777" w:rsidTr="0028479A">
        <w:trPr>
          <w:jc w:val="center"/>
        </w:trPr>
        <w:tc>
          <w:tcPr>
            <w:tcW w:w="1276" w:type="dxa"/>
            <w:tcBorders>
              <w:top w:val="single" w:sz="4" w:space="0" w:color="auto"/>
            </w:tcBorders>
            <w:shd w:val="clear" w:color="auto" w:fill="D9D9D9"/>
            <w:vAlign w:val="center"/>
          </w:tcPr>
          <w:p w14:paraId="7DADEFF3" w14:textId="77777777" w:rsidR="00C55629" w:rsidRPr="00C55629" w:rsidRDefault="00C55629" w:rsidP="00C55629">
            <w:pPr>
              <w:keepNext/>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32" w:type="dxa"/>
            <w:tcBorders>
              <w:top w:val="single" w:sz="4" w:space="0" w:color="auto"/>
            </w:tcBorders>
            <w:shd w:val="clear" w:color="auto" w:fill="D9D9D9"/>
            <w:vAlign w:val="center"/>
          </w:tcPr>
          <w:p w14:paraId="14DB39A9" w14:textId="77777777" w:rsidR="00C55629" w:rsidRPr="00C55629" w:rsidRDefault="00C55629" w:rsidP="00C55629">
            <w:pPr>
              <w:widowControl w:val="0"/>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vAlign w:val="center"/>
          </w:tcPr>
          <w:p w14:paraId="393FCFF4" w14:textId="77777777" w:rsidR="00C55629" w:rsidRPr="00C55629" w:rsidRDefault="00C55629" w:rsidP="00C55629">
            <w:pPr>
              <w:widowControl w:val="0"/>
              <w:spacing w:before="15" w:after="15"/>
              <w:jc w:val="both"/>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60198906" w14:textId="77777777" w:rsidR="00C55629" w:rsidRPr="00C55629" w:rsidRDefault="00C55629" w:rsidP="00C55629">
            <w:pPr>
              <w:widowControl w:val="0"/>
              <w:spacing w:before="15" w:after="15"/>
              <w:jc w:val="both"/>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Payment appropriations</w:t>
            </w:r>
          </w:p>
        </w:tc>
      </w:tr>
      <w:tr w:rsidR="00C55629" w:rsidRPr="00C55629" w14:paraId="6053D8FB" w14:textId="77777777" w:rsidTr="0028479A">
        <w:trPr>
          <w:jc w:val="center"/>
        </w:trPr>
        <w:tc>
          <w:tcPr>
            <w:tcW w:w="1276" w:type="dxa"/>
          </w:tcPr>
          <w:p w14:paraId="7FE3154B" w14:textId="77777777" w:rsidR="00C55629" w:rsidRPr="00C55629" w:rsidRDefault="00C55629" w:rsidP="00C55629">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07 10 08</w:t>
            </w:r>
          </w:p>
        </w:tc>
        <w:tc>
          <w:tcPr>
            <w:tcW w:w="5132" w:type="dxa"/>
          </w:tcPr>
          <w:p w14:paraId="45B4DFA6" w14:textId="77777777" w:rsidR="00C55629" w:rsidRPr="00C55629" w:rsidRDefault="00C55629" w:rsidP="00C55629">
            <w:pPr>
              <w:widowControl w:val="0"/>
              <w:tabs>
                <w:tab w:val="left" w:pos="1350"/>
              </w:tabs>
              <w:spacing w:before="15" w:after="15"/>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European Public Prosecutor’s Office (EPPO)</w:t>
            </w:r>
          </w:p>
        </w:tc>
        <w:tc>
          <w:tcPr>
            <w:tcW w:w="1701" w:type="dxa"/>
          </w:tcPr>
          <w:p w14:paraId="46F4B174" w14:textId="77777777" w:rsidR="00C55629" w:rsidRPr="00C55629" w:rsidRDefault="00C55629" w:rsidP="00C55629">
            <w:pPr>
              <w:widowControl w:val="0"/>
              <w:spacing w:before="15" w:after="15"/>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3 313 848</w:t>
            </w:r>
          </w:p>
        </w:tc>
        <w:tc>
          <w:tcPr>
            <w:tcW w:w="1701" w:type="dxa"/>
          </w:tcPr>
          <w:p w14:paraId="34489A4A" w14:textId="77777777" w:rsidR="00C55629" w:rsidRPr="00C55629" w:rsidRDefault="00C55629" w:rsidP="00C55629">
            <w:pPr>
              <w:widowControl w:val="0"/>
              <w:spacing w:before="15" w:after="15"/>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3 313 848</w:t>
            </w:r>
          </w:p>
        </w:tc>
      </w:tr>
      <w:tr w:rsidR="00C55629" w:rsidRPr="00C55629" w14:paraId="32FB78C4" w14:textId="77777777" w:rsidTr="0028479A">
        <w:trPr>
          <w:jc w:val="center"/>
        </w:trPr>
        <w:tc>
          <w:tcPr>
            <w:tcW w:w="6408" w:type="dxa"/>
            <w:gridSpan w:val="2"/>
            <w:shd w:val="clear" w:color="auto" w:fill="D9D9D9"/>
          </w:tcPr>
          <w:p w14:paraId="0BB7F5B2" w14:textId="77777777" w:rsidR="00C55629" w:rsidRPr="00C55629" w:rsidRDefault="00C55629" w:rsidP="00C55629">
            <w:pPr>
              <w:widowControl w:val="0"/>
              <w:spacing w:before="15" w:after="15"/>
              <w:ind w:right="-113"/>
              <w:jc w:val="both"/>
              <w:rPr>
                <w:rFonts w:ascii="Times New Roman" w:eastAsia="Calibri" w:hAnsi="Times New Roman" w:cs="Times New Roman"/>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2B595F58" w14:textId="77777777" w:rsidR="00C55629" w:rsidRPr="00C55629" w:rsidRDefault="00C55629" w:rsidP="00C55629">
            <w:pPr>
              <w:widowControl w:val="0"/>
              <w:spacing w:before="15" w:after="15"/>
              <w:jc w:val="both"/>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 3 313 848</w:t>
            </w:r>
          </w:p>
        </w:tc>
        <w:tc>
          <w:tcPr>
            <w:tcW w:w="1701" w:type="dxa"/>
            <w:shd w:val="clear" w:color="auto" w:fill="D9D9D9"/>
          </w:tcPr>
          <w:p w14:paraId="1EAB76DB" w14:textId="77777777" w:rsidR="00C55629" w:rsidRPr="00C55629" w:rsidRDefault="00C55629" w:rsidP="00C55629">
            <w:pPr>
              <w:widowControl w:val="0"/>
              <w:spacing w:before="15" w:after="15"/>
              <w:jc w:val="both"/>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3 313 848</w:t>
            </w:r>
          </w:p>
        </w:tc>
      </w:tr>
    </w:tbl>
    <w:p w14:paraId="7454BC6F" w14:textId="77777777" w:rsidR="00C55629" w:rsidRPr="00C55629" w:rsidRDefault="00C55629" w:rsidP="00C55629">
      <w:pPr>
        <w:spacing w:before="120" w:after="0" w:line="240" w:lineRule="auto"/>
        <w:jc w:val="both"/>
        <w:rPr>
          <w:rFonts w:ascii="Times New Roman" w:eastAsia="Calibri"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updated establishment plan is set out in the budgetary annex.</w:t>
      </w:r>
    </w:p>
    <w:p w14:paraId="71CDE83B"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In combination with the effect of the salary update mentioned above (proposed reinforcement of the EU contribution of EUR 1 297 225), the total reinforcement for the EPPO is proposed to be EUR 4 611 073. </w:t>
      </w:r>
    </w:p>
    <w:p w14:paraId="03530DA8" w14:textId="77777777" w:rsidR="00C55629" w:rsidRPr="00C55629" w:rsidRDefault="00C55629" w:rsidP="00CA47B3">
      <w:pPr>
        <w:pStyle w:val="ManualHeading1"/>
        <w:rPr>
          <w:noProof/>
        </w:rPr>
      </w:pPr>
      <w:r w:rsidRPr="00C55629">
        <w:rPr>
          <w:noProof/>
        </w:rPr>
        <w:t>9.</w:t>
      </w:r>
      <w:r w:rsidRPr="00C55629">
        <w:rPr>
          <w:noProof/>
        </w:rPr>
        <w:tab/>
        <w:t>Ukraine Loan Cooperation Mechanism (ULCM)</w:t>
      </w:r>
    </w:p>
    <w:p w14:paraId="243FA100"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In June 2024, the European Council invited the Commission, the High Representative and the Council to take work forward, while addressing all relevant legal and financial aspects, to provide additional funding for Ukraine by the end of the year. In line with the results of the G7 summit of 13-15 June 2024, this would take the form of loans serviced and repaid by future flows of the extraordinary revenues stemming from immobilised Russian sovereign assets. </w:t>
      </w:r>
    </w:p>
    <w:p w14:paraId="381054F8" w14:textId="77777777" w:rsidR="00C55629" w:rsidRPr="00C55629" w:rsidRDefault="00C55629" w:rsidP="00C55629">
      <w:pPr>
        <w:jc w:val="both"/>
        <w:rPr>
          <w:rFonts w:ascii="Times New Roman" w:eastAsia="Calibri" w:hAnsi="Times New Roman" w:cs="Times New Roman"/>
          <w:noProof/>
          <w:kern w:val="0"/>
          <w:sz w:val="24"/>
          <w:szCs w:val="24"/>
          <w:lang w:val="en-GB"/>
          <w14:ligatures w14:val="none"/>
        </w:rPr>
      </w:pPr>
      <w:r w:rsidRPr="00C55629">
        <w:rPr>
          <w:rFonts w:ascii="Times New Roman" w:eastAsia="Calibri" w:hAnsi="Times New Roman" w:cs="Times New Roman"/>
          <w:noProof/>
          <w:kern w:val="0"/>
          <w:sz w:val="24"/>
          <w:szCs w:val="24"/>
          <w:lang w:val="en-GB"/>
          <w14:ligatures w14:val="none"/>
        </w:rPr>
        <w:t>Consequently, on 20 September 2024</w:t>
      </w:r>
      <w:r w:rsidRPr="00C55629">
        <w:rPr>
          <w:rFonts w:ascii="Times New Roman" w:eastAsia="Calibri" w:hAnsi="Times New Roman" w:cs="Times New Roman"/>
          <w:noProof/>
          <w:kern w:val="0"/>
          <w:sz w:val="24"/>
          <w:szCs w:val="24"/>
          <w:vertAlign w:val="superscript"/>
          <w:lang w:val="en-GB"/>
          <w14:ligatures w14:val="none"/>
        </w:rPr>
        <w:footnoteReference w:id="12"/>
      </w:r>
      <w:r w:rsidRPr="00C55629">
        <w:rPr>
          <w:rFonts w:ascii="Times New Roman" w:eastAsia="Calibri" w:hAnsi="Times New Roman" w:cs="Times New Roman"/>
          <w:noProof/>
          <w:kern w:val="0"/>
          <w:sz w:val="24"/>
          <w:szCs w:val="24"/>
          <w:lang w:val="en-GB"/>
          <w14:ligatures w14:val="none"/>
        </w:rPr>
        <w:t>, the Commission proposed a Regulation establishing the Ukraine Loan Cooperation Mechanism (ULCM) and providing exceptional macro-financial assistance to Ukraine. The ULCM will support G7 partners in issuing loans to Ukraine in parallel to the EU’s exceptional MFA loan, with a view to reaching the total amount envisaged at the G7 summit. In order to allow the Commission to manage the related budgetary operations in a timely manner upon the adoption of the ULCM Regulation, the Commission proposes to make the necessary adjustments to the budget nomenclature and budget remarks in both DAB 5/2024</w:t>
      </w:r>
      <w:r w:rsidRPr="00C55629">
        <w:rPr>
          <w:rFonts w:ascii="Times New Roman" w:eastAsia="Calibri" w:hAnsi="Times New Roman" w:cs="Times New Roman"/>
          <w:noProof/>
          <w:kern w:val="0"/>
          <w:sz w:val="24"/>
          <w:szCs w:val="24"/>
          <w:vertAlign w:val="superscript"/>
          <w:lang w:val="en-GB"/>
          <w14:ligatures w14:val="none"/>
        </w:rPr>
        <w:footnoteReference w:id="13"/>
      </w:r>
      <w:r w:rsidRPr="00C55629">
        <w:rPr>
          <w:rFonts w:ascii="Times New Roman" w:eastAsia="Calibri" w:hAnsi="Times New Roman" w:cs="Times New Roman"/>
          <w:noProof/>
          <w:kern w:val="0"/>
          <w:sz w:val="24"/>
          <w:szCs w:val="24"/>
          <w:lang w:val="en-GB"/>
          <w14:ligatures w14:val="none"/>
        </w:rPr>
        <w:t xml:space="preserve"> and in this Amending Letter. Accordingly, the Commission proposes to create a new budget line within a new dedicated chapter 14 11 (without appropriations) as follows: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C55629" w:rsidRPr="00C55629" w14:paraId="26C097B7" w14:textId="77777777" w:rsidTr="0028479A">
        <w:trPr>
          <w:jc w:val="center"/>
        </w:trPr>
        <w:tc>
          <w:tcPr>
            <w:tcW w:w="9810" w:type="dxa"/>
            <w:gridSpan w:val="4"/>
            <w:tcBorders>
              <w:top w:val="nil"/>
              <w:left w:val="nil"/>
              <w:bottom w:val="single" w:sz="4" w:space="0" w:color="auto"/>
              <w:right w:val="nil"/>
            </w:tcBorders>
            <w:shd w:val="clear" w:color="auto" w:fill="auto"/>
            <w:vAlign w:val="center"/>
          </w:tcPr>
          <w:p w14:paraId="65988203" w14:textId="77777777" w:rsidR="00C55629" w:rsidRPr="00C55629" w:rsidRDefault="00C55629" w:rsidP="00C55629">
            <w:pPr>
              <w:widowControl w:val="0"/>
              <w:spacing w:before="15" w:after="15"/>
              <w:jc w:val="right"/>
              <w:rPr>
                <w:rFonts w:ascii="Times New Roman" w:eastAsia="Calibri" w:hAnsi="Times New Roman" w:cs="Times New Roman"/>
                <w:i/>
                <w:noProof/>
                <w:kern w:val="0"/>
                <w:sz w:val="20"/>
                <w:szCs w:val="20"/>
                <w:lang w:val="en-GB"/>
                <w14:ligatures w14:val="none"/>
              </w:rPr>
            </w:pPr>
            <w:r w:rsidRPr="00C55629">
              <w:rPr>
                <w:rFonts w:ascii="Times New Roman" w:eastAsia="Calibri" w:hAnsi="Times New Roman" w:cs="Times New Roman"/>
                <w:i/>
                <w:noProof/>
                <w:kern w:val="0"/>
                <w:sz w:val="20"/>
                <w:szCs w:val="20"/>
                <w:lang w:val="en-GB"/>
                <w14:ligatures w14:val="none"/>
              </w:rPr>
              <w:t>EUR</w:t>
            </w:r>
          </w:p>
        </w:tc>
      </w:tr>
      <w:tr w:rsidR="00C55629" w:rsidRPr="00C55629" w14:paraId="1DEE3263" w14:textId="77777777" w:rsidTr="0028479A">
        <w:trPr>
          <w:jc w:val="center"/>
        </w:trPr>
        <w:tc>
          <w:tcPr>
            <w:tcW w:w="1276" w:type="dxa"/>
            <w:tcBorders>
              <w:top w:val="single" w:sz="4" w:space="0" w:color="auto"/>
            </w:tcBorders>
            <w:shd w:val="clear" w:color="auto" w:fill="D9D9D9"/>
            <w:vAlign w:val="center"/>
          </w:tcPr>
          <w:p w14:paraId="45890D2A" w14:textId="77777777" w:rsidR="00C55629" w:rsidRPr="00C55629" w:rsidRDefault="00C55629" w:rsidP="00C55629">
            <w:pPr>
              <w:keepNext/>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Budget line</w:t>
            </w:r>
          </w:p>
        </w:tc>
        <w:tc>
          <w:tcPr>
            <w:tcW w:w="5132" w:type="dxa"/>
            <w:tcBorders>
              <w:top w:val="single" w:sz="4" w:space="0" w:color="auto"/>
            </w:tcBorders>
            <w:shd w:val="clear" w:color="auto" w:fill="D9D9D9"/>
            <w:vAlign w:val="center"/>
          </w:tcPr>
          <w:p w14:paraId="35CADB40"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vAlign w:val="center"/>
          </w:tcPr>
          <w:p w14:paraId="4249FBAB"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2B48ABA9" w14:textId="77777777" w:rsidR="00C55629" w:rsidRPr="00C55629" w:rsidRDefault="00C55629" w:rsidP="00C55629">
            <w:pPr>
              <w:widowControl w:val="0"/>
              <w:spacing w:before="15" w:after="15"/>
              <w:jc w:val="center"/>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Payment appropriations</w:t>
            </w:r>
          </w:p>
        </w:tc>
      </w:tr>
      <w:tr w:rsidR="00C55629" w:rsidRPr="00C55629" w14:paraId="0DEC6DD5" w14:textId="77777777" w:rsidTr="0028479A">
        <w:trPr>
          <w:jc w:val="center"/>
        </w:trPr>
        <w:tc>
          <w:tcPr>
            <w:tcW w:w="1276" w:type="dxa"/>
          </w:tcPr>
          <w:p w14:paraId="560FB816" w14:textId="77777777" w:rsidR="00C55629" w:rsidRPr="00C55629" w:rsidRDefault="00C55629" w:rsidP="00C55629">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14 11 01</w:t>
            </w:r>
          </w:p>
        </w:tc>
        <w:tc>
          <w:tcPr>
            <w:tcW w:w="5132" w:type="dxa"/>
          </w:tcPr>
          <w:p w14:paraId="3415FFB5" w14:textId="77777777" w:rsidR="00C55629" w:rsidRPr="00C55629" w:rsidRDefault="00C55629" w:rsidP="00C55629">
            <w:pPr>
              <w:widowControl w:val="0"/>
              <w:tabs>
                <w:tab w:val="left" w:pos="1350"/>
              </w:tabs>
              <w:spacing w:before="15" w:after="15"/>
              <w:jc w:val="both"/>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Ukraine Loan Cooperation Mechanism</w:t>
            </w:r>
          </w:p>
        </w:tc>
        <w:tc>
          <w:tcPr>
            <w:tcW w:w="1701" w:type="dxa"/>
          </w:tcPr>
          <w:p w14:paraId="4AFF82D1"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p.m.</w:t>
            </w:r>
          </w:p>
        </w:tc>
        <w:tc>
          <w:tcPr>
            <w:tcW w:w="1701" w:type="dxa"/>
          </w:tcPr>
          <w:p w14:paraId="474A7161" w14:textId="77777777" w:rsidR="00C55629" w:rsidRPr="00C55629" w:rsidRDefault="00C55629" w:rsidP="00C55629">
            <w:pPr>
              <w:widowControl w:val="0"/>
              <w:spacing w:before="15" w:after="15"/>
              <w:jc w:val="right"/>
              <w:rPr>
                <w:rFonts w:ascii="Times New Roman" w:eastAsia="Calibri" w:hAnsi="Times New Roman" w:cs="Times New Roman"/>
                <w:noProof/>
                <w:kern w:val="0"/>
                <w:sz w:val="16"/>
                <w:szCs w:val="16"/>
                <w:lang w:val="en-GB"/>
                <w14:ligatures w14:val="none"/>
              </w:rPr>
            </w:pPr>
            <w:r w:rsidRPr="00C55629">
              <w:rPr>
                <w:rFonts w:ascii="Times New Roman" w:eastAsia="Calibri" w:hAnsi="Times New Roman" w:cs="Times New Roman"/>
                <w:noProof/>
                <w:kern w:val="0"/>
                <w:sz w:val="16"/>
                <w:szCs w:val="16"/>
                <w:lang w:val="en-GB"/>
                <w14:ligatures w14:val="none"/>
              </w:rPr>
              <w:t>p.m.</w:t>
            </w:r>
          </w:p>
        </w:tc>
      </w:tr>
      <w:tr w:rsidR="00C55629" w:rsidRPr="00C55629" w14:paraId="451A9DF5" w14:textId="77777777" w:rsidTr="0028479A">
        <w:trPr>
          <w:jc w:val="center"/>
        </w:trPr>
        <w:tc>
          <w:tcPr>
            <w:tcW w:w="6408" w:type="dxa"/>
            <w:gridSpan w:val="2"/>
            <w:shd w:val="clear" w:color="auto" w:fill="D9D9D9"/>
          </w:tcPr>
          <w:p w14:paraId="423E44D1" w14:textId="77777777" w:rsidR="00C55629" w:rsidRPr="00C55629" w:rsidRDefault="00C55629" w:rsidP="00C55629">
            <w:pPr>
              <w:widowControl w:val="0"/>
              <w:spacing w:before="15" w:after="15"/>
              <w:ind w:right="-113"/>
              <w:jc w:val="both"/>
              <w:rPr>
                <w:rFonts w:ascii="Times New Roman" w:eastAsia="Calibri" w:hAnsi="Times New Roman" w:cs="Times New Roman"/>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Total</w:t>
            </w:r>
            <w:r w:rsidRPr="00C55629">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69E2E7DB" w14:textId="77777777" w:rsidR="00C55629" w:rsidRPr="00C55629" w:rsidRDefault="00C55629" w:rsidP="00C55629">
            <w:pPr>
              <w:widowControl w:val="0"/>
              <w:spacing w:before="15" w:after="15"/>
              <w:jc w:val="right"/>
              <w:rPr>
                <w:rFonts w:ascii="Times New Roman" w:eastAsia="Calibri" w:hAnsi="Times New Roman" w:cs="Times New Roman"/>
                <w:b/>
                <w:bCs/>
                <w:noProof/>
                <w:kern w:val="0"/>
                <w:sz w:val="20"/>
                <w:szCs w:val="20"/>
                <w:lang w:val="en-GB"/>
                <w14:ligatures w14:val="none"/>
              </w:rPr>
            </w:pPr>
            <w:r w:rsidRPr="00C55629">
              <w:rPr>
                <w:rFonts w:ascii="Times New Roman" w:eastAsia="Calibri" w:hAnsi="Times New Roman" w:cs="Times New Roman"/>
                <w:b/>
                <w:bCs/>
                <w:noProof/>
                <w:kern w:val="0"/>
                <w:sz w:val="20"/>
                <w:szCs w:val="20"/>
                <w:lang w:val="en-GB"/>
                <w14:ligatures w14:val="none"/>
              </w:rPr>
              <w:t>p.m.</w:t>
            </w:r>
          </w:p>
        </w:tc>
        <w:tc>
          <w:tcPr>
            <w:tcW w:w="1701" w:type="dxa"/>
            <w:shd w:val="clear" w:color="auto" w:fill="D9D9D9"/>
          </w:tcPr>
          <w:p w14:paraId="40E5A5E8" w14:textId="77777777" w:rsidR="00C55629" w:rsidRPr="00C55629" w:rsidRDefault="00C55629" w:rsidP="00C55629">
            <w:pPr>
              <w:widowControl w:val="0"/>
              <w:spacing w:before="15" w:after="15"/>
              <w:jc w:val="right"/>
              <w:rPr>
                <w:rFonts w:ascii="Times New Roman" w:eastAsia="Calibri" w:hAnsi="Times New Roman" w:cs="Times New Roman"/>
                <w:b/>
                <w:noProof/>
                <w:kern w:val="0"/>
                <w:sz w:val="20"/>
                <w:szCs w:val="20"/>
                <w:lang w:val="en-GB"/>
                <w14:ligatures w14:val="none"/>
              </w:rPr>
            </w:pPr>
            <w:r w:rsidRPr="00C55629">
              <w:rPr>
                <w:rFonts w:ascii="Times New Roman" w:eastAsia="Calibri" w:hAnsi="Times New Roman" w:cs="Times New Roman"/>
                <w:b/>
                <w:noProof/>
                <w:kern w:val="0"/>
                <w:sz w:val="20"/>
                <w:szCs w:val="20"/>
                <w:lang w:val="en-GB"/>
                <w14:ligatures w14:val="none"/>
              </w:rPr>
              <w:t>p.m.</w:t>
            </w:r>
          </w:p>
        </w:tc>
      </w:tr>
    </w:tbl>
    <w:p w14:paraId="292A9054" w14:textId="77777777" w:rsidR="00C55629" w:rsidRPr="00C55629" w:rsidRDefault="00C55629" w:rsidP="00C55629">
      <w:pPr>
        <w:jc w:val="both"/>
        <w:rPr>
          <w:rFonts w:ascii="Times New Roman" w:eastAsia="Calibri" w:hAnsi="Times New Roman" w:cs="Times New Roman"/>
          <w:noProof/>
          <w:kern w:val="0"/>
          <w:sz w:val="24"/>
          <w:szCs w:val="24"/>
          <w:lang w:val="en-GB"/>
          <w14:ligatures w14:val="none"/>
        </w:rPr>
      </w:pPr>
    </w:p>
    <w:p w14:paraId="60EFB590" w14:textId="77777777" w:rsidR="00C55629" w:rsidRPr="00C55629" w:rsidRDefault="00C55629" w:rsidP="00C55629">
      <w:pPr>
        <w:jc w:val="both"/>
        <w:rPr>
          <w:rFonts w:ascii="Times New Roman" w:eastAsia="Calibri" w:hAnsi="Times New Roman" w:cs="Times New Roman"/>
          <w:noProof/>
          <w:kern w:val="0"/>
          <w:sz w:val="24"/>
          <w:szCs w:val="24"/>
          <w:lang w:val="en-GB"/>
          <w14:ligatures w14:val="none"/>
        </w:rPr>
      </w:pPr>
      <w:bookmarkStart w:id="86" w:name="_Hlk177629905"/>
      <w:r w:rsidRPr="00C55629">
        <w:rPr>
          <w:rFonts w:ascii="Times New Roman" w:eastAsia="Calibri" w:hAnsi="Times New Roman" w:cs="Times New Roman"/>
          <w:noProof/>
          <w:kern w:val="0"/>
          <w:sz w:val="24"/>
          <w:szCs w:val="24"/>
          <w:lang w:val="en-GB"/>
          <w14:ligatures w14:val="none"/>
        </w:rPr>
        <w:t>The corresponding budget remarks are set out in the budgetary annex.</w:t>
      </w:r>
    </w:p>
    <w:bookmarkEnd w:id="86"/>
    <w:p w14:paraId="6715475A" w14:textId="77777777" w:rsidR="00C55629" w:rsidRPr="00C55629" w:rsidRDefault="00C55629" w:rsidP="00C25694">
      <w:pPr>
        <w:pStyle w:val="ManualHeading1"/>
        <w:tabs>
          <w:tab w:val="clear" w:pos="850"/>
          <w:tab w:val="left" w:pos="0"/>
        </w:tabs>
        <w:ind w:left="0" w:firstLine="0"/>
        <w:rPr>
          <w:noProof/>
        </w:rPr>
      </w:pPr>
      <w:r w:rsidRPr="00C55629">
        <w:rPr>
          <w:noProof/>
        </w:rPr>
        <w:t>10.</w:t>
      </w:r>
      <w:r w:rsidRPr="00C55629">
        <w:rPr>
          <w:noProof/>
        </w:rPr>
        <w:tab/>
        <w:t>Application of article 26 CPR to amend the Border Management and Visa Policy Instrument (BMVI) programme and impact on the nomenclature structure</w:t>
      </w:r>
    </w:p>
    <w:p w14:paraId="365F3312" w14:textId="77777777" w:rsidR="00C55629" w:rsidRPr="00C55629" w:rsidRDefault="00C55629" w:rsidP="00C55629">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 xml:space="preserve">Article 26 of the Common Provisions Regulation (CPR) for the 2021-27 period foresees that Member States may request in the Partnership Agreement or in a request for an amendment of a programme to transfer of up to 5 % of the initial national allocation of each Fund to any other instrument under direct or indirect management, or Funds under shared management. </w:t>
      </w:r>
    </w:p>
    <w:p w14:paraId="7D36F82D" w14:textId="77777777" w:rsidR="00C55629" w:rsidRPr="00C55629" w:rsidRDefault="00C55629" w:rsidP="00C55629">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C55629">
        <w:rPr>
          <w:rFonts w:ascii="Times New Roman" w:eastAsia="Times New Roman" w:hAnsi="Times New Roman" w:cs="Times New Roman"/>
          <w:noProof/>
          <w:kern w:val="0"/>
          <w:sz w:val="24"/>
          <w:szCs w:val="24"/>
          <w:lang w:val="en-GB" w:eastAsia="de-DE"/>
          <w14:ligatures w14:val="none"/>
        </w:rPr>
        <w:t>Following the approval of the programme by Commission Decision C(2022)8851 of 29/11/2022, Slovenia has submitted a proposal for amending the BMVI programme 2021-2027. The amendments consist of the transfer of EUR 5 691 543 (5 %) from the BMVI programme to the Internal Security Fund (ISF) in accordance with Article 26 CPR, out of which EUR 1 897 181 will be transferred in 2025. In order to implement this request the Commission proposes creating a new budget line within the BMVI programme as follows:</w:t>
      </w:r>
    </w:p>
    <w:tbl>
      <w:tblPr>
        <w:tblW w:w="0" w:type="auto"/>
        <w:tblLayout w:type="fixed"/>
        <w:tblLook w:val="01E0" w:firstRow="1" w:lastRow="1" w:firstColumn="1" w:lastColumn="1" w:noHBand="0" w:noVBand="0"/>
      </w:tblPr>
      <w:tblGrid>
        <w:gridCol w:w="1500"/>
        <w:gridCol w:w="4875"/>
        <w:gridCol w:w="1800"/>
        <w:gridCol w:w="1765"/>
      </w:tblGrid>
      <w:tr w:rsidR="00C55629" w:rsidRPr="00C55629" w14:paraId="4BE83ACC" w14:textId="77777777" w:rsidTr="0028479A">
        <w:trPr>
          <w:trHeight w:val="300"/>
        </w:trPr>
        <w:tc>
          <w:tcPr>
            <w:tcW w:w="9940" w:type="dxa"/>
            <w:gridSpan w:val="4"/>
            <w:tcBorders>
              <w:top w:val="nil"/>
              <w:left w:val="nil"/>
              <w:bottom w:val="single" w:sz="8" w:space="0" w:color="auto"/>
              <w:right w:val="nil"/>
            </w:tcBorders>
            <w:tcMar>
              <w:left w:w="108" w:type="dxa"/>
              <w:right w:w="108" w:type="dxa"/>
            </w:tcMar>
            <w:vAlign w:val="center"/>
          </w:tcPr>
          <w:p w14:paraId="40DBD0DB" w14:textId="77777777" w:rsidR="00C55629" w:rsidRPr="00C55629" w:rsidRDefault="00C55629" w:rsidP="00C55629">
            <w:pPr>
              <w:spacing w:before="15" w:after="15" w:line="257" w:lineRule="auto"/>
              <w:jc w:val="right"/>
              <w:rPr>
                <w:rFonts w:ascii="Times New Roman" w:eastAsia="Times New Roman" w:hAnsi="Times New Roman" w:cs="Times New Roman"/>
                <w:i/>
                <w:iCs/>
                <w:noProof/>
                <w:kern w:val="0"/>
                <w:sz w:val="20"/>
                <w:szCs w:val="20"/>
                <w:lang w:val="en-GB" w:eastAsia="en-GB"/>
                <w14:ligatures w14:val="none"/>
              </w:rPr>
            </w:pPr>
            <w:r w:rsidRPr="00C55629">
              <w:rPr>
                <w:rFonts w:ascii="Times New Roman" w:eastAsia="Times New Roman" w:hAnsi="Times New Roman" w:cs="Times New Roman"/>
                <w:i/>
                <w:iCs/>
                <w:noProof/>
                <w:kern w:val="0"/>
                <w:sz w:val="20"/>
                <w:szCs w:val="20"/>
                <w:lang w:val="en-GB" w:eastAsia="en-GB"/>
                <w14:ligatures w14:val="none"/>
              </w:rPr>
              <w:t>EUR</w:t>
            </w:r>
          </w:p>
        </w:tc>
      </w:tr>
      <w:tr w:rsidR="00C55629" w:rsidRPr="00C55629" w14:paraId="311BC32F" w14:textId="77777777" w:rsidTr="00C55629">
        <w:trPr>
          <w:trHeight w:val="300"/>
        </w:trPr>
        <w:tc>
          <w:tcPr>
            <w:tcW w:w="1500"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27248AC3" w14:textId="77777777" w:rsidR="00C55629" w:rsidRPr="00C55629" w:rsidRDefault="00C55629" w:rsidP="00C55629">
            <w:pPr>
              <w:spacing w:before="15" w:after="15" w:line="257" w:lineRule="auto"/>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Budget line</w:t>
            </w:r>
          </w:p>
        </w:tc>
        <w:tc>
          <w:tcPr>
            <w:tcW w:w="4875"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3FEC2ED6" w14:textId="77777777" w:rsidR="00C55629" w:rsidRPr="00C55629" w:rsidRDefault="00C55629" w:rsidP="00C55629">
            <w:pPr>
              <w:spacing w:before="15" w:after="15" w:line="257" w:lineRule="auto"/>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Name</w:t>
            </w:r>
          </w:p>
        </w:tc>
        <w:tc>
          <w:tcPr>
            <w:tcW w:w="1800"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62CD92F8" w14:textId="77777777" w:rsidR="00C55629" w:rsidRPr="00C55629" w:rsidRDefault="00C55629" w:rsidP="00C55629">
            <w:pPr>
              <w:spacing w:before="15" w:after="15" w:line="257" w:lineRule="auto"/>
              <w:jc w:val="center"/>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Commitment appropriations</w:t>
            </w:r>
          </w:p>
        </w:tc>
        <w:tc>
          <w:tcPr>
            <w:tcW w:w="1765"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038C1C06" w14:textId="77777777" w:rsidR="00C55629" w:rsidRPr="00C55629" w:rsidRDefault="00C55629" w:rsidP="00C55629">
            <w:pPr>
              <w:spacing w:before="15" w:after="15" w:line="257" w:lineRule="auto"/>
              <w:jc w:val="center"/>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Payment appropriations</w:t>
            </w:r>
          </w:p>
        </w:tc>
      </w:tr>
      <w:tr w:rsidR="00C55629" w:rsidRPr="00C55629" w14:paraId="643D917E" w14:textId="77777777" w:rsidTr="0028479A">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11BB3F9" w14:textId="77777777" w:rsidR="00C55629" w:rsidRPr="00C55629" w:rsidRDefault="00C55629" w:rsidP="00C55629">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11 02 01</w:t>
            </w:r>
          </w:p>
        </w:tc>
        <w:tc>
          <w:tcPr>
            <w:tcW w:w="4875" w:type="dxa"/>
            <w:tcBorders>
              <w:top w:val="nil"/>
              <w:left w:val="single" w:sz="8" w:space="0" w:color="auto"/>
              <w:bottom w:val="single" w:sz="8" w:space="0" w:color="auto"/>
              <w:right w:val="single" w:sz="8" w:space="0" w:color="auto"/>
            </w:tcBorders>
            <w:tcMar>
              <w:left w:w="108" w:type="dxa"/>
              <w:right w:w="108" w:type="dxa"/>
            </w:tcMar>
          </w:tcPr>
          <w:p w14:paraId="6ED41F63" w14:textId="77777777" w:rsidR="00C55629" w:rsidRPr="00C55629" w:rsidRDefault="00C55629" w:rsidP="00C55629">
            <w:pPr>
              <w:tabs>
                <w:tab w:val="left" w:pos="1350"/>
              </w:tabs>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Instrument for Financial Support for Border Management and Visa Policy</w:t>
            </w:r>
          </w:p>
        </w:tc>
        <w:tc>
          <w:tcPr>
            <w:tcW w:w="1800" w:type="dxa"/>
            <w:tcBorders>
              <w:top w:val="nil"/>
              <w:left w:val="single" w:sz="8" w:space="0" w:color="auto"/>
              <w:bottom w:val="single" w:sz="8" w:space="0" w:color="auto"/>
              <w:right w:val="single" w:sz="8" w:space="0" w:color="auto"/>
            </w:tcBorders>
            <w:tcMar>
              <w:left w:w="108" w:type="dxa"/>
              <w:right w:w="108" w:type="dxa"/>
            </w:tcMar>
          </w:tcPr>
          <w:p w14:paraId="5AC5013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-1 897 181</w:t>
            </w:r>
          </w:p>
        </w:tc>
        <w:tc>
          <w:tcPr>
            <w:tcW w:w="1765" w:type="dxa"/>
            <w:tcBorders>
              <w:top w:val="nil"/>
              <w:left w:val="single" w:sz="8" w:space="0" w:color="auto"/>
              <w:bottom w:val="single" w:sz="8" w:space="0" w:color="auto"/>
              <w:right w:val="single" w:sz="8" w:space="0" w:color="auto"/>
            </w:tcBorders>
            <w:tcMar>
              <w:left w:w="108" w:type="dxa"/>
              <w:right w:w="108" w:type="dxa"/>
            </w:tcMar>
          </w:tcPr>
          <w:p w14:paraId="52CB81C0"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-1 897 181</w:t>
            </w:r>
          </w:p>
        </w:tc>
      </w:tr>
      <w:tr w:rsidR="00C55629" w:rsidRPr="00C55629" w14:paraId="3EDC1BB2" w14:textId="77777777" w:rsidTr="0028479A">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9037A72" w14:textId="77777777" w:rsidR="00C55629" w:rsidRPr="00C55629" w:rsidRDefault="00C55629" w:rsidP="00C55629">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11 02 02</w:t>
            </w:r>
          </w:p>
        </w:tc>
        <w:tc>
          <w:tcPr>
            <w:tcW w:w="4875" w:type="dxa"/>
            <w:tcBorders>
              <w:top w:val="nil"/>
              <w:left w:val="single" w:sz="8" w:space="0" w:color="auto"/>
              <w:bottom w:val="single" w:sz="8" w:space="0" w:color="auto"/>
              <w:right w:val="single" w:sz="8" w:space="0" w:color="auto"/>
            </w:tcBorders>
            <w:tcMar>
              <w:left w:w="108" w:type="dxa"/>
              <w:right w:w="108" w:type="dxa"/>
            </w:tcMar>
          </w:tcPr>
          <w:p w14:paraId="057D41EE" w14:textId="77777777" w:rsidR="00C55629" w:rsidRPr="00C55629" w:rsidRDefault="00C55629" w:rsidP="00C55629">
            <w:pPr>
              <w:tabs>
                <w:tab w:val="left" w:pos="1350"/>
              </w:tabs>
              <w:spacing w:after="0" w:line="240" w:lineRule="auto"/>
              <w:jc w:val="both"/>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Internal Security Fund (ISF) – Contribution from BMVI</w:t>
            </w:r>
          </w:p>
        </w:tc>
        <w:tc>
          <w:tcPr>
            <w:tcW w:w="1800" w:type="dxa"/>
            <w:tcBorders>
              <w:top w:val="nil"/>
              <w:left w:val="single" w:sz="8" w:space="0" w:color="auto"/>
              <w:bottom w:val="single" w:sz="8" w:space="0" w:color="auto"/>
              <w:right w:val="single" w:sz="8" w:space="0" w:color="auto"/>
            </w:tcBorders>
            <w:tcMar>
              <w:left w:w="108" w:type="dxa"/>
              <w:right w:w="108" w:type="dxa"/>
            </w:tcMar>
          </w:tcPr>
          <w:p w14:paraId="31570B1F"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1 897 181</w:t>
            </w:r>
          </w:p>
        </w:tc>
        <w:tc>
          <w:tcPr>
            <w:tcW w:w="1765" w:type="dxa"/>
            <w:tcBorders>
              <w:top w:val="nil"/>
              <w:left w:val="single" w:sz="8" w:space="0" w:color="auto"/>
              <w:bottom w:val="single" w:sz="8" w:space="0" w:color="auto"/>
              <w:right w:val="single" w:sz="8" w:space="0" w:color="auto"/>
            </w:tcBorders>
            <w:tcMar>
              <w:left w:w="108" w:type="dxa"/>
              <w:right w:w="108" w:type="dxa"/>
            </w:tcMar>
          </w:tcPr>
          <w:p w14:paraId="73527EEC" w14:textId="77777777" w:rsidR="00C55629" w:rsidRPr="00C55629" w:rsidRDefault="00C55629" w:rsidP="00C55629">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1 897 181</w:t>
            </w:r>
          </w:p>
        </w:tc>
      </w:tr>
      <w:tr w:rsidR="00C55629" w:rsidRPr="00C55629" w14:paraId="24B2FB40" w14:textId="77777777" w:rsidTr="00C55629">
        <w:trPr>
          <w:trHeight w:val="300"/>
        </w:trPr>
        <w:tc>
          <w:tcPr>
            <w:tcW w:w="6375" w:type="dxa"/>
            <w:gridSpan w:val="2"/>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1D1F4E2A" w14:textId="77777777" w:rsidR="00C55629" w:rsidRPr="00C55629" w:rsidRDefault="00C55629" w:rsidP="00C55629">
            <w:pPr>
              <w:spacing w:before="15" w:after="15" w:line="257" w:lineRule="auto"/>
              <w:ind w:right="-113"/>
              <w:jc w:val="both"/>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Total</w:t>
            </w:r>
          </w:p>
        </w:tc>
        <w:tc>
          <w:tcPr>
            <w:tcW w:w="1800" w:type="dxa"/>
            <w:tcBorders>
              <w:top w:val="single" w:sz="8" w:space="0" w:color="auto"/>
              <w:left w:val="nil"/>
              <w:bottom w:val="single" w:sz="8" w:space="0" w:color="auto"/>
              <w:right w:val="single" w:sz="8" w:space="0" w:color="auto"/>
            </w:tcBorders>
            <w:shd w:val="clear" w:color="auto" w:fill="D9D9D9"/>
            <w:tcMar>
              <w:left w:w="108" w:type="dxa"/>
              <w:right w:w="108" w:type="dxa"/>
            </w:tcMar>
          </w:tcPr>
          <w:p w14:paraId="55065435" w14:textId="77777777" w:rsidR="00C55629" w:rsidRPr="00C55629" w:rsidRDefault="00C55629" w:rsidP="00C55629">
            <w:pPr>
              <w:spacing w:before="15" w:after="15" w:line="257" w:lineRule="auto"/>
              <w:jc w:val="right"/>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0</w:t>
            </w:r>
          </w:p>
        </w:tc>
        <w:tc>
          <w:tcPr>
            <w:tcW w:w="1765"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6ED962DF" w14:textId="77777777" w:rsidR="00C55629" w:rsidRPr="00C55629" w:rsidRDefault="00C55629" w:rsidP="00C55629">
            <w:pPr>
              <w:spacing w:before="15" w:after="15" w:line="257" w:lineRule="auto"/>
              <w:jc w:val="right"/>
              <w:rPr>
                <w:rFonts w:ascii="Times New Roman" w:eastAsia="Times New Roman" w:hAnsi="Times New Roman" w:cs="Times New Roman"/>
                <w:b/>
                <w:bCs/>
                <w:noProof/>
                <w:color w:val="000000"/>
                <w:kern w:val="0"/>
                <w:sz w:val="20"/>
                <w:szCs w:val="20"/>
                <w:lang w:val="en-GB" w:eastAsia="en-GB"/>
                <w14:ligatures w14:val="none"/>
              </w:rPr>
            </w:pPr>
            <w:r w:rsidRPr="00C55629">
              <w:rPr>
                <w:rFonts w:ascii="Times New Roman" w:eastAsia="Times New Roman" w:hAnsi="Times New Roman" w:cs="Times New Roman"/>
                <w:b/>
                <w:bCs/>
                <w:noProof/>
                <w:color w:val="000000"/>
                <w:kern w:val="0"/>
                <w:sz w:val="20"/>
                <w:szCs w:val="20"/>
                <w:lang w:val="en-GB" w:eastAsia="en-GB"/>
                <w14:ligatures w14:val="none"/>
              </w:rPr>
              <w:t>0</w:t>
            </w:r>
          </w:p>
        </w:tc>
      </w:tr>
    </w:tbl>
    <w:p w14:paraId="015D9202" w14:textId="77777777" w:rsidR="00C55629" w:rsidRPr="00C55629" w:rsidRDefault="00C55629" w:rsidP="00C55629">
      <w:pPr>
        <w:spacing w:before="240" w:after="120" w:line="240" w:lineRule="auto"/>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corresponding budgetary remarks are provided in the budgetary annex.</w:t>
      </w:r>
    </w:p>
    <w:p w14:paraId="7DB6FC56" w14:textId="77777777" w:rsidR="00C55629" w:rsidRPr="00C55629" w:rsidRDefault="00C55629" w:rsidP="00CA47B3">
      <w:pPr>
        <w:pStyle w:val="ManualHeading1"/>
        <w:rPr>
          <w:noProof/>
        </w:rPr>
      </w:pPr>
      <w:r w:rsidRPr="00C55629">
        <w:rPr>
          <w:noProof/>
        </w:rPr>
        <w:t>11.</w:t>
      </w:r>
      <w:r w:rsidRPr="00C55629">
        <w:rPr>
          <w:noProof/>
        </w:rPr>
        <w:tab/>
        <w:t>Technical correction</w:t>
      </w:r>
    </w:p>
    <w:p w14:paraId="6FFB767D" w14:textId="77777777" w:rsidR="00C55629" w:rsidRPr="00C55629" w:rsidRDefault="00C55629" w:rsidP="00C55629">
      <w:pPr>
        <w:keepNext/>
        <w:tabs>
          <w:tab w:val="left" w:pos="0"/>
        </w:tabs>
        <w:spacing w:before="360" w:after="120" w:line="240" w:lineRule="auto"/>
        <w:jc w:val="both"/>
        <w:outlineLvl w:val="0"/>
        <w:rPr>
          <w:rFonts w:ascii="Times New Roman" w:eastAsia="Times New Roman" w:hAnsi="Times New Roman" w:cs="Times New Roman"/>
          <w:noProof/>
          <w:kern w:val="0"/>
          <w:sz w:val="24"/>
          <w:szCs w:val="24"/>
          <w:lang w:val="en-GB" w:eastAsia="en-GB"/>
          <w14:ligatures w14:val="none"/>
        </w:rPr>
      </w:pPr>
      <w:bookmarkStart w:id="87" w:name="_Toc84231370"/>
      <w:bookmarkStart w:id="88" w:name="_Toc114838645"/>
      <w:bookmarkStart w:id="89" w:name="_Toc145922835"/>
      <w:bookmarkStart w:id="90" w:name="_Toc526753789"/>
      <w:bookmarkEnd w:id="81"/>
      <w:bookmarkEnd w:id="82"/>
      <w:bookmarkEnd w:id="83"/>
      <w:bookmarkEnd w:id="84"/>
      <w:bookmarkEnd w:id="85"/>
      <w:r w:rsidRPr="00C55629">
        <w:rPr>
          <w:rFonts w:ascii="Times New Roman" w:eastAsia="Times New Roman" w:hAnsi="Times New Roman" w:cs="Times New Roman"/>
          <w:noProof/>
          <w:kern w:val="0"/>
          <w:sz w:val="24"/>
          <w:szCs w:val="24"/>
          <w:lang w:val="en-GB" w:eastAsia="en-GB"/>
          <w14:ligatures w14:val="none"/>
        </w:rPr>
        <w:t>As per the relevant joint declaration by the European Parliament, the Council and the Commission on the re-use of decommitted funds in relation to the research programme</w:t>
      </w:r>
      <w:r w:rsidRPr="00C55629">
        <w:rPr>
          <w:rFonts w:ascii="Times New Roman" w:eastAsia="Times New Roman" w:hAnsi="Times New Roman" w:cs="Times New Roman"/>
          <w:noProof/>
          <w:kern w:val="0"/>
          <w:sz w:val="24"/>
          <w:szCs w:val="24"/>
          <w:vertAlign w:val="superscript"/>
          <w:lang w:val="en-GB" w:eastAsia="en-GB"/>
          <w14:ligatures w14:val="none"/>
        </w:rPr>
        <w:footnoteReference w:id="14"/>
      </w:r>
      <w:r w:rsidRPr="00C55629">
        <w:rPr>
          <w:rFonts w:ascii="Times New Roman" w:eastAsia="Times New Roman" w:hAnsi="Times New Roman" w:cs="Times New Roman"/>
          <w:noProof/>
          <w:kern w:val="0"/>
          <w:sz w:val="24"/>
          <w:szCs w:val="24"/>
          <w:lang w:val="en-GB" w:eastAsia="en-GB"/>
          <w14:ligatures w14:val="none"/>
        </w:rPr>
        <w:t>, the top-up of EUR 100 million (2018 prices) from Article 15(3) Financial Regulation agreed in the MFF mid-term revision must stem from decommitments made in 2019 to 2020, depending on availabilities. This was not explicitly stated in the corresponding budget remarks for the amounts and budget line concerned proposed in the DB 2025. It is therefore proposed to correct the clerical mistake in this AL 1/2025.</w:t>
      </w:r>
    </w:p>
    <w:p w14:paraId="1CFD798C" w14:textId="77777777" w:rsidR="00C55629" w:rsidRPr="00C55629" w:rsidRDefault="00C55629" w:rsidP="00C55629">
      <w:pPr>
        <w:keepNext/>
        <w:tabs>
          <w:tab w:val="left" w:pos="0"/>
        </w:tabs>
        <w:spacing w:before="360" w:after="120" w:line="240" w:lineRule="auto"/>
        <w:jc w:val="both"/>
        <w:outlineLvl w:val="0"/>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corresponding budget remarks are set out in the budgetary annex.</w:t>
      </w:r>
    </w:p>
    <w:p w14:paraId="432CA522" w14:textId="77777777" w:rsidR="00C55629" w:rsidRPr="00C55629" w:rsidRDefault="00C55629" w:rsidP="00CA47B3">
      <w:pPr>
        <w:pStyle w:val="ManualHeading1"/>
        <w:rPr>
          <w:noProof/>
        </w:rPr>
      </w:pPr>
      <w:r w:rsidRPr="00C55629">
        <w:rPr>
          <w:noProof/>
        </w:rPr>
        <w:t>12.</w:t>
      </w:r>
      <w:r w:rsidRPr="00C55629">
        <w:rPr>
          <w:noProof/>
        </w:rPr>
        <w:tab/>
        <w:t>Update of revenue</w:t>
      </w:r>
    </w:p>
    <w:p w14:paraId="22C7E8D0" w14:textId="77777777" w:rsidR="00C55629" w:rsidRPr="00C55629" w:rsidRDefault="00C55629" w:rsidP="00C55629">
      <w:pPr>
        <w:keepNext/>
        <w:tabs>
          <w:tab w:val="left" w:pos="850"/>
        </w:tabs>
        <w:spacing w:before="360" w:after="240" w:line="240" w:lineRule="auto"/>
        <w:ind w:left="839" w:hanging="839"/>
        <w:jc w:val="both"/>
        <w:outlineLvl w:val="1"/>
        <w:rPr>
          <w:rFonts w:ascii="Times New Roman" w:eastAsia="Calibri" w:hAnsi="Times New Roman" w:cs="Times New Roman"/>
          <w:b/>
          <w:bCs/>
          <w:noProof/>
          <w:kern w:val="0"/>
          <w:sz w:val="24"/>
          <w:szCs w:val="24"/>
          <w:lang w:val="en-GB"/>
          <w14:ligatures w14:val="none"/>
        </w:rPr>
      </w:pPr>
      <w:bookmarkStart w:id="91" w:name="_Toc83828127"/>
      <w:r w:rsidRPr="00C55629">
        <w:rPr>
          <w:rFonts w:ascii="Times New Roman" w:eastAsia="Calibri" w:hAnsi="Times New Roman" w:cs="Times New Roman"/>
          <w:b/>
          <w:bCs/>
          <w:noProof/>
          <w:kern w:val="0"/>
          <w:sz w:val="24"/>
          <w:szCs w:val="24"/>
          <w:lang w:val="en-GB"/>
          <w14:ligatures w14:val="none"/>
        </w:rPr>
        <w:t xml:space="preserve">12.1 </w:t>
      </w:r>
      <w:r w:rsidRPr="00C55629">
        <w:rPr>
          <w:rFonts w:ascii="Times New Roman" w:eastAsia="Calibri" w:hAnsi="Times New Roman" w:cs="Times New Roman"/>
          <w:b/>
          <w:noProof/>
          <w:kern w:val="0"/>
          <w:sz w:val="24"/>
          <w:szCs w:val="24"/>
          <w:lang w:val="en-GB"/>
          <w14:ligatures w14:val="none"/>
        </w:rPr>
        <w:tab/>
      </w:r>
      <w:r w:rsidRPr="00C55629">
        <w:rPr>
          <w:rFonts w:ascii="Times New Roman" w:eastAsia="Calibri" w:hAnsi="Times New Roman" w:cs="Times New Roman"/>
          <w:b/>
          <w:bCs/>
          <w:noProof/>
          <w:kern w:val="0"/>
          <w:sz w:val="24"/>
          <w:szCs w:val="24"/>
          <w:lang w:val="en-GB"/>
          <w14:ligatures w14:val="none"/>
        </w:rPr>
        <w:t>Update of the United Kingdom contribution</w:t>
      </w:r>
      <w:bookmarkEnd w:id="91"/>
      <w:r w:rsidRPr="00C55629">
        <w:rPr>
          <w:rFonts w:ascii="Times New Roman" w:eastAsia="Calibri" w:hAnsi="Times New Roman" w:cs="Times New Roman"/>
          <w:b/>
          <w:bCs/>
          <w:noProof/>
          <w:kern w:val="0"/>
          <w:sz w:val="24"/>
          <w:szCs w:val="24"/>
          <w:lang w:val="en-GB"/>
          <w14:ligatures w14:val="none"/>
        </w:rPr>
        <w:t xml:space="preserve"> </w:t>
      </w:r>
    </w:p>
    <w:p w14:paraId="6A3B36C5" w14:textId="0E309D0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Based on Article 148 of the Agreement on the withdrawal of the United Kingdom from the European Union</w:t>
      </w:r>
      <w:r w:rsidRPr="00C55629">
        <w:rPr>
          <w:rFonts w:ascii="Times New Roman" w:eastAsia="Times New Roman" w:hAnsi="Times New Roman" w:cs="Times New Roman"/>
          <w:noProof/>
          <w:kern w:val="0"/>
          <w:sz w:val="24"/>
          <w:szCs w:val="24"/>
          <w:vertAlign w:val="superscript"/>
          <w:lang w:val="en-GB" w:eastAsia="en-GB"/>
          <w14:ligatures w14:val="none"/>
        </w:rPr>
        <w:footnoteReference w:id="15"/>
      </w:r>
      <w:r w:rsidRPr="00C55629">
        <w:rPr>
          <w:rFonts w:ascii="Times New Roman" w:eastAsia="Times New Roman" w:hAnsi="Times New Roman" w:cs="Times New Roman"/>
          <w:noProof/>
          <w:kern w:val="0"/>
          <w:sz w:val="24"/>
          <w:szCs w:val="24"/>
          <w:lang w:val="en-GB" w:eastAsia="en-GB"/>
          <w14:ligatures w14:val="none"/>
        </w:rPr>
        <w:t>,</w:t>
      </w:r>
      <w:r w:rsidRPr="00C55629">
        <w:rPr>
          <w:rFonts w:ascii="Times New Roman" w:eastAsia="Times New Roman" w:hAnsi="Times New Roman" w:cs="Times New Roman"/>
          <w:noProof/>
          <w:kern w:val="0"/>
          <w:sz w:val="24"/>
          <w:szCs w:val="24"/>
          <w:vertAlign w:val="superscript"/>
          <w:lang w:val="en-GB" w:eastAsia="en-GB"/>
          <w14:ligatures w14:val="none"/>
        </w:rPr>
        <w:t xml:space="preserve"> </w:t>
      </w:r>
      <w:r w:rsidRPr="00C55629">
        <w:rPr>
          <w:rFonts w:ascii="Times New Roman" w:eastAsia="Times New Roman" w:hAnsi="Times New Roman" w:cs="Times New Roman"/>
          <w:noProof/>
          <w:kern w:val="0"/>
          <w:sz w:val="24"/>
          <w:szCs w:val="24"/>
          <w:lang w:val="en-GB" w:eastAsia="en-GB"/>
          <w14:ligatures w14:val="none"/>
        </w:rPr>
        <w:t>the United Kingdom will make payments to the Union to cover the United Kingdoms’ share in the outstanding commitments prior to 2021 to be paid in 2025, as well as the United Kingdom’s share in the Union’s liabilities (such as pensions) and contingent financial liabilities. The overall United Kingdom’s contribution will also include the Union’s payments to or from the United Kingdom related to own resources corrections and adjustments for financial years until 2021</w:t>
      </w:r>
      <w:r w:rsidRPr="00C55629">
        <w:rPr>
          <w:rFonts w:ascii="Times New Roman" w:eastAsia="Calibri" w:hAnsi="Times New Roman" w:cs="Times New Roman"/>
          <w:noProof/>
          <w:kern w:val="0"/>
          <w:sz w:val="24"/>
          <w:szCs w:val="24"/>
          <w:lang w:val="en-GB" w:eastAsia="en-GB"/>
          <w14:ligatures w14:val="none"/>
        </w:rPr>
        <w:t>.</w:t>
      </w:r>
    </w:p>
    <w:p w14:paraId="7CB12125"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United Kingdom’s share</w:t>
      </w:r>
      <w:r w:rsidRPr="00C55629">
        <w:rPr>
          <w:rFonts w:ascii="Times New Roman" w:eastAsia="Times New Roman" w:hAnsi="Times New Roman" w:cs="Times New Roman"/>
          <w:noProof/>
          <w:kern w:val="0"/>
          <w:sz w:val="24"/>
          <w:szCs w:val="24"/>
          <w:vertAlign w:val="superscript"/>
          <w:lang w:val="en-GB" w:eastAsia="en-GB"/>
          <w14:ligatures w14:val="none"/>
        </w:rPr>
        <w:footnoteReference w:id="16"/>
      </w:r>
      <w:r w:rsidRPr="00C55629">
        <w:rPr>
          <w:rFonts w:ascii="Times New Roman" w:eastAsia="Times New Roman" w:hAnsi="Times New Roman" w:cs="Times New Roman"/>
          <w:noProof/>
          <w:kern w:val="0"/>
          <w:sz w:val="24"/>
          <w:szCs w:val="24"/>
          <w:lang w:val="en-GB" w:eastAsia="en-GB"/>
          <w14:ligatures w14:val="none"/>
        </w:rPr>
        <w:t xml:space="preserve"> is calculated as the ratio between the own resources made available by the United Kingdom in the years 2014 to 2020 and the own resources made available during that period by all Member States and the United Kingdom. The definitive United Kingdom’s share has been set at 12,43 %.</w:t>
      </w:r>
    </w:p>
    <w:p w14:paraId="325172C4"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The table below presents the updated United Kingdom contribution to the budget 2025. It includes updated amounts related to traditional own resources that were included in the 2024 September invoice. Moreover, in view of the 2025 April invoice, it includes an updated forecast of the implementation of outstanding commitments prior to 2021, fines resulting from recent court rulings that are due this year and will be reimbursed to the United Kingdom in proportion to its share in 2025, and a forecast of contingent liabilities, based on the 4-year-average amount included in the invoices 2021-2024. </w:t>
      </w:r>
    </w:p>
    <w:p w14:paraId="79AC9973"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It is therefore proposed to update the estimate introduced in the 2025 budget accordingly. Overall, this will reduce the estimated United Kingdom contribution to the budget 2025 by EUR 370 million.</w:t>
      </w:r>
    </w:p>
    <w:tbl>
      <w:tblPr>
        <w:tblW w:w="9963" w:type="dxa"/>
        <w:tblLayout w:type="fixed"/>
        <w:tblCellMar>
          <w:left w:w="40" w:type="dxa"/>
          <w:right w:w="40" w:type="dxa"/>
        </w:tblCellMar>
        <w:tblLook w:val="0000" w:firstRow="0" w:lastRow="0" w:firstColumn="0" w:lastColumn="0" w:noHBand="0" w:noVBand="0"/>
      </w:tblPr>
      <w:tblGrid>
        <w:gridCol w:w="4293"/>
        <w:gridCol w:w="2835"/>
        <w:gridCol w:w="2835"/>
      </w:tblGrid>
      <w:tr w:rsidR="00C55629" w:rsidRPr="00C55629" w14:paraId="66E2DC19" w14:textId="77777777" w:rsidTr="00414C10">
        <w:trPr>
          <w:tblHeader/>
        </w:trPr>
        <w:tc>
          <w:tcPr>
            <w:tcW w:w="4293" w:type="dxa"/>
            <w:tcBorders>
              <w:top w:val="single" w:sz="4" w:space="0" w:color="auto"/>
              <w:left w:val="single" w:sz="4" w:space="0" w:color="auto"/>
              <w:bottom w:val="single" w:sz="4" w:space="0" w:color="auto"/>
              <w:right w:val="single" w:sz="4" w:space="0" w:color="auto"/>
            </w:tcBorders>
          </w:tcPr>
          <w:p w14:paraId="6D87BF38"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p>
        </w:tc>
        <w:tc>
          <w:tcPr>
            <w:tcW w:w="2835" w:type="dxa"/>
            <w:tcBorders>
              <w:top w:val="single" w:sz="4" w:space="0" w:color="auto"/>
              <w:left w:val="nil"/>
              <w:bottom w:val="single" w:sz="4" w:space="0" w:color="auto"/>
              <w:right w:val="single" w:sz="4" w:space="0" w:color="auto"/>
            </w:tcBorders>
          </w:tcPr>
          <w:p w14:paraId="0BBFBDA9"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noProof/>
                <w:kern w:val="0"/>
                <w:sz w:val="16"/>
                <w:szCs w:val="16"/>
                <w:lang w:val="en-GB" w:eastAsia="de-DE"/>
                <w14:ligatures w14:val="none"/>
              </w:rPr>
              <w:t>Reference to the Article of the Withdrawal agreement</w:t>
            </w:r>
          </w:p>
        </w:tc>
        <w:tc>
          <w:tcPr>
            <w:tcW w:w="2835" w:type="dxa"/>
            <w:tcBorders>
              <w:top w:val="single" w:sz="4" w:space="0" w:color="auto"/>
              <w:left w:val="nil"/>
              <w:bottom w:val="single" w:sz="4" w:space="0" w:color="auto"/>
              <w:right w:val="single" w:sz="4" w:space="0" w:color="auto"/>
            </w:tcBorders>
          </w:tcPr>
          <w:p w14:paraId="55DBA8AD"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noProof/>
                <w:kern w:val="0"/>
                <w:sz w:val="16"/>
                <w:szCs w:val="16"/>
                <w:lang w:val="en-GB" w:eastAsia="de-DE"/>
                <w14:ligatures w14:val="none"/>
              </w:rPr>
              <w:t>2025</w:t>
            </w:r>
          </w:p>
        </w:tc>
      </w:tr>
      <w:tr w:rsidR="00C55629" w:rsidRPr="00C55629" w14:paraId="311E7370" w14:textId="77777777" w:rsidTr="0028479A">
        <w:tc>
          <w:tcPr>
            <w:tcW w:w="4293" w:type="dxa"/>
            <w:tcBorders>
              <w:top w:val="nil"/>
              <w:left w:val="single" w:sz="4" w:space="0" w:color="auto"/>
              <w:bottom w:val="single" w:sz="4" w:space="0" w:color="auto"/>
              <w:right w:val="single" w:sz="4" w:space="0" w:color="auto"/>
            </w:tcBorders>
          </w:tcPr>
          <w:p w14:paraId="28229076"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noProof/>
                <w:kern w:val="0"/>
                <w:sz w:val="16"/>
                <w:szCs w:val="16"/>
                <w:lang w:val="en-GB" w:eastAsia="en-GB"/>
                <w14:ligatures w14:val="none"/>
              </w:rPr>
              <w:t>Total provisional UK contribution for 2025, of which:</w:t>
            </w:r>
          </w:p>
        </w:tc>
        <w:tc>
          <w:tcPr>
            <w:tcW w:w="2835" w:type="dxa"/>
            <w:tcBorders>
              <w:top w:val="nil"/>
              <w:left w:val="nil"/>
              <w:bottom w:val="single" w:sz="4" w:space="0" w:color="auto"/>
              <w:right w:val="single" w:sz="4" w:space="0" w:color="auto"/>
            </w:tcBorders>
          </w:tcPr>
          <w:p w14:paraId="510CCF7D"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p>
        </w:tc>
        <w:tc>
          <w:tcPr>
            <w:tcW w:w="2835" w:type="dxa"/>
            <w:tcBorders>
              <w:top w:val="nil"/>
              <w:left w:val="nil"/>
              <w:bottom w:val="single" w:sz="4" w:space="0" w:color="auto"/>
              <w:right w:val="single" w:sz="4" w:space="0" w:color="auto"/>
            </w:tcBorders>
          </w:tcPr>
          <w:p w14:paraId="7380D954"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1 556 262 820</w:t>
            </w:r>
          </w:p>
        </w:tc>
      </w:tr>
      <w:tr w:rsidR="00C55629" w:rsidRPr="00C55629" w14:paraId="3BD64F12" w14:textId="77777777" w:rsidTr="0028479A">
        <w:tc>
          <w:tcPr>
            <w:tcW w:w="4293" w:type="dxa"/>
            <w:tcBorders>
              <w:top w:val="nil"/>
              <w:left w:val="single" w:sz="4" w:space="0" w:color="auto"/>
              <w:bottom w:val="single" w:sz="4" w:space="0" w:color="auto"/>
              <w:right w:val="single" w:sz="4" w:space="0" w:color="auto"/>
            </w:tcBorders>
          </w:tcPr>
          <w:p w14:paraId="783F5657"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1. RAL prior 2021</w:t>
            </w:r>
          </w:p>
        </w:tc>
        <w:tc>
          <w:tcPr>
            <w:tcW w:w="2835" w:type="dxa"/>
            <w:tcBorders>
              <w:top w:val="nil"/>
              <w:left w:val="nil"/>
              <w:bottom w:val="single" w:sz="4" w:space="0" w:color="auto"/>
              <w:right w:val="single" w:sz="4" w:space="0" w:color="auto"/>
            </w:tcBorders>
          </w:tcPr>
          <w:p w14:paraId="30E052D3"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Art. 140</w:t>
            </w:r>
          </w:p>
        </w:tc>
        <w:tc>
          <w:tcPr>
            <w:tcW w:w="2835" w:type="dxa"/>
            <w:tcBorders>
              <w:top w:val="nil"/>
              <w:left w:val="nil"/>
              <w:bottom w:val="single" w:sz="4" w:space="0" w:color="auto"/>
              <w:right w:val="single" w:sz="4" w:space="0" w:color="auto"/>
            </w:tcBorders>
          </w:tcPr>
          <w:p w14:paraId="28D62F03"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2 005 370 252</w:t>
            </w:r>
          </w:p>
        </w:tc>
      </w:tr>
      <w:tr w:rsidR="00C55629" w:rsidRPr="00C55629" w14:paraId="2C5417FB" w14:textId="77777777" w:rsidTr="0028479A">
        <w:tc>
          <w:tcPr>
            <w:tcW w:w="4293" w:type="dxa"/>
            <w:tcBorders>
              <w:top w:val="nil"/>
              <w:left w:val="single" w:sz="4" w:space="0" w:color="auto"/>
              <w:bottom w:val="single" w:sz="4" w:space="0" w:color="auto"/>
              <w:right w:val="single" w:sz="4" w:space="0" w:color="auto"/>
            </w:tcBorders>
          </w:tcPr>
          <w:p w14:paraId="27A43C3C"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 xml:space="preserve">2. Union's liabilities/pensions* </w:t>
            </w:r>
          </w:p>
        </w:tc>
        <w:tc>
          <w:tcPr>
            <w:tcW w:w="2835" w:type="dxa"/>
            <w:tcBorders>
              <w:top w:val="nil"/>
              <w:left w:val="nil"/>
              <w:bottom w:val="single" w:sz="4" w:space="0" w:color="auto"/>
              <w:right w:val="single" w:sz="4" w:space="0" w:color="auto"/>
            </w:tcBorders>
          </w:tcPr>
          <w:p w14:paraId="62A78357"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Art.142</w:t>
            </w:r>
          </w:p>
        </w:tc>
        <w:tc>
          <w:tcPr>
            <w:tcW w:w="2835" w:type="dxa"/>
            <w:tcBorders>
              <w:top w:val="nil"/>
              <w:left w:val="nil"/>
              <w:bottom w:val="single" w:sz="4" w:space="0" w:color="auto"/>
              <w:right w:val="single" w:sz="4" w:space="0" w:color="auto"/>
            </w:tcBorders>
          </w:tcPr>
          <w:p w14:paraId="4F668DA0"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332 168 222</w:t>
            </w:r>
          </w:p>
        </w:tc>
      </w:tr>
      <w:tr w:rsidR="00C55629" w:rsidRPr="00C55629" w14:paraId="32E5F099" w14:textId="77777777" w:rsidTr="0028479A">
        <w:tc>
          <w:tcPr>
            <w:tcW w:w="4293" w:type="dxa"/>
            <w:tcBorders>
              <w:top w:val="nil"/>
              <w:left w:val="single" w:sz="4" w:space="0" w:color="auto"/>
              <w:bottom w:val="single" w:sz="4" w:space="0" w:color="auto"/>
              <w:right w:val="single" w:sz="4" w:space="0" w:color="auto"/>
            </w:tcBorders>
          </w:tcPr>
          <w:p w14:paraId="3128BE65"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3. Own resources corrections and adjustments, of which:</w:t>
            </w:r>
          </w:p>
        </w:tc>
        <w:tc>
          <w:tcPr>
            <w:tcW w:w="2835" w:type="dxa"/>
            <w:tcBorders>
              <w:top w:val="nil"/>
              <w:left w:val="nil"/>
              <w:bottom w:val="single" w:sz="4" w:space="0" w:color="auto"/>
              <w:right w:val="single" w:sz="4" w:space="0" w:color="auto"/>
            </w:tcBorders>
          </w:tcPr>
          <w:p w14:paraId="031CE3BD"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p>
        </w:tc>
        <w:tc>
          <w:tcPr>
            <w:tcW w:w="2835" w:type="dxa"/>
            <w:tcBorders>
              <w:top w:val="nil"/>
              <w:left w:val="nil"/>
              <w:bottom w:val="single" w:sz="4" w:space="0" w:color="auto"/>
              <w:right w:val="single" w:sz="4" w:space="0" w:color="auto"/>
            </w:tcBorders>
          </w:tcPr>
          <w:p w14:paraId="0659823C"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-114 379 326</w:t>
            </w:r>
          </w:p>
        </w:tc>
      </w:tr>
      <w:tr w:rsidR="00C55629" w:rsidRPr="00C55629" w14:paraId="53F04992" w14:textId="77777777" w:rsidTr="0028479A">
        <w:tc>
          <w:tcPr>
            <w:tcW w:w="4293" w:type="dxa"/>
            <w:tcBorders>
              <w:top w:val="nil"/>
              <w:left w:val="single" w:sz="4" w:space="0" w:color="auto"/>
              <w:bottom w:val="single" w:sz="4" w:space="0" w:color="auto"/>
              <w:right w:val="single" w:sz="4" w:space="0" w:color="auto"/>
            </w:tcBorders>
          </w:tcPr>
          <w:p w14:paraId="3A4BDBEA"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3.1 Surplus/deficit of 2020</w:t>
            </w:r>
          </w:p>
        </w:tc>
        <w:tc>
          <w:tcPr>
            <w:tcW w:w="2835" w:type="dxa"/>
            <w:tcBorders>
              <w:top w:val="nil"/>
              <w:left w:val="nil"/>
              <w:bottom w:val="single" w:sz="4" w:space="0" w:color="auto"/>
              <w:right w:val="single" w:sz="4" w:space="0" w:color="auto"/>
            </w:tcBorders>
          </w:tcPr>
          <w:p w14:paraId="0B406F66"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Art.136(3)(a)</w:t>
            </w:r>
          </w:p>
        </w:tc>
        <w:tc>
          <w:tcPr>
            <w:tcW w:w="2835" w:type="dxa"/>
            <w:tcBorders>
              <w:top w:val="nil"/>
              <w:left w:val="nil"/>
              <w:bottom w:val="single" w:sz="4" w:space="0" w:color="auto"/>
              <w:right w:val="single" w:sz="4" w:space="0" w:color="auto"/>
            </w:tcBorders>
          </w:tcPr>
          <w:p w14:paraId="41FE4D82"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n/a</w:t>
            </w:r>
          </w:p>
        </w:tc>
      </w:tr>
      <w:tr w:rsidR="00C55629" w:rsidRPr="00C55629" w14:paraId="2BDA6770" w14:textId="77777777" w:rsidTr="0028479A">
        <w:tc>
          <w:tcPr>
            <w:tcW w:w="4293" w:type="dxa"/>
            <w:tcBorders>
              <w:top w:val="nil"/>
              <w:left w:val="single" w:sz="4" w:space="0" w:color="auto"/>
              <w:bottom w:val="single" w:sz="4" w:space="0" w:color="auto"/>
              <w:right w:val="single" w:sz="4" w:space="0" w:color="auto"/>
            </w:tcBorders>
          </w:tcPr>
          <w:p w14:paraId="44433B9B"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3.2 UK correction updates</w:t>
            </w:r>
          </w:p>
        </w:tc>
        <w:tc>
          <w:tcPr>
            <w:tcW w:w="2835" w:type="dxa"/>
            <w:tcBorders>
              <w:top w:val="nil"/>
              <w:left w:val="nil"/>
              <w:bottom w:val="single" w:sz="4" w:space="0" w:color="auto"/>
              <w:right w:val="single" w:sz="4" w:space="0" w:color="auto"/>
            </w:tcBorders>
          </w:tcPr>
          <w:p w14:paraId="625293C8"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Art.136</w:t>
            </w:r>
          </w:p>
        </w:tc>
        <w:tc>
          <w:tcPr>
            <w:tcW w:w="2835" w:type="dxa"/>
            <w:tcBorders>
              <w:top w:val="nil"/>
              <w:left w:val="nil"/>
              <w:bottom w:val="single" w:sz="4" w:space="0" w:color="auto"/>
              <w:right w:val="single" w:sz="4" w:space="0" w:color="auto"/>
            </w:tcBorders>
          </w:tcPr>
          <w:p w14:paraId="14FC3DC5"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n/a</w:t>
            </w:r>
          </w:p>
        </w:tc>
      </w:tr>
      <w:tr w:rsidR="00C55629" w:rsidRPr="00C55629" w14:paraId="7730391D" w14:textId="77777777" w:rsidTr="0028479A">
        <w:tc>
          <w:tcPr>
            <w:tcW w:w="4293" w:type="dxa"/>
            <w:tcBorders>
              <w:top w:val="nil"/>
              <w:left w:val="single" w:sz="4" w:space="0" w:color="auto"/>
              <w:bottom w:val="single" w:sz="4" w:space="0" w:color="auto"/>
              <w:right w:val="single" w:sz="4" w:space="0" w:color="auto"/>
            </w:tcBorders>
          </w:tcPr>
          <w:p w14:paraId="74BF085B"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 xml:space="preserve">3.3. VAT&amp;GNI </w:t>
            </w:r>
          </w:p>
        </w:tc>
        <w:tc>
          <w:tcPr>
            <w:tcW w:w="2835" w:type="dxa"/>
            <w:tcBorders>
              <w:top w:val="nil"/>
              <w:left w:val="nil"/>
              <w:bottom w:val="single" w:sz="4" w:space="0" w:color="auto"/>
              <w:right w:val="single" w:sz="4" w:space="0" w:color="auto"/>
            </w:tcBorders>
          </w:tcPr>
          <w:p w14:paraId="5FB06EA3"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Art.136</w:t>
            </w:r>
          </w:p>
        </w:tc>
        <w:tc>
          <w:tcPr>
            <w:tcW w:w="2835" w:type="dxa"/>
            <w:tcBorders>
              <w:top w:val="nil"/>
              <w:left w:val="nil"/>
              <w:bottom w:val="single" w:sz="4" w:space="0" w:color="auto"/>
              <w:right w:val="single" w:sz="4" w:space="0" w:color="auto"/>
            </w:tcBorders>
          </w:tcPr>
          <w:p w14:paraId="0E914C7E"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-127 441 597</w:t>
            </w:r>
          </w:p>
        </w:tc>
      </w:tr>
      <w:tr w:rsidR="00C55629" w:rsidRPr="00C55629" w14:paraId="40BC0395" w14:textId="77777777" w:rsidTr="0028479A">
        <w:tc>
          <w:tcPr>
            <w:tcW w:w="4293" w:type="dxa"/>
            <w:tcBorders>
              <w:top w:val="nil"/>
              <w:left w:val="single" w:sz="4" w:space="0" w:color="auto"/>
              <w:bottom w:val="single" w:sz="4" w:space="0" w:color="auto"/>
              <w:right w:val="single" w:sz="4" w:space="0" w:color="auto"/>
            </w:tcBorders>
          </w:tcPr>
          <w:p w14:paraId="100C0859"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3.4. TOR</w:t>
            </w:r>
          </w:p>
        </w:tc>
        <w:tc>
          <w:tcPr>
            <w:tcW w:w="2835" w:type="dxa"/>
            <w:tcBorders>
              <w:top w:val="nil"/>
              <w:left w:val="nil"/>
              <w:bottom w:val="single" w:sz="4" w:space="0" w:color="auto"/>
              <w:right w:val="single" w:sz="4" w:space="0" w:color="auto"/>
            </w:tcBorders>
          </w:tcPr>
          <w:p w14:paraId="38A8E6B8"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Art.136, Art. 140(4)</w:t>
            </w:r>
          </w:p>
        </w:tc>
        <w:tc>
          <w:tcPr>
            <w:tcW w:w="2835" w:type="dxa"/>
            <w:tcBorders>
              <w:top w:val="nil"/>
              <w:left w:val="nil"/>
              <w:bottom w:val="single" w:sz="4" w:space="0" w:color="auto"/>
              <w:right w:val="single" w:sz="4" w:space="0" w:color="auto"/>
            </w:tcBorders>
          </w:tcPr>
          <w:p w14:paraId="42A7F703"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13 062 271</w:t>
            </w:r>
          </w:p>
        </w:tc>
      </w:tr>
      <w:tr w:rsidR="00C55629" w:rsidRPr="00C55629" w14:paraId="6556BE99" w14:textId="77777777" w:rsidTr="0028479A">
        <w:tc>
          <w:tcPr>
            <w:tcW w:w="4293" w:type="dxa"/>
            <w:tcBorders>
              <w:top w:val="nil"/>
              <w:left w:val="single" w:sz="4" w:space="0" w:color="auto"/>
              <w:bottom w:val="single" w:sz="4" w:space="0" w:color="auto"/>
              <w:right w:val="single" w:sz="4" w:space="0" w:color="auto"/>
            </w:tcBorders>
          </w:tcPr>
          <w:p w14:paraId="07E24EA3"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4. Fines</w:t>
            </w:r>
          </w:p>
        </w:tc>
        <w:tc>
          <w:tcPr>
            <w:tcW w:w="2835" w:type="dxa"/>
            <w:tcBorders>
              <w:top w:val="nil"/>
              <w:left w:val="nil"/>
              <w:bottom w:val="single" w:sz="4" w:space="0" w:color="auto"/>
              <w:right w:val="single" w:sz="4" w:space="0" w:color="auto"/>
            </w:tcBorders>
          </w:tcPr>
          <w:p w14:paraId="0FEF7F16"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Art.141</w:t>
            </w:r>
          </w:p>
        </w:tc>
        <w:tc>
          <w:tcPr>
            <w:tcW w:w="2835" w:type="dxa"/>
            <w:tcBorders>
              <w:top w:val="nil"/>
              <w:left w:val="nil"/>
              <w:bottom w:val="single" w:sz="4" w:space="0" w:color="auto"/>
              <w:right w:val="single" w:sz="4" w:space="0" w:color="auto"/>
            </w:tcBorders>
          </w:tcPr>
          <w:p w14:paraId="71EB277C"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-373 478 959</w:t>
            </w:r>
          </w:p>
        </w:tc>
      </w:tr>
      <w:tr w:rsidR="00C55629" w:rsidRPr="00C55629" w14:paraId="5CFAD108" w14:textId="77777777" w:rsidTr="0028479A">
        <w:tc>
          <w:tcPr>
            <w:tcW w:w="4293" w:type="dxa"/>
            <w:tcBorders>
              <w:top w:val="nil"/>
              <w:left w:val="single" w:sz="4" w:space="0" w:color="auto"/>
              <w:bottom w:val="single" w:sz="4" w:space="0" w:color="auto"/>
              <w:right w:val="single" w:sz="4" w:space="0" w:color="auto"/>
            </w:tcBorders>
          </w:tcPr>
          <w:p w14:paraId="4BDAEBD7"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5. Contingent liabilities, of which:</w:t>
            </w:r>
          </w:p>
        </w:tc>
        <w:tc>
          <w:tcPr>
            <w:tcW w:w="2835" w:type="dxa"/>
            <w:tcBorders>
              <w:top w:val="nil"/>
              <w:left w:val="nil"/>
              <w:bottom w:val="single" w:sz="4" w:space="0" w:color="auto"/>
              <w:right w:val="single" w:sz="4" w:space="0" w:color="auto"/>
            </w:tcBorders>
          </w:tcPr>
          <w:p w14:paraId="28968567"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p>
        </w:tc>
        <w:tc>
          <w:tcPr>
            <w:tcW w:w="2835" w:type="dxa"/>
            <w:tcBorders>
              <w:top w:val="nil"/>
              <w:left w:val="nil"/>
              <w:bottom w:val="single" w:sz="4" w:space="0" w:color="auto"/>
              <w:right w:val="single" w:sz="4" w:space="0" w:color="auto"/>
            </w:tcBorders>
          </w:tcPr>
          <w:p w14:paraId="31888248"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-250 000 000</w:t>
            </w:r>
          </w:p>
        </w:tc>
      </w:tr>
      <w:tr w:rsidR="00C55629" w:rsidRPr="00C55629" w14:paraId="25239A0C" w14:textId="77777777" w:rsidTr="0028479A">
        <w:tc>
          <w:tcPr>
            <w:tcW w:w="4293" w:type="dxa"/>
            <w:tcBorders>
              <w:top w:val="nil"/>
              <w:left w:val="single" w:sz="4" w:space="0" w:color="auto"/>
              <w:bottom w:val="single" w:sz="4" w:space="0" w:color="auto"/>
              <w:right w:val="single" w:sz="4" w:space="0" w:color="auto"/>
            </w:tcBorders>
          </w:tcPr>
          <w:p w14:paraId="1D3207AF"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5.1 ELM, EFSI, EFSD, loans (Guarantee funds)</w:t>
            </w:r>
          </w:p>
        </w:tc>
        <w:tc>
          <w:tcPr>
            <w:tcW w:w="2835" w:type="dxa"/>
            <w:tcBorders>
              <w:top w:val="nil"/>
              <w:left w:val="nil"/>
              <w:bottom w:val="single" w:sz="4" w:space="0" w:color="auto"/>
              <w:right w:val="single" w:sz="4" w:space="0" w:color="auto"/>
            </w:tcBorders>
          </w:tcPr>
          <w:p w14:paraId="235D8E02"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Art.143</w:t>
            </w:r>
          </w:p>
        </w:tc>
        <w:tc>
          <w:tcPr>
            <w:tcW w:w="2835" w:type="dxa"/>
            <w:tcBorders>
              <w:top w:val="nil"/>
              <w:left w:val="nil"/>
              <w:bottom w:val="single" w:sz="4" w:space="0" w:color="auto"/>
              <w:right w:val="single" w:sz="4" w:space="0" w:color="auto"/>
            </w:tcBorders>
          </w:tcPr>
          <w:p w14:paraId="571D9680"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-200 000 000</w:t>
            </w:r>
          </w:p>
        </w:tc>
      </w:tr>
      <w:tr w:rsidR="00C55629" w:rsidRPr="00C55629" w14:paraId="2AFF3ED9" w14:textId="77777777" w:rsidTr="0028479A">
        <w:tc>
          <w:tcPr>
            <w:tcW w:w="4293" w:type="dxa"/>
            <w:tcBorders>
              <w:top w:val="nil"/>
              <w:left w:val="single" w:sz="4" w:space="0" w:color="auto"/>
              <w:bottom w:val="single" w:sz="4" w:space="0" w:color="auto"/>
              <w:right w:val="single" w:sz="4" w:space="0" w:color="auto"/>
            </w:tcBorders>
          </w:tcPr>
          <w:p w14:paraId="61D98743"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5.2 Financial Instruments</w:t>
            </w:r>
          </w:p>
        </w:tc>
        <w:tc>
          <w:tcPr>
            <w:tcW w:w="2835" w:type="dxa"/>
            <w:tcBorders>
              <w:top w:val="nil"/>
              <w:left w:val="nil"/>
              <w:bottom w:val="single" w:sz="4" w:space="0" w:color="auto"/>
              <w:right w:val="single" w:sz="4" w:space="0" w:color="auto"/>
            </w:tcBorders>
          </w:tcPr>
          <w:p w14:paraId="71270B6D"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Art.144</w:t>
            </w:r>
          </w:p>
        </w:tc>
        <w:tc>
          <w:tcPr>
            <w:tcW w:w="2835" w:type="dxa"/>
            <w:tcBorders>
              <w:top w:val="nil"/>
              <w:left w:val="nil"/>
              <w:bottom w:val="single" w:sz="4" w:space="0" w:color="auto"/>
              <w:right w:val="single" w:sz="4" w:space="0" w:color="auto"/>
            </w:tcBorders>
          </w:tcPr>
          <w:p w14:paraId="01EE38A2"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-50 000 000</w:t>
            </w:r>
          </w:p>
        </w:tc>
      </w:tr>
      <w:tr w:rsidR="00C55629" w:rsidRPr="00C55629" w14:paraId="4C7C91C5" w14:textId="77777777" w:rsidTr="0028479A">
        <w:tc>
          <w:tcPr>
            <w:tcW w:w="4293" w:type="dxa"/>
            <w:tcBorders>
              <w:top w:val="nil"/>
              <w:left w:val="single" w:sz="4" w:space="0" w:color="auto"/>
              <w:bottom w:val="single" w:sz="4" w:space="0" w:color="auto"/>
              <w:right w:val="single" w:sz="4" w:space="0" w:color="auto"/>
            </w:tcBorders>
          </w:tcPr>
          <w:p w14:paraId="1D1AD3D1"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i/>
                <w:iCs/>
                <w:noProof/>
                <w:kern w:val="0"/>
                <w:sz w:val="16"/>
                <w:szCs w:val="16"/>
                <w:lang w:val="en-GB" w:eastAsia="de-DE"/>
                <w14:ligatures w14:val="none"/>
              </w:rPr>
              <w:t>5.3 Legal cases (incl. fines)</w:t>
            </w:r>
          </w:p>
        </w:tc>
        <w:tc>
          <w:tcPr>
            <w:tcW w:w="2835" w:type="dxa"/>
            <w:tcBorders>
              <w:top w:val="nil"/>
              <w:left w:val="nil"/>
              <w:bottom w:val="single" w:sz="4" w:space="0" w:color="auto"/>
              <w:right w:val="single" w:sz="4" w:space="0" w:color="auto"/>
            </w:tcBorders>
          </w:tcPr>
          <w:p w14:paraId="293CC042"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Art.147</w:t>
            </w:r>
          </w:p>
        </w:tc>
        <w:tc>
          <w:tcPr>
            <w:tcW w:w="2835" w:type="dxa"/>
            <w:tcBorders>
              <w:top w:val="nil"/>
              <w:left w:val="nil"/>
              <w:bottom w:val="single" w:sz="4" w:space="0" w:color="auto"/>
              <w:right w:val="single" w:sz="4" w:space="0" w:color="auto"/>
            </w:tcBorders>
          </w:tcPr>
          <w:p w14:paraId="1AA87AD2"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noProof/>
                <w:kern w:val="0"/>
                <w:sz w:val="16"/>
                <w:szCs w:val="16"/>
                <w:lang w:val="en-GB" w:eastAsia="de-DE"/>
                <w14:ligatures w14:val="none"/>
              </w:rPr>
              <w:t>p.m.</w:t>
            </w:r>
          </w:p>
        </w:tc>
      </w:tr>
      <w:tr w:rsidR="00C55629" w:rsidRPr="00C55629" w14:paraId="0CD17750" w14:textId="77777777" w:rsidTr="0028479A">
        <w:tc>
          <w:tcPr>
            <w:tcW w:w="4293" w:type="dxa"/>
            <w:tcBorders>
              <w:top w:val="nil"/>
              <w:left w:val="single" w:sz="4" w:space="0" w:color="auto"/>
              <w:bottom w:val="single" w:sz="4" w:space="0" w:color="auto"/>
              <w:right w:val="single" w:sz="4" w:space="0" w:color="auto"/>
            </w:tcBorders>
          </w:tcPr>
          <w:p w14:paraId="61F11758"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6. ECSC net assets</w:t>
            </w:r>
          </w:p>
        </w:tc>
        <w:tc>
          <w:tcPr>
            <w:tcW w:w="2835" w:type="dxa"/>
            <w:tcBorders>
              <w:top w:val="nil"/>
              <w:left w:val="nil"/>
              <w:bottom w:val="single" w:sz="4" w:space="0" w:color="auto"/>
              <w:right w:val="single" w:sz="4" w:space="0" w:color="auto"/>
            </w:tcBorders>
          </w:tcPr>
          <w:p w14:paraId="79197091"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Art.145</w:t>
            </w:r>
          </w:p>
        </w:tc>
        <w:tc>
          <w:tcPr>
            <w:tcW w:w="2835" w:type="dxa"/>
            <w:tcBorders>
              <w:top w:val="nil"/>
              <w:left w:val="nil"/>
              <w:bottom w:val="single" w:sz="4" w:space="0" w:color="auto"/>
              <w:right w:val="single" w:sz="4" w:space="0" w:color="auto"/>
            </w:tcBorders>
          </w:tcPr>
          <w:p w14:paraId="60007691"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-36 874 795</w:t>
            </w:r>
          </w:p>
        </w:tc>
      </w:tr>
      <w:tr w:rsidR="00C55629" w:rsidRPr="00C55629" w14:paraId="771BC013" w14:textId="77777777" w:rsidTr="0028479A">
        <w:tc>
          <w:tcPr>
            <w:tcW w:w="4293" w:type="dxa"/>
            <w:tcBorders>
              <w:top w:val="nil"/>
              <w:left w:val="single" w:sz="4" w:space="0" w:color="auto"/>
              <w:bottom w:val="single" w:sz="4" w:space="0" w:color="auto"/>
              <w:right w:val="single" w:sz="4" w:space="0" w:color="auto"/>
            </w:tcBorders>
          </w:tcPr>
          <w:p w14:paraId="5ADAFB59"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7. EIF investment</w:t>
            </w:r>
          </w:p>
        </w:tc>
        <w:tc>
          <w:tcPr>
            <w:tcW w:w="2835" w:type="dxa"/>
            <w:tcBorders>
              <w:top w:val="nil"/>
              <w:left w:val="nil"/>
              <w:bottom w:val="single" w:sz="4" w:space="0" w:color="auto"/>
              <w:right w:val="single" w:sz="4" w:space="0" w:color="auto"/>
            </w:tcBorders>
          </w:tcPr>
          <w:p w14:paraId="1DE96385"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Art.146</w:t>
            </w:r>
          </w:p>
        </w:tc>
        <w:tc>
          <w:tcPr>
            <w:tcW w:w="2835" w:type="dxa"/>
            <w:tcBorders>
              <w:top w:val="nil"/>
              <w:left w:val="nil"/>
              <w:bottom w:val="single" w:sz="4" w:space="0" w:color="auto"/>
              <w:right w:val="single" w:sz="4" w:space="0" w:color="auto"/>
            </w:tcBorders>
          </w:tcPr>
          <w:p w14:paraId="1D9BA528"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-6 648 463</w:t>
            </w:r>
          </w:p>
        </w:tc>
      </w:tr>
      <w:tr w:rsidR="00C55629" w:rsidRPr="00C55629" w14:paraId="76105026" w14:textId="77777777" w:rsidTr="0028479A">
        <w:tc>
          <w:tcPr>
            <w:tcW w:w="4293" w:type="dxa"/>
            <w:tcBorders>
              <w:top w:val="nil"/>
              <w:left w:val="single" w:sz="4" w:space="0" w:color="auto"/>
              <w:bottom w:val="single" w:sz="4" w:space="0" w:color="auto"/>
              <w:right w:val="single" w:sz="4" w:space="0" w:color="auto"/>
            </w:tcBorders>
          </w:tcPr>
          <w:p w14:paraId="7EA4A337"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b/>
                <w:bCs/>
                <w:i/>
                <w:iCs/>
                <w:noProof/>
                <w:kern w:val="0"/>
                <w:sz w:val="16"/>
                <w:szCs w:val="16"/>
                <w:lang w:val="en-GB" w:eastAsia="en-GB"/>
                <w14:ligatures w14:val="none"/>
              </w:rPr>
              <w:t>8. Access to networks/systems/data bases**</w:t>
            </w:r>
          </w:p>
        </w:tc>
        <w:tc>
          <w:tcPr>
            <w:tcW w:w="2835" w:type="dxa"/>
            <w:tcBorders>
              <w:top w:val="nil"/>
              <w:left w:val="nil"/>
              <w:bottom w:val="single" w:sz="4" w:space="0" w:color="auto"/>
              <w:right w:val="single" w:sz="4" w:space="0" w:color="auto"/>
            </w:tcBorders>
          </w:tcPr>
          <w:p w14:paraId="0D16812D" w14:textId="77777777" w:rsidR="00C55629" w:rsidRPr="00C55629" w:rsidRDefault="00C55629" w:rsidP="00C55629">
            <w:pPr>
              <w:spacing w:before="30" w:after="30" w:line="240" w:lineRule="auto"/>
              <w:jc w:val="center"/>
              <w:rPr>
                <w:rFonts w:ascii="Times New Roman" w:eastAsia="Times New Roman" w:hAnsi="Times New Roman" w:cs="Times New Roman"/>
                <w:noProof/>
                <w:kern w:val="0"/>
                <w:sz w:val="16"/>
                <w:szCs w:val="16"/>
                <w:lang w:val="de-DE" w:eastAsia="de-DE"/>
                <w14:ligatures w14:val="none"/>
              </w:rPr>
            </w:pPr>
            <w:r w:rsidRPr="00C55629">
              <w:rPr>
                <w:rFonts w:ascii="Times New Roman" w:eastAsia="Times New Roman" w:hAnsi="Times New Roman" w:cs="Times New Roman"/>
                <w:b/>
                <w:i/>
                <w:noProof/>
                <w:kern w:val="0"/>
                <w:sz w:val="16"/>
                <w:szCs w:val="16"/>
                <w:lang w:val="de-DE" w:eastAsia="de-DE"/>
                <w14:ligatures w14:val="none"/>
              </w:rPr>
              <w:t>Art. 49(2), Art. 50 and 53, Art. 62(2), Art. 63(1)(e), Art. 63(2), Art. 99(3), Art. 100(2)</w:t>
            </w:r>
          </w:p>
        </w:tc>
        <w:tc>
          <w:tcPr>
            <w:tcW w:w="2835" w:type="dxa"/>
            <w:tcBorders>
              <w:top w:val="nil"/>
              <w:left w:val="nil"/>
              <w:bottom w:val="single" w:sz="4" w:space="0" w:color="auto"/>
              <w:right w:val="single" w:sz="4" w:space="0" w:color="auto"/>
            </w:tcBorders>
          </w:tcPr>
          <w:p w14:paraId="33664921" w14:textId="77777777" w:rsidR="00C55629" w:rsidRPr="00C55629" w:rsidRDefault="00C55629" w:rsidP="00C55629">
            <w:pPr>
              <w:spacing w:before="30" w:after="30" w:line="240" w:lineRule="auto"/>
              <w:jc w:val="right"/>
              <w:rPr>
                <w:rFonts w:ascii="Times New Roman" w:eastAsia="Times New Roman" w:hAnsi="Times New Roman" w:cs="Times New Roman"/>
                <w:noProof/>
                <w:kern w:val="0"/>
                <w:sz w:val="16"/>
                <w:szCs w:val="16"/>
                <w:lang w:val="en-GB" w:eastAsia="de-DE"/>
                <w14:ligatures w14:val="none"/>
              </w:rPr>
            </w:pPr>
            <w:r w:rsidRPr="00C55629">
              <w:rPr>
                <w:rFonts w:ascii="Times New Roman" w:eastAsia="Times New Roman" w:hAnsi="Times New Roman" w:cs="Times New Roman"/>
                <w:b/>
                <w:bCs/>
                <w:i/>
                <w:iCs/>
                <w:noProof/>
                <w:kern w:val="0"/>
                <w:sz w:val="16"/>
                <w:szCs w:val="16"/>
                <w:lang w:val="en-GB" w:eastAsia="de-DE"/>
                <w14:ligatures w14:val="none"/>
              </w:rPr>
              <w:t>105 889</w:t>
            </w:r>
          </w:p>
        </w:tc>
      </w:tr>
      <w:tr w:rsidR="00C55629" w:rsidRPr="00C55629" w14:paraId="54B47DDC" w14:textId="77777777" w:rsidTr="0028479A">
        <w:tc>
          <w:tcPr>
            <w:tcW w:w="9963" w:type="dxa"/>
            <w:gridSpan w:val="3"/>
            <w:tcBorders>
              <w:top w:val="nil"/>
              <w:left w:val="single" w:sz="4" w:space="0" w:color="auto"/>
              <w:bottom w:val="single" w:sz="4" w:space="0" w:color="auto"/>
              <w:right w:val="single" w:sz="4" w:space="0" w:color="auto"/>
            </w:tcBorders>
          </w:tcPr>
          <w:p w14:paraId="6ADFC7D9"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i/>
                <w:iCs/>
                <w:noProof/>
                <w:kern w:val="0"/>
                <w:sz w:val="16"/>
                <w:szCs w:val="16"/>
                <w:lang w:val="en-GB" w:eastAsia="en-GB"/>
                <w14:ligatures w14:val="none"/>
              </w:rPr>
              <w:t>* - the amount of EUR 332 million will be entered in the EU budget as assigned revenues</w:t>
            </w:r>
          </w:p>
          <w:p w14:paraId="2602CE63" w14:textId="77777777" w:rsidR="00C55629" w:rsidRPr="00C55629" w:rsidRDefault="00C55629" w:rsidP="00C55629">
            <w:pPr>
              <w:spacing w:before="30" w:after="30" w:line="240" w:lineRule="auto"/>
              <w:rPr>
                <w:rFonts w:ascii="Times New Roman" w:eastAsia="Times New Roman" w:hAnsi="Times New Roman" w:cs="Times New Roman"/>
                <w:noProof/>
                <w:kern w:val="0"/>
                <w:sz w:val="16"/>
                <w:szCs w:val="16"/>
                <w:lang w:val="en-GB" w:eastAsia="en-GB"/>
                <w14:ligatures w14:val="none"/>
              </w:rPr>
            </w:pPr>
            <w:r w:rsidRPr="00C55629">
              <w:rPr>
                <w:rFonts w:ascii="Times New Roman" w:eastAsia="Times New Roman" w:hAnsi="Times New Roman" w:cs="Times New Roman"/>
                <w:i/>
                <w:iCs/>
                <w:noProof/>
                <w:kern w:val="0"/>
                <w:sz w:val="16"/>
                <w:szCs w:val="16"/>
                <w:lang w:val="en-GB" w:eastAsia="en-GB"/>
                <w14:ligatures w14:val="none"/>
              </w:rPr>
              <w:t>** - to be entered in the EU budget as assigned revenues</w:t>
            </w:r>
          </w:p>
        </w:tc>
      </w:tr>
    </w:tbl>
    <w:p w14:paraId="2B4D4F38" w14:textId="77777777" w:rsidR="00C55629" w:rsidRPr="00C55629" w:rsidRDefault="00C55629" w:rsidP="00C55629">
      <w:pPr>
        <w:keepNext/>
        <w:tabs>
          <w:tab w:val="left" w:pos="850"/>
        </w:tabs>
        <w:spacing w:before="360" w:after="240" w:line="240" w:lineRule="auto"/>
        <w:ind w:left="839" w:hanging="839"/>
        <w:jc w:val="both"/>
        <w:outlineLvl w:val="1"/>
        <w:rPr>
          <w:rFonts w:ascii="Times New Roman" w:eastAsia="Calibri" w:hAnsi="Times New Roman" w:cs="Times New Roman"/>
          <w:b/>
          <w:bCs/>
          <w:noProof/>
          <w:kern w:val="0"/>
          <w:sz w:val="24"/>
          <w:szCs w:val="24"/>
          <w:lang w:val="en-GB"/>
          <w14:ligatures w14:val="none"/>
        </w:rPr>
      </w:pPr>
      <w:r w:rsidRPr="00C55629">
        <w:rPr>
          <w:rFonts w:ascii="Times New Roman" w:eastAsia="Calibri" w:hAnsi="Times New Roman" w:cs="Times New Roman"/>
          <w:b/>
          <w:bCs/>
          <w:noProof/>
          <w:kern w:val="0"/>
          <w:sz w:val="24"/>
          <w:szCs w:val="24"/>
          <w:lang w:val="en-GB"/>
          <w14:ligatures w14:val="none"/>
        </w:rPr>
        <w:t xml:space="preserve">12.2 </w:t>
      </w:r>
      <w:r w:rsidRPr="00C55629">
        <w:rPr>
          <w:rFonts w:ascii="Times New Roman" w:eastAsia="Calibri" w:hAnsi="Times New Roman" w:cs="Times New Roman"/>
          <w:b/>
          <w:noProof/>
          <w:kern w:val="0"/>
          <w:sz w:val="24"/>
          <w:szCs w:val="24"/>
          <w:lang w:val="en-GB"/>
          <w14:ligatures w14:val="none"/>
        </w:rPr>
        <w:tab/>
      </w:r>
      <w:r w:rsidRPr="00C55629">
        <w:rPr>
          <w:rFonts w:ascii="Times New Roman" w:eastAsia="Calibri" w:hAnsi="Times New Roman" w:cs="Times New Roman"/>
          <w:b/>
          <w:bCs/>
          <w:noProof/>
          <w:kern w:val="0"/>
          <w:sz w:val="24"/>
          <w:szCs w:val="24"/>
          <w:lang w:val="en-GB"/>
          <w14:ligatures w14:val="none"/>
        </w:rPr>
        <w:t>Nomenclature change following the adoption by the Commission of the proposal for the ULCM</w:t>
      </w:r>
    </w:p>
    <w:p w14:paraId="4FE4D934"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As a consequence of the adoption of the Commission proposal for a Regulation of the European Parliament and of the Council establishing the Ukraine Loan Cooperation Mechanism and providing exceptional macro-financial assistance to Ukraine (see section 9 above), it is proposed to create a new revenue line within an article for Ukraine support: 6 6 4 2 ‘Ukraine Loan Cooperation Mechanism’. </w:t>
      </w:r>
    </w:p>
    <w:p w14:paraId="196D9322" w14:textId="77777777" w:rsidR="00C55629" w:rsidRPr="00C55629" w:rsidRDefault="00C55629" w:rsidP="00C55629">
      <w:pPr>
        <w:spacing w:before="120"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corresponding budget remarks are set out in the budgetary annex.</w:t>
      </w:r>
    </w:p>
    <w:p w14:paraId="1BB240C4" w14:textId="77777777" w:rsidR="00C55629" w:rsidRPr="00C55629" w:rsidRDefault="00C55629" w:rsidP="00C55629">
      <w:pPr>
        <w:spacing w:after="200" w:line="276" w:lineRule="auto"/>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Times New Roman" w:hAnsi="Times New Roman" w:cs="Times New Roman"/>
          <w:b/>
          <w:smallCaps/>
          <w:noProof/>
          <w:kern w:val="0"/>
          <w:sz w:val="24"/>
          <w:szCs w:val="24"/>
          <w:lang w:val="en-GB" w:eastAsia="de-DE"/>
          <w14:ligatures w14:val="none"/>
        </w:rPr>
        <w:br w:type="page"/>
      </w:r>
    </w:p>
    <w:p w14:paraId="206B68A3" w14:textId="77777777" w:rsidR="00C55629" w:rsidRPr="00C55629" w:rsidRDefault="00C55629" w:rsidP="00CA47B3">
      <w:pPr>
        <w:pStyle w:val="ManualHeading1"/>
        <w:rPr>
          <w:noProof/>
        </w:rPr>
      </w:pPr>
      <w:r w:rsidRPr="00C55629">
        <w:rPr>
          <w:noProof/>
        </w:rPr>
        <w:t>13.</w:t>
      </w:r>
      <w:r w:rsidRPr="00C55629">
        <w:rPr>
          <w:noProof/>
        </w:rPr>
        <w:tab/>
        <w:t>Financing</w:t>
      </w:r>
      <w:bookmarkEnd w:id="87"/>
      <w:bookmarkEnd w:id="88"/>
      <w:bookmarkEnd w:id="89"/>
    </w:p>
    <w:p w14:paraId="5399E8FD" w14:textId="77777777" w:rsidR="00C55629" w:rsidRPr="00C55629" w:rsidRDefault="00C55629" w:rsidP="00C55629">
      <w:pPr>
        <w:spacing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Overall, the net impact of AL 1/2025 </w:t>
      </w:r>
      <w:bookmarkStart w:id="92" w:name="_Hlk178268346"/>
      <w:r w:rsidRPr="00C55629">
        <w:rPr>
          <w:rFonts w:ascii="Times New Roman" w:eastAsia="Times New Roman" w:hAnsi="Times New Roman" w:cs="Times New Roman"/>
          <w:noProof/>
          <w:kern w:val="0"/>
          <w:sz w:val="24"/>
          <w:szCs w:val="24"/>
          <w:lang w:val="en-GB" w:eastAsia="en-GB"/>
          <w14:ligatures w14:val="none"/>
        </w:rPr>
        <w:t>on expenditure in the DB 2025 is a decrease of EUR 303,0 million in commitment appropriations and an increase of EUR 2 657,0 million in payment appropriations.</w:t>
      </w:r>
    </w:p>
    <w:bookmarkEnd w:id="92"/>
    <w:p w14:paraId="528C1F74" w14:textId="77777777" w:rsidR="00C55629" w:rsidRPr="00C55629" w:rsidRDefault="00C55629" w:rsidP="00C55629">
      <w:pPr>
        <w:spacing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 xml:space="preserve">In relation to the impact of the elements included in this AL 1/2025, given the absence of margins and room for redeployment under sub-heading 2b and under heading 5, the Commission proposes to mobilise the Flexibility Instrument in line with Article 12 of Regulation (EU, Euratom) 2020/2093 in commitment appropriations for an amount of EUR 1 105,8 million for sub-heading 2b Resilience and for an amount of EUR 4,6 million for heading 5. </w:t>
      </w:r>
    </w:p>
    <w:p w14:paraId="649F9468" w14:textId="77777777" w:rsidR="00C55629" w:rsidRPr="00C55629" w:rsidRDefault="00C55629" w:rsidP="00C55629">
      <w:pPr>
        <w:spacing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Additionally, the increase of expenditure for heading 7 leads to an increase of the amounts proposed to be mobilised from the Single Margin Instrument by EUR 219,9 million to EUR 710,3 million.</w:t>
      </w:r>
    </w:p>
    <w:p w14:paraId="590D4FDE" w14:textId="77777777" w:rsidR="00C55629" w:rsidRPr="00C55629" w:rsidRDefault="00C55629" w:rsidP="00C55629">
      <w:pPr>
        <w:spacing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combined impact of the decrease for the proposed mobilisation of the Flexibility Intrument of EUR 82,4 million and the increase of expenditure for heading 7 of EUR 219,9 million leads to an increase of EUR 137,5 million in the recourse to special non-thematic instruments and an increase of EUR 343 million of the overall margins available under the commitment ceilings.</w:t>
      </w:r>
      <w:bookmarkStart w:id="93" w:name="_Toc526753799"/>
      <w:bookmarkStart w:id="94" w:name="_Toc54770354"/>
      <w:bookmarkStart w:id="95" w:name="_Toc55807168"/>
      <w:bookmarkStart w:id="96" w:name="_Toc114838646"/>
      <w:bookmarkEnd w:id="90"/>
      <w:r w:rsidRPr="00C55629">
        <w:rPr>
          <w:rFonts w:ascii="Times New Roman" w:eastAsia="Times New Roman" w:hAnsi="Times New Roman" w:cs="Times New Roman"/>
          <w:noProof/>
          <w:kern w:val="0"/>
          <w:sz w:val="24"/>
          <w:szCs w:val="24"/>
          <w:lang w:val="en-GB" w:eastAsia="en-GB"/>
          <w14:ligatures w14:val="none"/>
        </w:rPr>
        <w:t xml:space="preserve"> Additionally, the mobilisation of the EURI instrument is reduced by EUR 97,5 million, compared to DB 2025.</w:t>
      </w:r>
    </w:p>
    <w:p w14:paraId="6EBDDBAD" w14:textId="77777777" w:rsidR="00C55629" w:rsidRPr="00C55629" w:rsidRDefault="00C55629" w:rsidP="00C55629">
      <w:pPr>
        <w:spacing w:after="120"/>
        <w:jc w:val="both"/>
        <w:rPr>
          <w:rFonts w:ascii="Times New Roman" w:eastAsia="Times New Roman" w:hAnsi="Times New Roman" w:cs="Times New Roman"/>
          <w:noProof/>
          <w:kern w:val="0"/>
          <w:sz w:val="24"/>
          <w:szCs w:val="24"/>
          <w:lang w:val="en-GB" w:eastAsia="en-GB"/>
          <w14:ligatures w14:val="none"/>
        </w:rPr>
      </w:pPr>
      <w:r w:rsidRPr="00C55629">
        <w:rPr>
          <w:rFonts w:ascii="Times New Roman" w:eastAsia="Times New Roman" w:hAnsi="Times New Roman" w:cs="Times New Roman"/>
          <w:noProof/>
          <w:kern w:val="0"/>
          <w:sz w:val="24"/>
          <w:szCs w:val="24"/>
          <w:lang w:val="en-GB" w:eastAsia="en-GB"/>
          <w14:ligatures w14:val="none"/>
        </w:rPr>
        <w:t>The 2025 payment appropriations related to the mobilisation of the Flexibility Instrument in the years 2022 to 2025 are estimated at EUR 1 375,4 million, in current prices. The estimated payment schedule of the related outstanding amounts for these years is detailed in the following table:</w:t>
      </w:r>
    </w:p>
    <w:tbl>
      <w:tblPr>
        <w:tblW w:w="8637" w:type="dxa"/>
        <w:tblInd w:w="118" w:type="dxa"/>
        <w:tblLook w:val="04A0" w:firstRow="1" w:lastRow="0" w:firstColumn="1" w:lastColumn="0" w:noHBand="0" w:noVBand="1"/>
      </w:tblPr>
      <w:tblGrid>
        <w:gridCol w:w="3109"/>
        <w:gridCol w:w="1417"/>
        <w:gridCol w:w="1418"/>
        <w:gridCol w:w="1276"/>
        <w:gridCol w:w="1417"/>
      </w:tblGrid>
      <w:tr w:rsidR="00C55629" w:rsidRPr="00C55629" w14:paraId="3F32924C" w14:textId="77777777" w:rsidTr="0028479A">
        <w:trPr>
          <w:trHeight w:val="300"/>
        </w:trPr>
        <w:tc>
          <w:tcPr>
            <w:tcW w:w="863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A1687F" w14:textId="77777777" w:rsidR="00C55629" w:rsidRPr="00C55629" w:rsidRDefault="00C55629" w:rsidP="00C55629">
            <w:pPr>
              <w:spacing w:after="0" w:line="240" w:lineRule="auto"/>
              <w:jc w:val="center"/>
              <w:rPr>
                <w:rFonts w:ascii="Times New Roman" w:eastAsia="Times New Roman" w:hAnsi="Times New Roman" w:cs="Times New Roman"/>
                <w:i/>
                <w:iCs/>
                <w:noProof/>
                <w:color w:val="000000"/>
                <w:kern w:val="0"/>
                <w:sz w:val="20"/>
                <w:szCs w:val="20"/>
                <w:lang w:val="en-GB" w:eastAsia="en-IE"/>
                <w14:ligatures w14:val="none"/>
              </w:rPr>
            </w:pPr>
            <w:r w:rsidRPr="00C55629">
              <w:rPr>
                <w:rFonts w:ascii="Times New Roman" w:eastAsia="Times New Roman" w:hAnsi="Times New Roman" w:cs="Times New Roman"/>
                <w:i/>
                <w:iCs/>
                <w:noProof/>
                <w:color w:val="000000"/>
                <w:kern w:val="0"/>
                <w:sz w:val="20"/>
                <w:szCs w:val="20"/>
                <w:lang w:val="en-GB" w:eastAsia="en-GB"/>
                <w14:ligatures w14:val="none"/>
              </w:rPr>
              <w:t>Flexibility Instrument - payment profile (in EUR million)</w:t>
            </w:r>
          </w:p>
        </w:tc>
      </w:tr>
      <w:tr w:rsidR="00C55629" w:rsidRPr="00C55629" w14:paraId="1B2590DB"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223565D" w14:textId="77777777" w:rsidR="00C55629" w:rsidRPr="00C55629" w:rsidRDefault="00C55629" w:rsidP="00C55629">
            <w:pPr>
              <w:spacing w:after="0" w:line="240" w:lineRule="auto"/>
              <w:rPr>
                <w:rFonts w:ascii="Times New Roman" w:eastAsia="Times New Roman" w:hAnsi="Times New Roman" w:cs="Times New Roman"/>
                <w:i/>
                <w:iCs/>
                <w:noProof/>
                <w:color w:val="000000"/>
                <w:kern w:val="0"/>
                <w:lang w:val="en-GB" w:eastAsia="en-GB"/>
                <w14:ligatures w14:val="none"/>
              </w:rPr>
            </w:pPr>
            <w:r w:rsidRPr="00C55629">
              <w:rPr>
                <w:rFonts w:ascii="Times New Roman" w:eastAsia="Times New Roman" w:hAnsi="Times New Roman" w:cs="Times New Roman"/>
                <w:i/>
                <w:iCs/>
                <w:noProof/>
                <w:color w:val="000000"/>
                <w:kern w:val="0"/>
                <w:lang w:val="en-GB" w:eastAsia="en-GB"/>
                <w14:ligatures w14:val="none"/>
              </w:rPr>
              <w:t>Mobilisation year</w:t>
            </w:r>
          </w:p>
        </w:tc>
        <w:tc>
          <w:tcPr>
            <w:tcW w:w="1417" w:type="dxa"/>
            <w:tcBorders>
              <w:top w:val="nil"/>
              <w:left w:val="nil"/>
              <w:bottom w:val="single" w:sz="8" w:space="0" w:color="auto"/>
              <w:right w:val="single" w:sz="8" w:space="0" w:color="auto"/>
            </w:tcBorders>
            <w:shd w:val="clear" w:color="auto" w:fill="auto"/>
            <w:noWrap/>
            <w:vAlign w:val="center"/>
            <w:hideMark/>
          </w:tcPr>
          <w:p w14:paraId="70B4DEB6"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2025</w:t>
            </w:r>
          </w:p>
        </w:tc>
        <w:tc>
          <w:tcPr>
            <w:tcW w:w="1418" w:type="dxa"/>
            <w:tcBorders>
              <w:top w:val="nil"/>
              <w:left w:val="nil"/>
              <w:bottom w:val="single" w:sz="8" w:space="0" w:color="auto"/>
              <w:right w:val="single" w:sz="8" w:space="0" w:color="auto"/>
            </w:tcBorders>
            <w:shd w:val="clear" w:color="auto" w:fill="auto"/>
            <w:noWrap/>
            <w:vAlign w:val="center"/>
            <w:hideMark/>
          </w:tcPr>
          <w:p w14:paraId="65D0DD68"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2026</w:t>
            </w:r>
          </w:p>
        </w:tc>
        <w:tc>
          <w:tcPr>
            <w:tcW w:w="1276" w:type="dxa"/>
            <w:tcBorders>
              <w:top w:val="nil"/>
              <w:left w:val="nil"/>
              <w:bottom w:val="single" w:sz="8" w:space="0" w:color="auto"/>
              <w:right w:val="single" w:sz="8" w:space="0" w:color="auto"/>
            </w:tcBorders>
            <w:shd w:val="clear" w:color="auto" w:fill="auto"/>
            <w:noWrap/>
            <w:vAlign w:val="center"/>
            <w:hideMark/>
          </w:tcPr>
          <w:p w14:paraId="18CAD133"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2027</w:t>
            </w:r>
          </w:p>
        </w:tc>
        <w:tc>
          <w:tcPr>
            <w:tcW w:w="1417" w:type="dxa"/>
            <w:tcBorders>
              <w:top w:val="nil"/>
              <w:left w:val="nil"/>
              <w:bottom w:val="single" w:sz="8" w:space="0" w:color="auto"/>
              <w:right w:val="single" w:sz="8" w:space="0" w:color="auto"/>
            </w:tcBorders>
            <w:shd w:val="clear" w:color="auto" w:fill="auto"/>
            <w:noWrap/>
            <w:vAlign w:val="center"/>
            <w:hideMark/>
          </w:tcPr>
          <w:p w14:paraId="37C85304"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Total</w:t>
            </w:r>
          </w:p>
        </w:tc>
      </w:tr>
      <w:tr w:rsidR="00C55629" w:rsidRPr="00C55629" w14:paraId="389C761C"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B32D137"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2022</w:t>
            </w:r>
          </w:p>
        </w:tc>
        <w:tc>
          <w:tcPr>
            <w:tcW w:w="1417" w:type="dxa"/>
            <w:tcBorders>
              <w:top w:val="nil"/>
              <w:left w:val="nil"/>
              <w:bottom w:val="single" w:sz="8" w:space="0" w:color="auto"/>
              <w:right w:val="single" w:sz="8" w:space="0" w:color="auto"/>
            </w:tcBorders>
            <w:shd w:val="clear" w:color="auto" w:fill="auto"/>
            <w:noWrap/>
            <w:vAlign w:val="center"/>
            <w:hideMark/>
          </w:tcPr>
          <w:p w14:paraId="3790F28A"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36,7</w:t>
            </w:r>
          </w:p>
        </w:tc>
        <w:tc>
          <w:tcPr>
            <w:tcW w:w="1418" w:type="dxa"/>
            <w:tcBorders>
              <w:top w:val="nil"/>
              <w:left w:val="nil"/>
              <w:bottom w:val="single" w:sz="8" w:space="0" w:color="auto"/>
              <w:right w:val="single" w:sz="8" w:space="0" w:color="auto"/>
            </w:tcBorders>
            <w:shd w:val="clear" w:color="auto" w:fill="auto"/>
            <w:noWrap/>
            <w:vAlign w:val="center"/>
            <w:hideMark/>
          </w:tcPr>
          <w:p w14:paraId="4EB55D84"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0,0</w:t>
            </w:r>
          </w:p>
        </w:tc>
        <w:tc>
          <w:tcPr>
            <w:tcW w:w="1276" w:type="dxa"/>
            <w:tcBorders>
              <w:top w:val="nil"/>
              <w:left w:val="nil"/>
              <w:bottom w:val="single" w:sz="8" w:space="0" w:color="auto"/>
              <w:right w:val="single" w:sz="8" w:space="0" w:color="auto"/>
            </w:tcBorders>
            <w:shd w:val="clear" w:color="auto" w:fill="auto"/>
            <w:noWrap/>
            <w:vAlign w:val="center"/>
            <w:hideMark/>
          </w:tcPr>
          <w:p w14:paraId="1ED17270"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0,0</w:t>
            </w:r>
          </w:p>
        </w:tc>
        <w:tc>
          <w:tcPr>
            <w:tcW w:w="1417" w:type="dxa"/>
            <w:tcBorders>
              <w:top w:val="nil"/>
              <w:left w:val="nil"/>
              <w:bottom w:val="single" w:sz="8" w:space="0" w:color="auto"/>
              <w:right w:val="single" w:sz="8" w:space="0" w:color="auto"/>
            </w:tcBorders>
            <w:shd w:val="clear" w:color="auto" w:fill="auto"/>
            <w:noWrap/>
            <w:vAlign w:val="center"/>
            <w:hideMark/>
          </w:tcPr>
          <w:p w14:paraId="641FF23A"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36,7</w:t>
            </w:r>
          </w:p>
        </w:tc>
      </w:tr>
      <w:tr w:rsidR="00C55629" w:rsidRPr="00C55629" w14:paraId="6C70C578"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56BDE3F"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2023</w:t>
            </w:r>
          </w:p>
        </w:tc>
        <w:tc>
          <w:tcPr>
            <w:tcW w:w="1417" w:type="dxa"/>
            <w:tcBorders>
              <w:top w:val="nil"/>
              <w:left w:val="nil"/>
              <w:bottom w:val="single" w:sz="8" w:space="0" w:color="auto"/>
              <w:right w:val="single" w:sz="8" w:space="0" w:color="auto"/>
            </w:tcBorders>
            <w:shd w:val="clear" w:color="auto" w:fill="auto"/>
            <w:noWrap/>
            <w:vAlign w:val="center"/>
            <w:hideMark/>
          </w:tcPr>
          <w:p w14:paraId="7639FB10"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120,6</w:t>
            </w:r>
          </w:p>
        </w:tc>
        <w:tc>
          <w:tcPr>
            <w:tcW w:w="1418" w:type="dxa"/>
            <w:tcBorders>
              <w:top w:val="nil"/>
              <w:left w:val="nil"/>
              <w:bottom w:val="single" w:sz="8" w:space="0" w:color="auto"/>
              <w:right w:val="single" w:sz="8" w:space="0" w:color="auto"/>
            </w:tcBorders>
            <w:shd w:val="clear" w:color="auto" w:fill="auto"/>
            <w:noWrap/>
            <w:vAlign w:val="center"/>
            <w:hideMark/>
          </w:tcPr>
          <w:p w14:paraId="29618F66"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83,2</w:t>
            </w:r>
          </w:p>
        </w:tc>
        <w:tc>
          <w:tcPr>
            <w:tcW w:w="1276" w:type="dxa"/>
            <w:tcBorders>
              <w:top w:val="nil"/>
              <w:left w:val="nil"/>
              <w:bottom w:val="single" w:sz="8" w:space="0" w:color="auto"/>
              <w:right w:val="single" w:sz="8" w:space="0" w:color="auto"/>
            </w:tcBorders>
            <w:shd w:val="clear" w:color="auto" w:fill="auto"/>
            <w:noWrap/>
            <w:vAlign w:val="center"/>
            <w:hideMark/>
          </w:tcPr>
          <w:p w14:paraId="1EC6F5D4"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0,0</w:t>
            </w:r>
          </w:p>
        </w:tc>
        <w:tc>
          <w:tcPr>
            <w:tcW w:w="1417" w:type="dxa"/>
            <w:tcBorders>
              <w:top w:val="nil"/>
              <w:left w:val="nil"/>
              <w:bottom w:val="single" w:sz="8" w:space="0" w:color="auto"/>
              <w:right w:val="single" w:sz="8" w:space="0" w:color="auto"/>
            </w:tcBorders>
            <w:shd w:val="clear" w:color="auto" w:fill="auto"/>
            <w:noWrap/>
            <w:vAlign w:val="center"/>
            <w:hideMark/>
          </w:tcPr>
          <w:p w14:paraId="51D17B37"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203,8</w:t>
            </w:r>
          </w:p>
        </w:tc>
      </w:tr>
      <w:tr w:rsidR="00C55629" w:rsidRPr="00C55629" w14:paraId="3C9263C1"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D547A4A"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2024</w:t>
            </w:r>
          </w:p>
        </w:tc>
        <w:tc>
          <w:tcPr>
            <w:tcW w:w="1417" w:type="dxa"/>
            <w:tcBorders>
              <w:top w:val="nil"/>
              <w:left w:val="nil"/>
              <w:bottom w:val="single" w:sz="8" w:space="0" w:color="auto"/>
              <w:right w:val="single" w:sz="8" w:space="0" w:color="auto"/>
            </w:tcBorders>
            <w:shd w:val="clear" w:color="auto" w:fill="auto"/>
            <w:noWrap/>
            <w:vAlign w:val="center"/>
            <w:hideMark/>
          </w:tcPr>
          <w:p w14:paraId="6CE43FB9"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107,6</w:t>
            </w:r>
          </w:p>
        </w:tc>
        <w:tc>
          <w:tcPr>
            <w:tcW w:w="1418" w:type="dxa"/>
            <w:tcBorders>
              <w:top w:val="nil"/>
              <w:left w:val="nil"/>
              <w:bottom w:val="single" w:sz="8" w:space="0" w:color="auto"/>
              <w:right w:val="single" w:sz="8" w:space="0" w:color="auto"/>
            </w:tcBorders>
            <w:shd w:val="clear" w:color="auto" w:fill="auto"/>
            <w:noWrap/>
            <w:vAlign w:val="center"/>
            <w:hideMark/>
          </w:tcPr>
          <w:p w14:paraId="0B6D8A0E"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83,7</w:t>
            </w:r>
          </w:p>
        </w:tc>
        <w:tc>
          <w:tcPr>
            <w:tcW w:w="1276" w:type="dxa"/>
            <w:tcBorders>
              <w:top w:val="nil"/>
              <w:left w:val="nil"/>
              <w:bottom w:val="single" w:sz="8" w:space="0" w:color="auto"/>
              <w:right w:val="single" w:sz="8" w:space="0" w:color="auto"/>
            </w:tcBorders>
            <w:shd w:val="clear" w:color="auto" w:fill="auto"/>
            <w:noWrap/>
            <w:vAlign w:val="center"/>
            <w:hideMark/>
          </w:tcPr>
          <w:p w14:paraId="0455F9A8"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46,3</w:t>
            </w:r>
          </w:p>
        </w:tc>
        <w:tc>
          <w:tcPr>
            <w:tcW w:w="1417" w:type="dxa"/>
            <w:tcBorders>
              <w:top w:val="nil"/>
              <w:left w:val="nil"/>
              <w:bottom w:val="single" w:sz="8" w:space="0" w:color="auto"/>
              <w:right w:val="single" w:sz="8" w:space="0" w:color="auto"/>
            </w:tcBorders>
            <w:shd w:val="clear" w:color="auto" w:fill="auto"/>
            <w:noWrap/>
            <w:vAlign w:val="center"/>
            <w:hideMark/>
          </w:tcPr>
          <w:p w14:paraId="715748D7"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237,6</w:t>
            </w:r>
          </w:p>
        </w:tc>
      </w:tr>
      <w:tr w:rsidR="00C55629" w:rsidRPr="00C55629" w14:paraId="679029B6"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5709C27F"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2025</w:t>
            </w:r>
          </w:p>
        </w:tc>
        <w:tc>
          <w:tcPr>
            <w:tcW w:w="1417" w:type="dxa"/>
            <w:tcBorders>
              <w:top w:val="nil"/>
              <w:left w:val="nil"/>
              <w:bottom w:val="single" w:sz="8" w:space="0" w:color="auto"/>
              <w:right w:val="single" w:sz="8" w:space="0" w:color="auto"/>
            </w:tcBorders>
            <w:shd w:val="clear" w:color="auto" w:fill="auto"/>
            <w:noWrap/>
            <w:vAlign w:val="center"/>
            <w:hideMark/>
          </w:tcPr>
          <w:p w14:paraId="2C7764BE"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1 110,4</w:t>
            </w:r>
          </w:p>
        </w:tc>
        <w:tc>
          <w:tcPr>
            <w:tcW w:w="1418" w:type="dxa"/>
            <w:tcBorders>
              <w:top w:val="nil"/>
              <w:left w:val="nil"/>
              <w:bottom w:val="single" w:sz="8" w:space="0" w:color="auto"/>
              <w:right w:val="single" w:sz="8" w:space="0" w:color="auto"/>
            </w:tcBorders>
            <w:shd w:val="clear" w:color="auto" w:fill="auto"/>
            <w:noWrap/>
            <w:vAlign w:val="center"/>
            <w:hideMark/>
          </w:tcPr>
          <w:p w14:paraId="7B60A85C"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0,0</w:t>
            </w:r>
          </w:p>
        </w:tc>
        <w:tc>
          <w:tcPr>
            <w:tcW w:w="1276" w:type="dxa"/>
            <w:tcBorders>
              <w:top w:val="nil"/>
              <w:left w:val="nil"/>
              <w:bottom w:val="single" w:sz="8" w:space="0" w:color="auto"/>
              <w:right w:val="single" w:sz="8" w:space="0" w:color="auto"/>
            </w:tcBorders>
            <w:shd w:val="clear" w:color="auto" w:fill="auto"/>
            <w:noWrap/>
            <w:vAlign w:val="center"/>
            <w:hideMark/>
          </w:tcPr>
          <w:p w14:paraId="4627BB5F" w14:textId="77777777" w:rsidR="00C55629" w:rsidRPr="00C55629" w:rsidRDefault="00C55629" w:rsidP="00C55629">
            <w:pPr>
              <w:spacing w:after="0" w:line="240" w:lineRule="auto"/>
              <w:jc w:val="right"/>
              <w:rPr>
                <w:rFonts w:ascii="Times New Roman" w:eastAsia="Times New Roman" w:hAnsi="Times New Roman" w:cs="Times New Roman"/>
                <w:noProof/>
                <w:color w:val="000000"/>
                <w:kern w:val="0"/>
                <w:lang w:val="en-GB" w:eastAsia="en-GB"/>
                <w14:ligatures w14:val="none"/>
              </w:rPr>
            </w:pPr>
            <w:r w:rsidRPr="00C55629">
              <w:rPr>
                <w:rFonts w:ascii="Times New Roman" w:eastAsia="Times New Roman" w:hAnsi="Times New Roman" w:cs="Times New Roman"/>
                <w:noProof/>
                <w:color w:val="000000"/>
                <w:kern w:val="0"/>
                <w:lang w:val="en-GB" w:eastAsia="en-GB"/>
                <w14:ligatures w14:val="none"/>
              </w:rPr>
              <w:t>0,0</w:t>
            </w:r>
          </w:p>
        </w:tc>
        <w:tc>
          <w:tcPr>
            <w:tcW w:w="1417" w:type="dxa"/>
            <w:tcBorders>
              <w:top w:val="nil"/>
              <w:left w:val="nil"/>
              <w:bottom w:val="single" w:sz="8" w:space="0" w:color="auto"/>
              <w:right w:val="single" w:sz="8" w:space="0" w:color="auto"/>
            </w:tcBorders>
            <w:shd w:val="clear" w:color="auto" w:fill="auto"/>
            <w:noWrap/>
            <w:vAlign w:val="center"/>
            <w:hideMark/>
          </w:tcPr>
          <w:p w14:paraId="7D4BFF5A"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1 110,4</w:t>
            </w:r>
          </w:p>
        </w:tc>
      </w:tr>
      <w:tr w:rsidR="00C55629" w:rsidRPr="00C55629" w14:paraId="49B9DFC1" w14:textId="77777777" w:rsidTr="0028479A">
        <w:trPr>
          <w:trHeight w:val="300"/>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09D1B70" w14:textId="77777777" w:rsidR="00C55629" w:rsidRPr="00C55629" w:rsidRDefault="00C55629" w:rsidP="00C55629">
            <w:pPr>
              <w:spacing w:after="0" w:line="240" w:lineRule="auto"/>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Total</w:t>
            </w:r>
          </w:p>
        </w:tc>
        <w:tc>
          <w:tcPr>
            <w:tcW w:w="1417" w:type="dxa"/>
            <w:tcBorders>
              <w:top w:val="nil"/>
              <w:left w:val="nil"/>
              <w:bottom w:val="single" w:sz="8" w:space="0" w:color="auto"/>
              <w:right w:val="single" w:sz="8" w:space="0" w:color="auto"/>
            </w:tcBorders>
            <w:shd w:val="clear" w:color="auto" w:fill="auto"/>
            <w:noWrap/>
            <w:vAlign w:val="center"/>
            <w:hideMark/>
          </w:tcPr>
          <w:p w14:paraId="463255E1"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1 375,4</w:t>
            </w:r>
          </w:p>
        </w:tc>
        <w:tc>
          <w:tcPr>
            <w:tcW w:w="1418" w:type="dxa"/>
            <w:tcBorders>
              <w:top w:val="nil"/>
              <w:left w:val="nil"/>
              <w:bottom w:val="single" w:sz="8" w:space="0" w:color="auto"/>
              <w:right w:val="single" w:sz="8" w:space="0" w:color="auto"/>
            </w:tcBorders>
            <w:shd w:val="clear" w:color="auto" w:fill="auto"/>
            <w:noWrap/>
            <w:vAlign w:val="center"/>
            <w:hideMark/>
          </w:tcPr>
          <w:p w14:paraId="14156970"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166,9</w:t>
            </w:r>
          </w:p>
        </w:tc>
        <w:tc>
          <w:tcPr>
            <w:tcW w:w="1276" w:type="dxa"/>
            <w:tcBorders>
              <w:top w:val="nil"/>
              <w:left w:val="nil"/>
              <w:bottom w:val="single" w:sz="8" w:space="0" w:color="auto"/>
              <w:right w:val="single" w:sz="8" w:space="0" w:color="auto"/>
            </w:tcBorders>
            <w:shd w:val="clear" w:color="auto" w:fill="auto"/>
            <w:noWrap/>
            <w:vAlign w:val="center"/>
            <w:hideMark/>
          </w:tcPr>
          <w:p w14:paraId="147AB938"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46,3</w:t>
            </w:r>
          </w:p>
        </w:tc>
        <w:tc>
          <w:tcPr>
            <w:tcW w:w="1417" w:type="dxa"/>
            <w:tcBorders>
              <w:top w:val="nil"/>
              <w:left w:val="nil"/>
              <w:bottom w:val="single" w:sz="8" w:space="0" w:color="auto"/>
              <w:right w:val="single" w:sz="8" w:space="0" w:color="auto"/>
            </w:tcBorders>
            <w:shd w:val="clear" w:color="auto" w:fill="auto"/>
            <w:noWrap/>
            <w:vAlign w:val="center"/>
            <w:hideMark/>
          </w:tcPr>
          <w:p w14:paraId="4320506B" w14:textId="77777777" w:rsidR="00C55629" w:rsidRPr="00C55629" w:rsidRDefault="00C55629" w:rsidP="00C55629">
            <w:pPr>
              <w:spacing w:after="0" w:line="240" w:lineRule="auto"/>
              <w:jc w:val="right"/>
              <w:rPr>
                <w:rFonts w:ascii="Times New Roman" w:eastAsia="Times New Roman" w:hAnsi="Times New Roman" w:cs="Times New Roman"/>
                <w:b/>
                <w:bCs/>
                <w:noProof/>
                <w:color w:val="000000"/>
                <w:kern w:val="0"/>
                <w:lang w:val="en-GB" w:eastAsia="en-GB"/>
                <w14:ligatures w14:val="none"/>
              </w:rPr>
            </w:pPr>
            <w:r w:rsidRPr="00C55629">
              <w:rPr>
                <w:rFonts w:ascii="Times New Roman" w:eastAsia="Times New Roman" w:hAnsi="Times New Roman" w:cs="Times New Roman"/>
                <w:b/>
                <w:bCs/>
                <w:noProof/>
                <w:color w:val="000000"/>
                <w:kern w:val="0"/>
                <w:lang w:val="en-GB" w:eastAsia="en-GB"/>
                <w14:ligatures w14:val="none"/>
              </w:rPr>
              <w:t>1 588,5</w:t>
            </w:r>
          </w:p>
        </w:tc>
      </w:tr>
    </w:tbl>
    <w:p w14:paraId="7AC9C281" w14:textId="77777777" w:rsidR="00C55629" w:rsidRPr="00C55629" w:rsidRDefault="00C55629" w:rsidP="00C55629">
      <w:pPr>
        <w:spacing w:after="200" w:line="276" w:lineRule="auto"/>
        <w:jc w:val="both"/>
        <w:rPr>
          <w:rFonts w:ascii="Times New Roman" w:eastAsia="Times New Roman" w:hAnsi="Times New Roman" w:cs="Times New Roman"/>
          <w:b/>
          <w:smallCaps/>
          <w:noProof/>
          <w:kern w:val="0"/>
          <w:sz w:val="24"/>
          <w:szCs w:val="24"/>
          <w:lang w:val="en-GB" w:eastAsia="de-DE"/>
          <w14:ligatures w14:val="none"/>
        </w:rPr>
      </w:pPr>
      <w:r w:rsidRPr="00C55629">
        <w:rPr>
          <w:rFonts w:ascii="Times New Roman" w:eastAsia="Times New Roman" w:hAnsi="Times New Roman" w:cs="Times New Roman"/>
          <w:b/>
          <w:smallCaps/>
          <w:noProof/>
          <w:kern w:val="0"/>
          <w:sz w:val="24"/>
          <w:szCs w:val="24"/>
          <w:lang w:val="en-GB" w:eastAsia="de-DE"/>
          <w14:ligatures w14:val="none"/>
        </w:rPr>
        <w:br w:type="page"/>
      </w:r>
    </w:p>
    <w:p w14:paraId="5E03E5DA" w14:textId="14C4C2ED" w:rsidR="00C55629" w:rsidRPr="00C55629" w:rsidRDefault="00C55629" w:rsidP="00CA47B3">
      <w:pPr>
        <w:pStyle w:val="ManualHeading1"/>
        <w:rPr>
          <w:noProof/>
        </w:rPr>
      </w:pPr>
      <w:bookmarkStart w:id="97" w:name="_Toc145922836"/>
      <w:r w:rsidRPr="00C55629">
        <w:rPr>
          <w:noProof/>
        </w:rPr>
        <w:t>14.</w:t>
      </w:r>
      <w:r w:rsidRPr="00C55629">
        <w:rPr>
          <w:noProof/>
        </w:rPr>
        <w:tab/>
        <w:t>Summary Table by MFF Heading</w:t>
      </w:r>
      <w:bookmarkEnd w:id="93"/>
      <w:bookmarkEnd w:id="94"/>
      <w:bookmarkEnd w:id="95"/>
      <w:bookmarkEnd w:id="96"/>
      <w:bookmarkEnd w:id="97"/>
    </w:p>
    <w:p w14:paraId="2B881AE9" w14:textId="77777777" w:rsidR="00C25694" w:rsidRPr="00C25694" w:rsidRDefault="00C25694" w:rsidP="00C25694">
      <w:pPr>
        <w:spacing w:before="120" w:after="0" w:line="240" w:lineRule="auto"/>
        <w:jc w:val="right"/>
        <w:rPr>
          <w:rFonts w:ascii="Times New Roman" w:eastAsia="Times New Roman" w:hAnsi="Times New Roman" w:cs="Times New Roman"/>
          <w:i/>
          <w:iCs/>
          <w:noProof/>
          <w:kern w:val="0"/>
          <w:sz w:val="20"/>
          <w:szCs w:val="20"/>
          <w:lang w:val="en-GB" w:eastAsia="de-DE"/>
          <w14:ligatures w14:val="none"/>
        </w:rPr>
      </w:pPr>
      <w:r w:rsidRPr="00C25694">
        <w:rPr>
          <w:rFonts w:ascii="Times New Roman" w:eastAsia="Times New Roman" w:hAnsi="Times New Roman" w:cs="Times New Roman"/>
          <w:i/>
          <w:iCs/>
          <w:noProof/>
          <w:kern w:val="0"/>
          <w:sz w:val="20"/>
          <w:szCs w:val="20"/>
          <w:lang w:val="en-GB" w:eastAsia="de-DE"/>
          <w14:ligatures w14:val="none"/>
        </w:rPr>
        <w:t>In EUR</w:t>
      </w:r>
    </w:p>
    <w:tbl>
      <w:tblPr>
        <w:tblW w:w="10480" w:type="dxa"/>
        <w:tblInd w:w="-10" w:type="dxa"/>
        <w:tblLook w:val="04A0" w:firstRow="1" w:lastRow="0" w:firstColumn="1" w:lastColumn="0" w:noHBand="0" w:noVBand="1"/>
      </w:tblPr>
      <w:tblGrid>
        <w:gridCol w:w="960"/>
        <w:gridCol w:w="2432"/>
        <w:gridCol w:w="1276"/>
        <w:gridCol w:w="1276"/>
        <w:gridCol w:w="993"/>
        <w:gridCol w:w="992"/>
        <w:gridCol w:w="1276"/>
        <w:gridCol w:w="1275"/>
      </w:tblGrid>
      <w:tr w:rsidR="00C25694" w:rsidRPr="00C25694" w14:paraId="167F997F" w14:textId="77777777" w:rsidTr="00887BB8">
        <w:trPr>
          <w:trHeight w:val="540"/>
          <w:tblHeader/>
        </w:trPr>
        <w:tc>
          <w:tcPr>
            <w:tcW w:w="3392"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1F7D342A" w14:textId="77777777" w:rsidR="00C25694" w:rsidRPr="00C25694" w:rsidRDefault="00C25694" w:rsidP="00887BB8">
            <w:pPr>
              <w:tabs>
                <w:tab w:val="left" w:pos="-98"/>
              </w:tabs>
              <w:spacing w:after="0" w:line="240" w:lineRule="auto"/>
              <w:jc w:val="both"/>
              <w:rPr>
                <w:rFonts w:ascii="Times New Roman" w:eastAsia="Times New Roman" w:hAnsi="Times New Roman" w:cs="Times New Roman"/>
                <w:noProof/>
                <w:kern w:val="0"/>
                <w:sz w:val="16"/>
                <w:szCs w:val="16"/>
                <w:lang w:val="en-GB" w:eastAsia="en-IE"/>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552" w:type="dxa"/>
            <w:gridSpan w:val="2"/>
            <w:tcBorders>
              <w:top w:val="single" w:sz="8" w:space="0" w:color="auto"/>
              <w:left w:val="nil"/>
              <w:bottom w:val="single" w:sz="8" w:space="0" w:color="auto"/>
              <w:right w:val="single" w:sz="8" w:space="0" w:color="000000"/>
            </w:tcBorders>
            <w:shd w:val="clear" w:color="000000" w:fill="BFBFBF"/>
            <w:vAlign w:val="center"/>
            <w:hideMark/>
          </w:tcPr>
          <w:p w14:paraId="2146E8BB"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Draft Budget 2025</w:t>
            </w:r>
          </w:p>
        </w:tc>
        <w:tc>
          <w:tcPr>
            <w:tcW w:w="1985" w:type="dxa"/>
            <w:gridSpan w:val="2"/>
            <w:tcBorders>
              <w:top w:val="single" w:sz="8" w:space="0" w:color="auto"/>
              <w:left w:val="nil"/>
              <w:bottom w:val="single" w:sz="8" w:space="0" w:color="auto"/>
              <w:right w:val="single" w:sz="8" w:space="0" w:color="000000"/>
            </w:tcBorders>
            <w:shd w:val="clear" w:color="000000" w:fill="BFBFBF"/>
            <w:vAlign w:val="center"/>
            <w:hideMark/>
          </w:tcPr>
          <w:p w14:paraId="385B0DA0"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Amending Letter 1 (AL1) to Draft Budget 2025</w:t>
            </w:r>
          </w:p>
        </w:tc>
        <w:tc>
          <w:tcPr>
            <w:tcW w:w="2551" w:type="dxa"/>
            <w:gridSpan w:val="2"/>
            <w:tcBorders>
              <w:top w:val="single" w:sz="8" w:space="0" w:color="auto"/>
              <w:left w:val="nil"/>
              <w:bottom w:val="single" w:sz="8" w:space="0" w:color="auto"/>
              <w:right w:val="single" w:sz="8" w:space="0" w:color="000000"/>
            </w:tcBorders>
            <w:shd w:val="clear" w:color="000000" w:fill="BFBFBF"/>
            <w:vAlign w:val="center"/>
            <w:hideMark/>
          </w:tcPr>
          <w:p w14:paraId="182675BD"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Draft Budget 2025 incl. AL1</w:t>
            </w:r>
          </w:p>
        </w:tc>
      </w:tr>
      <w:tr w:rsidR="00C25694" w:rsidRPr="00C25694" w14:paraId="375735E8" w14:textId="77777777" w:rsidTr="00887BB8">
        <w:trPr>
          <w:trHeight w:val="300"/>
          <w:tblHeader/>
        </w:trPr>
        <w:tc>
          <w:tcPr>
            <w:tcW w:w="3392" w:type="dxa"/>
            <w:gridSpan w:val="2"/>
            <w:vMerge/>
            <w:tcBorders>
              <w:top w:val="single" w:sz="8" w:space="0" w:color="auto"/>
              <w:left w:val="single" w:sz="8" w:space="0" w:color="auto"/>
              <w:bottom w:val="single" w:sz="8" w:space="0" w:color="000000"/>
              <w:right w:val="single" w:sz="8" w:space="0" w:color="000000"/>
            </w:tcBorders>
            <w:vAlign w:val="center"/>
            <w:hideMark/>
          </w:tcPr>
          <w:p w14:paraId="38305BB4" w14:textId="77777777" w:rsidR="00C25694" w:rsidRPr="00C25694" w:rsidRDefault="00C25694" w:rsidP="00C25694">
            <w:pPr>
              <w:spacing w:after="0" w:line="240" w:lineRule="auto"/>
              <w:rPr>
                <w:rFonts w:ascii="Times New Roman" w:eastAsia="Times New Roman" w:hAnsi="Times New Roman" w:cs="Times New Roman"/>
                <w:noProof/>
                <w:kern w:val="0"/>
                <w:sz w:val="16"/>
                <w:szCs w:val="16"/>
                <w:lang w:val="en-GB" w:eastAsia="en-GB"/>
                <w14:ligatures w14:val="none"/>
              </w:rPr>
            </w:pPr>
          </w:p>
        </w:tc>
        <w:tc>
          <w:tcPr>
            <w:tcW w:w="1276" w:type="dxa"/>
            <w:tcBorders>
              <w:top w:val="nil"/>
              <w:left w:val="nil"/>
              <w:bottom w:val="single" w:sz="8" w:space="0" w:color="auto"/>
              <w:right w:val="single" w:sz="8" w:space="0" w:color="auto"/>
            </w:tcBorders>
            <w:shd w:val="clear" w:color="000000" w:fill="BFBFBF"/>
            <w:vAlign w:val="center"/>
            <w:hideMark/>
          </w:tcPr>
          <w:p w14:paraId="323AD591"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CA</w:t>
            </w:r>
          </w:p>
        </w:tc>
        <w:tc>
          <w:tcPr>
            <w:tcW w:w="1276" w:type="dxa"/>
            <w:tcBorders>
              <w:top w:val="nil"/>
              <w:left w:val="nil"/>
              <w:bottom w:val="single" w:sz="8" w:space="0" w:color="auto"/>
              <w:right w:val="single" w:sz="8" w:space="0" w:color="auto"/>
            </w:tcBorders>
            <w:shd w:val="clear" w:color="000000" w:fill="BFBFBF"/>
            <w:vAlign w:val="center"/>
            <w:hideMark/>
          </w:tcPr>
          <w:p w14:paraId="161FF8F7"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PA</w:t>
            </w:r>
          </w:p>
        </w:tc>
        <w:tc>
          <w:tcPr>
            <w:tcW w:w="993" w:type="dxa"/>
            <w:tcBorders>
              <w:top w:val="nil"/>
              <w:left w:val="nil"/>
              <w:bottom w:val="single" w:sz="8" w:space="0" w:color="auto"/>
              <w:right w:val="single" w:sz="8" w:space="0" w:color="auto"/>
            </w:tcBorders>
            <w:shd w:val="clear" w:color="000000" w:fill="BFBFBF"/>
            <w:vAlign w:val="center"/>
            <w:hideMark/>
          </w:tcPr>
          <w:p w14:paraId="639ED4AD"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CA</w:t>
            </w:r>
          </w:p>
        </w:tc>
        <w:tc>
          <w:tcPr>
            <w:tcW w:w="992" w:type="dxa"/>
            <w:tcBorders>
              <w:top w:val="nil"/>
              <w:left w:val="nil"/>
              <w:bottom w:val="single" w:sz="8" w:space="0" w:color="auto"/>
              <w:right w:val="single" w:sz="8" w:space="0" w:color="auto"/>
            </w:tcBorders>
            <w:shd w:val="clear" w:color="000000" w:fill="BFBFBF"/>
            <w:vAlign w:val="center"/>
            <w:hideMark/>
          </w:tcPr>
          <w:p w14:paraId="5F51CC7C"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PA</w:t>
            </w:r>
          </w:p>
        </w:tc>
        <w:tc>
          <w:tcPr>
            <w:tcW w:w="1276" w:type="dxa"/>
            <w:tcBorders>
              <w:top w:val="nil"/>
              <w:left w:val="nil"/>
              <w:bottom w:val="single" w:sz="8" w:space="0" w:color="auto"/>
              <w:right w:val="single" w:sz="8" w:space="0" w:color="auto"/>
            </w:tcBorders>
            <w:shd w:val="clear" w:color="000000" w:fill="BFBFBF"/>
            <w:vAlign w:val="center"/>
            <w:hideMark/>
          </w:tcPr>
          <w:p w14:paraId="601E9081"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CA</w:t>
            </w:r>
          </w:p>
        </w:tc>
        <w:tc>
          <w:tcPr>
            <w:tcW w:w="1275" w:type="dxa"/>
            <w:tcBorders>
              <w:top w:val="nil"/>
              <w:left w:val="nil"/>
              <w:bottom w:val="single" w:sz="8" w:space="0" w:color="auto"/>
              <w:right w:val="single" w:sz="8" w:space="0" w:color="auto"/>
            </w:tcBorders>
            <w:shd w:val="clear" w:color="000000" w:fill="BFBFBF"/>
            <w:vAlign w:val="center"/>
            <w:hideMark/>
          </w:tcPr>
          <w:p w14:paraId="0F9A8E71" w14:textId="77777777" w:rsidR="00C25694" w:rsidRPr="00C25694" w:rsidRDefault="00C25694" w:rsidP="00C25694">
            <w:pPr>
              <w:spacing w:after="0" w:line="240" w:lineRule="auto"/>
              <w:jc w:val="center"/>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PA</w:t>
            </w:r>
          </w:p>
        </w:tc>
      </w:tr>
      <w:tr w:rsidR="00C25694" w:rsidRPr="00C25694" w14:paraId="69D7DC32"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27BBC93E"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w:t>
            </w:r>
          </w:p>
        </w:tc>
        <w:tc>
          <w:tcPr>
            <w:tcW w:w="2432" w:type="dxa"/>
            <w:tcBorders>
              <w:top w:val="nil"/>
              <w:left w:val="nil"/>
              <w:bottom w:val="single" w:sz="8" w:space="0" w:color="auto"/>
              <w:right w:val="single" w:sz="8" w:space="0" w:color="auto"/>
            </w:tcBorders>
            <w:shd w:val="clear" w:color="000000" w:fill="D9D9D9"/>
            <w:vAlign w:val="center"/>
            <w:hideMark/>
          </w:tcPr>
          <w:p w14:paraId="6A241FB2"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Single Market, Innovation and Digital</w:t>
            </w:r>
          </w:p>
        </w:tc>
        <w:tc>
          <w:tcPr>
            <w:tcW w:w="1276" w:type="dxa"/>
            <w:tcBorders>
              <w:top w:val="nil"/>
              <w:left w:val="nil"/>
              <w:bottom w:val="single" w:sz="8" w:space="0" w:color="auto"/>
              <w:right w:val="single" w:sz="8" w:space="0" w:color="auto"/>
            </w:tcBorders>
            <w:shd w:val="clear" w:color="000000" w:fill="D9D9D9"/>
            <w:vAlign w:val="center"/>
            <w:hideMark/>
          </w:tcPr>
          <w:p w14:paraId="06E0D72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21 377 684 025</w:t>
            </w:r>
          </w:p>
        </w:tc>
        <w:tc>
          <w:tcPr>
            <w:tcW w:w="1276" w:type="dxa"/>
            <w:tcBorders>
              <w:top w:val="nil"/>
              <w:left w:val="nil"/>
              <w:bottom w:val="single" w:sz="8" w:space="0" w:color="auto"/>
              <w:right w:val="single" w:sz="8" w:space="0" w:color="auto"/>
            </w:tcBorders>
            <w:shd w:val="clear" w:color="000000" w:fill="D9D9D9"/>
            <w:vAlign w:val="center"/>
            <w:hideMark/>
          </w:tcPr>
          <w:p w14:paraId="7AAA53F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20 438 884 655</w:t>
            </w:r>
          </w:p>
        </w:tc>
        <w:tc>
          <w:tcPr>
            <w:tcW w:w="993" w:type="dxa"/>
            <w:tcBorders>
              <w:top w:val="nil"/>
              <w:left w:val="nil"/>
              <w:bottom w:val="single" w:sz="8" w:space="0" w:color="auto"/>
              <w:right w:val="single" w:sz="8" w:space="0" w:color="auto"/>
            </w:tcBorders>
            <w:shd w:val="clear" w:color="000000" w:fill="D9D9D9"/>
            <w:vAlign w:val="center"/>
            <w:hideMark/>
          </w:tcPr>
          <w:p w14:paraId="7365484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4 888 882</w:t>
            </w:r>
          </w:p>
        </w:tc>
        <w:tc>
          <w:tcPr>
            <w:tcW w:w="992" w:type="dxa"/>
            <w:tcBorders>
              <w:top w:val="nil"/>
              <w:left w:val="nil"/>
              <w:bottom w:val="single" w:sz="8" w:space="0" w:color="auto"/>
              <w:right w:val="single" w:sz="8" w:space="0" w:color="auto"/>
            </w:tcBorders>
            <w:shd w:val="clear" w:color="000000" w:fill="D9D9D9"/>
            <w:vAlign w:val="center"/>
            <w:hideMark/>
          </w:tcPr>
          <w:p w14:paraId="0F91F81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4 888 882</w:t>
            </w:r>
          </w:p>
        </w:tc>
        <w:tc>
          <w:tcPr>
            <w:tcW w:w="1276" w:type="dxa"/>
            <w:tcBorders>
              <w:top w:val="nil"/>
              <w:left w:val="nil"/>
              <w:bottom w:val="single" w:sz="8" w:space="0" w:color="auto"/>
              <w:right w:val="single" w:sz="8" w:space="0" w:color="auto"/>
            </w:tcBorders>
            <w:shd w:val="clear" w:color="000000" w:fill="D9D9D9"/>
            <w:vAlign w:val="center"/>
            <w:hideMark/>
          </w:tcPr>
          <w:p w14:paraId="6DE7B51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21 382 572 907</w:t>
            </w:r>
          </w:p>
        </w:tc>
        <w:tc>
          <w:tcPr>
            <w:tcW w:w="1275" w:type="dxa"/>
            <w:tcBorders>
              <w:top w:val="nil"/>
              <w:left w:val="nil"/>
              <w:bottom w:val="single" w:sz="8" w:space="0" w:color="auto"/>
              <w:right w:val="single" w:sz="8" w:space="0" w:color="auto"/>
            </w:tcBorders>
            <w:shd w:val="clear" w:color="000000" w:fill="D9D9D9"/>
            <w:vAlign w:val="center"/>
            <w:hideMark/>
          </w:tcPr>
          <w:p w14:paraId="6D1C182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20 443 773 537</w:t>
            </w:r>
          </w:p>
        </w:tc>
      </w:tr>
      <w:tr w:rsidR="00C25694" w:rsidRPr="00C25694" w14:paraId="2CBFD07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275B62"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15E983B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21 596 000 000</w:t>
            </w:r>
          </w:p>
        </w:tc>
        <w:tc>
          <w:tcPr>
            <w:tcW w:w="1276" w:type="dxa"/>
            <w:tcBorders>
              <w:top w:val="nil"/>
              <w:left w:val="nil"/>
              <w:bottom w:val="single" w:sz="8" w:space="0" w:color="auto"/>
              <w:right w:val="single" w:sz="8" w:space="0" w:color="auto"/>
            </w:tcBorders>
            <w:shd w:val="clear" w:color="auto" w:fill="auto"/>
            <w:vAlign w:val="center"/>
            <w:hideMark/>
          </w:tcPr>
          <w:p w14:paraId="3A6DBC8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EE716E3"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265B5A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2F630BE"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21 596 000 000</w:t>
            </w:r>
          </w:p>
        </w:tc>
        <w:tc>
          <w:tcPr>
            <w:tcW w:w="1275" w:type="dxa"/>
            <w:tcBorders>
              <w:top w:val="nil"/>
              <w:left w:val="nil"/>
              <w:bottom w:val="single" w:sz="8" w:space="0" w:color="auto"/>
              <w:right w:val="single" w:sz="8" w:space="0" w:color="auto"/>
            </w:tcBorders>
            <w:shd w:val="clear" w:color="auto" w:fill="auto"/>
            <w:vAlign w:val="center"/>
            <w:hideMark/>
          </w:tcPr>
          <w:p w14:paraId="29B8AC8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BB4F6AD"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AE71F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2057557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1779C2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74AEC57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FDAF1C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D7B118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355C299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314FE5F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681CB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2D23935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8D772A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C563D8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383E54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5FF77D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44A60D1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3D689CB"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37308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1D4E143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76A8C5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D98052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3C0AB7E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23E1A1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237BEA4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EC6C9E5"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711AD8"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661FB219"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218 315 975</w:t>
            </w:r>
          </w:p>
        </w:tc>
        <w:tc>
          <w:tcPr>
            <w:tcW w:w="1276" w:type="dxa"/>
            <w:tcBorders>
              <w:top w:val="nil"/>
              <w:left w:val="nil"/>
              <w:bottom w:val="single" w:sz="8" w:space="0" w:color="auto"/>
              <w:right w:val="single" w:sz="8" w:space="0" w:color="auto"/>
            </w:tcBorders>
            <w:shd w:val="clear" w:color="auto" w:fill="auto"/>
            <w:vAlign w:val="center"/>
            <w:hideMark/>
          </w:tcPr>
          <w:p w14:paraId="69005CE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DF99C8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-4 888 882</w:t>
            </w:r>
          </w:p>
        </w:tc>
        <w:tc>
          <w:tcPr>
            <w:tcW w:w="992" w:type="dxa"/>
            <w:tcBorders>
              <w:top w:val="nil"/>
              <w:left w:val="nil"/>
              <w:bottom w:val="single" w:sz="8" w:space="0" w:color="auto"/>
              <w:right w:val="single" w:sz="8" w:space="0" w:color="auto"/>
            </w:tcBorders>
            <w:shd w:val="clear" w:color="auto" w:fill="auto"/>
            <w:vAlign w:val="center"/>
            <w:hideMark/>
          </w:tcPr>
          <w:p w14:paraId="7BF6DC3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86BA09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213 427 093</w:t>
            </w:r>
          </w:p>
        </w:tc>
        <w:tc>
          <w:tcPr>
            <w:tcW w:w="1275" w:type="dxa"/>
            <w:tcBorders>
              <w:top w:val="nil"/>
              <w:left w:val="nil"/>
              <w:bottom w:val="single" w:sz="8" w:space="0" w:color="auto"/>
              <w:right w:val="single" w:sz="8" w:space="0" w:color="auto"/>
            </w:tcBorders>
            <w:shd w:val="clear" w:color="auto" w:fill="auto"/>
            <w:vAlign w:val="center"/>
            <w:hideMark/>
          </w:tcPr>
          <w:p w14:paraId="63FBD27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5D4B396"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3B3C30C8"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w:t>
            </w:r>
          </w:p>
        </w:tc>
        <w:tc>
          <w:tcPr>
            <w:tcW w:w="2432" w:type="dxa"/>
            <w:tcBorders>
              <w:top w:val="nil"/>
              <w:left w:val="nil"/>
              <w:bottom w:val="single" w:sz="8" w:space="0" w:color="auto"/>
              <w:right w:val="single" w:sz="8" w:space="0" w:color="auto"/>
            </w:tcBorders>
            <w:shd w:val="clear" w:color="000000" w:fill="D9D9D9"/>
            <w:vAlign w:val="center"/>
            <w:hideMark/>
          </w:tcPr>
          <w:p w14:paraId="0F28334A"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Cohesion, Resilience and Values</w:t>
            </w:r>
          </w:p>
        </w:tc>
        <w:tc>
          <w:tcPr>
            <w:tcW w:w="1276" w:type="dxa"/>
            <w:tcBorders>
              <w:top w:val="nil"/>
              <w:left w:val="nil"/>
              <w:bottom w:val="single" w:sz="8" w:space="0" w:color="auto"/>
              <w:right w:val="single" w:sz="8" w:space="0" w:color="auto"/>
            </w:tcBorders>
            <w:shd w:val="clear" w:color="000000" w:fill="D9D9D9"/>
            <w:vAlign w:val="center"/>
            <w:hideMark/>
          </w:tcPr>
          <w:p w14:paraId="14444E1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78 128 158 265</w:t>
            </w:r>
          </w:p>
        </w:tc>
        <w:tc>
          <w:tcPr>
            <w:tcW w:w="1276" w:type="dxa"/>
            <w:tcBorders>
              <w:top w:val="nil"/>
              <w:left w:val="nil"/>
              <w:bottom w:val="single" w:sz="8" w:space="0" w:color="auto"/>
              <w:right w:val="single" w:sz="8" w:space="0" w:color="auto"/>
            </w:tcBorders>
            <w:shd w:val="clear" w:color="000000" w:fill="D9D9D9"/>
            <w:vAlign w:val="center"/>
            <w:hideMark/>
          </w:tcPr>
          <w:p w14:paraId="1B738DC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41 618 661 522</w:t>
            </w:r>
          </w:p>
        </w:tc>
        <w:tc>
          <w:tcPr>
            <w:tcW w:w="993" w:type="dxa"/>
            <w:tcBorders>
              <w:top w:val="nil"/>
              <w:left w:val="nil"/>
              <w:bottom w:val="single" w:sz="8" w:space="0" w:color="auto"/>
              <w:right w:val="single" w:sz="8" w:space="0" w:color="auto"/>
            </w:tcBorders>
            <w:shd w:val="clear" w:color="000000" w:fill="D9D9D9"/>
            <w:vAlign w:val="center"/>
            <w:hideMark/>
          </w:tcPr>
          <w:p w14:paraId="3B1326EB"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-184 482 585</w:t>
            </w:r>
          </w:p>
        </w:tc>
        <w:tc>
          <w:tcPr>
            <w:tcW w:w="992" w:type="dxa"/>
            <w:tcBorders>
              <w:top w:val="nil"/>
              <w:left w:val="nil"/>
              <w:bottom w:val="single" w:sz="8" w:space="0" w:color="auto"/>
              <w:right w:val="single" w:sz="8" w:space="0" w:color="auto"/>
            </w:tcBorders>
            <w:shd w:val="clear" w:color="000000" w:fill="D9D9D9"/>
            <w:vAlign w:val="center"/>
            <w:hideMark/>
          </w:tcPr>
          <w:p w14:paraId="68C8E97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2 815 517 415</w:t>
            </w:r>
          </w:p>
        </w:tc>
        <w:tc>
          <w:tcPr>
            <w:tcW w:w="1276" w:type="dxa"/>
            <w:tcBorders>
              <w:top w:val="nil"/>
              <w:left w:val="nil"/>
              <w:bottom w:val="single" w:sz="8" w:space="0" w:color="auto"/>
              <w:right w:val="single" w:sz="8" w:space="0" w:color="auto"/>
            </w:tcBorders>
            <w:shd w:val="clear" w:color="000000" w:fill="D9D9D9"/>
            <w:vAlign w:val="center"/>
            <w:hideMark/>
          </w:tcPr>
          <w:p w14:paraId="7EB1BA9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77 943 675 680</w:t>
            </w:r>
          </w:p>
        </w:tc>
        <w:tc>
          <w:tcPr>
            <w:tcW w:w="1275" w:type="dxa"/>
            <w:tcBorders>
              <w:top w:val="nil"/>
              <w:left w:val="nil"/>
              <w:bottom w:val="single" w:sz="8" w:space="0" w:color="auto"/>
              <w:right w:val="single" w:sz="8" w:space="0" w:color="auto"/>
            </w:tcBorders>
            <w:shd w:val="clear" w:color="000000" w:fill="D9D9D9"/>
            <w:vAlign w:val="center"/>
            <w:hideMark/>
          </w:tcPr>
          <w:p w14:paraId="034F574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44 434 178 937</w:t>
            </w:r>
          </w:p>
        </w:tc>
      </w:tr>
      <w:tr w:rsidR="00C25694" w:rsidRPr="00C25694" w14:paraId="3A7C8F01"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FA4515"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6B38FAF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75 697 000 000</w:t>
            </w:r>
          </w:p>
        </w:tc>
        <w:tc>
          <w:tcPr>
            <w:tcW w:w="1276" w:type="dxa"/>
            <w:tcBorders>
              <w:top w:val="nil"/>
              <w:left w:val="nil"/>
              <w:bottom w:val="single" w:sz="8" w:space="0" w:color="auto"/>
              <w:right w:val="single" w:sz="8" w:space="0" w:color="auto"/>
            </w:tcBorders>
            <w:shd w:val="clear" w:color="auto" w:fill="auto"/>
            <w:vAlign w:val="center"/>
            <w:hideMark/>
          </w:tcPr>
          <w:p w14:paraId="0400A26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7625C8D"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38543A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A7FFFA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75 697 000 000</w:t>
            </w:r>
          </w:p>
        </w:tc>
        <w:tc>
          <w:tcPr>
            <w:tcW w:w="1275" w:type="dxa"/>
            <w:tcBorders>
              <w:top w:val="nil"/>
              <w:left w:val="nil"/>
              <w:bottom w:val="single" w:sz="8" w:space="0" w:color="auto"/>
              <w:right w:val="single" w:sz="8" w:space="0" w:color="auto"/>
            </w:tcBorders>
            <w:shd w:val="clear" w:color="auto" w:fill="auto"/>
            <w:vAlign w:val="center"/>
            <w:hideMark/>
          </w:tcPr>
          <w:p w14:paraId="0B7FA22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5B94978"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86F53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6F7A801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1 192 832 134</w:t>
            </w:r>
          </w:p>
        </w:tc>
        <w:tc>
          <w:tcPr>
            <w:tcW w:w="1276" w:type="dxa"/>
            <w:tcBorders>
              <w:top w:val="nil"/>
              <w:left w:val="nil"/>
              <w:bottom w:val="single" w:sz="8" w:space="0" w:color="auto"/>
              <w:right w:val="single" w:sz="8" w:space="0" w:color="auto"/>
            </w:tcBorders>
            <w:shd w:val="clear" w:color="auto" w:fill="auto"/>
            <w:vAlign w:val="center"/>
            <w:hideMark/>
          </w:tcPr>
          <w:p w14:paraId="49900FC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36B9111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-86 982 585</w:t>
            </w:r>
          </w:p>
        </w:tc>
        <w:tc>
          <w:tcPr>
            <w:tcW w:w="992" w:type="dxa"/>
            <w:tcBorders>
              <w:top w:val="nil"/>
              <w:left w:val="nil"/>
              <w:bottom w:val="single" w:sz="8" w:space="0" w:color="auto"/>
              <w:right w:val="single" w:sz="8" w:space="0" w:color="auto"/>
            </w:tcBorders>
            <w:shd w:val="clear" w:color="auto" w:fill="auto"/>
            <w:vAlign w:val="center"/>
            <w:hideMark/>
          </w:tcPr>
          <w:p w14:paraId="74D17F1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4065A9F"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1 105 849 549</w:t>
            </w:r>
          </w:p>
        </w:tc>
        <w:tc>
          <w:tcPr>
            <w:tcW w:w="1275" w:type="dxa"/>
            <w:tcBorders>
              <w:top w:val="nil"/>
              <w:left w:val="nil"/>
              <w:bottom w:val="single" w:sz="8" w:space="0" w:color="auto"/>
              <w:right w:val="single" w:sz="8" w:space="0" w:color="auto"/>
            </w:tcBorders>
            <w:shd w:val="clear" w:color="auto" w:fill="auto"/>
            <w:vAlign w:val="center"/>
            <w:hideMark/>
          </w:tcPr>
          <w:p w14:paraId="22CF4C9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32C921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443E9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4520D61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7C2A1B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0C22C5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42BD70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0E5F89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017DD3A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D91FBD5"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EE5F7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26D04F7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086355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57BA318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1D0A4AA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EDFB1C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56B309F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9E47422"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76EF9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EURI Instrument</w:t>
            </w:r>
          </w:p>
        </w:tc>
        <w:tc>
          <w:tcPr>
            <w:tcW w:w="1276" w:type="dxa"/>
            <w:tcBorders>
              <w:top w:val="nil"/>
              <w:left w:val="nil"/>
              <w:bottom w:val="single" w:sz="8" w:space="0" w:color="auto"/>
              <w:right w:val="single" w:sz="8" w:space="0" w:color="auto"/>
            </w:tcBorders>
            <w:shd w:val="clear" w:color="auto" w:fill="auto"/>
            <w:vAlign w:val="center"/>
            <w:hideMark/>
          </w:tcPr>
          <w:p w14:paraId="71D1A20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1 239 082 096</w:t>
            </w:r>
          </w:p>
        </w:tc>
        <w:tc>
          <w:tcPr>
            <w:tcW w:w="1276" w:type="dxa"/>
            <w:tcBorders>
              <w:top w:val="nil"/>
              <w:left w:val="nil"/>
              <w:bottom w:val="single" w:sz="8" w:space="0" w:color="auto"/>
              <w:right w:val="single" w:sz="8" w:space="0" w:color="auto"/>
            </w:tcBorders>
            <w:shd w:val="clear" w:color="auto" w:fill="auto"/>
            <w:vAlign w:val="center"/>
            <w:hideMark/>
          </w:tcPr>
          <w:p w14:paraId="1241FFA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8F8543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-97 500 000</w:t>
            </w:r>
          </w:p>
        </w:tc>
        <w:tc>
          <w:tcPr>
            <w:tcW w:w="992" w:type="dxa"/>
            <w:tcBorders>
              <w:top w:val="nil"/>
              <w:left w:val="nil"/>
              <w:bottom w:val="single" w:sz="8" w:space="0" w:color="auto"/>
              <w:right w:val="single" w:sz="8" w:space="0" w:color="auto"/>
            </w:tcBorders>
            <w:shd w:val="clear" w:color="auto" w:fill="auto"/>
            <w:vAlign w:val="center"/>
            <w:hideMark/>
          </w:tcPr>
          <w:p w14:paraId="39C2EF6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667628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1 141 582 096</w:t>
            </w:r>
          </w:p>
        </w:tc>
        <w:tc>
          <w:tcPr>
            <w:tcW w:w="1275" w:type="dxa"/>
            <w:tcBorders>
              <w:top w:val="nil"/>
              <w:left w:val="nil"/>
              <w:bottom w:val="single" w:sz="8" w:space="0" w:color="auto"/>
              <w:right w:val="single" w:sz="8" w:space="0" w:color="auto"/>
            </w:tcBorders>
            <w:shd w:val="clear" w:color="auto" w:fill="auto"/>
            <w:vAlign w:val="center"/>
            <w:hideMark/>
          </w:tcPr>
          <w:p w14:paraId="473C285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31BC218"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483715"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79760EB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755 965</w:t>
            </w:r>
          </w:p>
        </w:tc>
        <w:tc>
          <w:tcPr>
            <w:tcW w:w="1276" w:type="dxa"/>
            <w:tcBorders>
              <w:top w:val="nil"/>
              <w:left w:val="nil"/>
              <w:bottom w:val="single" w:sz="8" w:space="0" w:color="auto"/>
              <w:right w:val="single" w:sz="8" w:space="0" w:color="auto"/>
            </w:tcBorders>
            <w:shd w:val="clear" w:color="auto" w:fill="auto"/>
            <w:vAlign w:val="center"/>
            <w:hideMark/>
          </w:tcPr>
          <w:p w14:paraId="411EBC6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532F5B8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AD6C07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BA1F26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755 965</w:t>
            </w:r>
          </w:p>
        </w:tc>
        <w:tc>
          <w:tcPr>
            <w:tcW w:w="1275" w:type="dxa"/>
            <w:tcBorders>
              <w:top w:val="nil"/>
              <w:left w:val="nil"/>
              <w:bottom w:val="single" w:sz="8" w:space="0" w:color="auto"/>
              <w:right w:val="single" w:sz="8" w:space="0" w:color="auto"/>
            </w:tcBorders>
            <w:shd w:val="clear" w:color="auto" w:fill="auto"/>
            <w:vAlign w:val="center"/>
            <w:hideMark/>
          </w:tcPr>
          <w:p w14:paraId="0EDCAE6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34D1FF8"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1AF1E54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2a.</w:t>
            </w:r>
          </w:p>
        </w:tc>
        <w:tc>
          <w:tcPr>
            <w:tcW w:w="2432" w:type="dxa"/>
            <w:tcBorders>
              <w:top w:val="nil"/>
              <w:left w:val="nil"/>
              <w:bottom w:val="single" w:sz="8" w:space="0" w:color="auto"/>
              <w:right w:val="single" w:sz="8" w:space="0" w:color="auto"/>
            </w:tcBorders>
            <w:shd w:val="clear" w:color="000000" w:fill="D9D9D9"/>
            <w:vAlign w:val="center"/>
            <w:hideMark/>
          </w:tcPr>
          <w:p w14:paraId="4CF6282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Economic, social and territorial cohesion</w:t>
            </w:r>
          </w:p>
        </w:tc>
        <w:tc>
          <w:tcPr>
            <w:tcW w:w="1276" w:type="dxa"/>
            <w:tcBorders>
              <w:top w:val="nil"/>
              <w:left w:val="nil"/>
              <w:bottom w:val="single" w:sz="8" w:space="0" w:color="auto"/>
              <w:right w:val="single" w:sz="8" w:space="0" w:color="auto"/>
            </w:tcBorders>
            <w:shd w:val="clear" w:color="000000" w:fill="D9D9D9"/>
            <w:vAlign w:val="center"/>
            <w:hideMark/>
          </w:tcPr>
          <w:p w14:paraId="1A6FBCC2"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66 360 244 035</w:t>
            </w:r>
          </w:p>
        </w:tc>
        <w:tc>
          <w:tcPr>
            <w:tcW w:w="1276" w:type="dxa"/>
            <w:tcBorders>
              <w:top w:val="nil"/>
              <w:left w:val="nil"/>
              <w:bottom w:val="single" w:sz="8" w:space="0" w:color="auto"/>
              <w:right w:val="single" w:sz="8" w:space="0" w:color="auto"/>
            </w:tcBorders>
            <w:shd w:val="clear" w:color="000000" w:fill="D9D9D9"/>
            <w:vAlign w:val="center"/>
            <w:hideMark/>
          </w:tcPr>
          <w:p w14:paraId="4BA92EB9"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30 259 002 346</w:t>
            </w:r>
          </w:p>
        </w:tc>
        <w:tc>
          <w:tcPr>
            <w:tcW w:w="993" w:type="dxa"/>
            <w:tcBorders>
              <w:top w:val="nil"/>
              <w:left w:val="nil"/>
              <w:bottom w:val="single" w:sz="8" w:space="0" w:color="auto"/>
              <w:right w:val="single" w:sz="8" w:space="0" w:color="auto"/>
            </w:tcBorders>
            <w:shd w:val="clear" w:color="000000" w:fill="D9D9D9"/>
            <w:vAlign w:val="center"/>
            <w:hideMark/>
          </w:tcPr>
          <w:p w14:paraId="34725DA7"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D9D9D9"/>
            <w:vAlign w:val="center"/>
            <w:hideMark/>
          </w:tcPr>
          <w:p w14:paraId="227F9F78"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3 000 000 000</w:t>
            </w:r>
          </w:p>
        </w:tc>
        <w:tc>
          <w:tcPr>
            <w:tcW w:w="1276" w:type="dxa"/>
            <w:tcBorders>
              <w:top w:val="nil"/>
              <w:left w:val="nil"/>
              <w:bottom w:val="single" w:sz="8" w:space="0" w:color="auto"/>
              <w:right w:val="single" w:sz="8" w:space="0" w:color="auto"/>
            </w:tcBorders>
            <w:shd w:val="clear" w:color="000000" w:fill="D9D9D9"/>
            <w:vAlign w:val="center"/>
            <w:hideMark/>
          </w:tcPr>
          <w:p w14:paraId="1515833B"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66 360 244 035</w:t>
            </w:r>
          </w:p>
        </w:tc>
        <w:tc>
          <w:tcPr>
            <w:tcW w:w="1275" w:type="dxa"/>
            <w:tcBorders>
              <w:top w:val="nil"/>
              <w:left w:val="nil"/>
              <w:bottom w:val="single" w:sz="8" w:space="0" w:color="auto"/>
              <w:right w:val="single" w:sz="8" w:space="0" w:color="auto"/>
            </w:tcBorders>
            <w:shd w:val="clear" w:color="000000" w:fill="D9D9D9"/>
            <w:vAlign w:val="center"/>
            <w:hideMark/>
          </w:tcPr>
          <w:p w14:paraId="75583098"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33 259 002 346</w:t>
            </w:r>
          </w:p>
        </w:tc>
      </w:tr>
      <w:tr w:rsidR="00C25694" w:rsidRPr="00C25694" w14:paraId="1D74228D"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D04489"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60E214A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66 361 000 000</w:t>
            </w:r>
          </w:p>
        </w:tc>
        <w:tc>
          <w:tcPr>
            <w:tcW w:w="1276" w:type="dxa"/>
            <w:tcBorders>
              <w:top w:val="nil"/>
              <w:left w:val="nil"/>
              <w:bottom w:val="single" w:sz="8" w:space="0" w:color="auto"/>
              <w:right w:val="single" w:sz="8" w:space="0" w:color="auto"/>
            </w:tcBorders>
            <w:shd w:val="clear" w:color="auto" w:fill="auto"/>
            <w:vAlign w:val="center"/>
            <w:hideMark/>
          </w:tcPr>
          <w:p w14:paraId="5C3E750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31C4FC7"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02D750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AEEC74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66 361 000 000</w:t>
            </w:r>
          </w:p>
        </w:tc>
        <w:tc>
          <w:tcPr>
            <w:tcW w:w="1275" w:type="dxa"/>
            <w:tcBorders>
              <w:top w:val="nil"/>
              <w:left w:val="nil"/>
              <w:bottom w:val="single" w:sz="8" w:space="0" w:color="auto"/>
              <w:right w:val="single" w:sz="8" w:space="0" w:color="auto"/>
            </w:tcBorders>
            <w:shd w:val="clear" w:color="auto" w:fill="auto"/>
            <w:vAlign w:val="center"/>
            <w:hideMark/>
          </w:tcPr>
          <w:p w14:paraId="355F20A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4E19FB4"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5E2F1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3740BA0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92E6FD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5868E1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606A8A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881F34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1C5DC88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3BDA0EE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B8A7F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3D11687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FE1185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597062A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47867E3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DA49EA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7F675FF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689DDA4"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7B85E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18CD70D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C6E0A1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4852FF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448D6E3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0C943B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44387FC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DBDD383"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08A94E"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1153EF2E"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755 965</w:t>
            </w:r>
          </w:p>
        </w:tc>
        <w:tc>
          <w:tcPr>
            <w:tcW w:w="1276" w:type="dxa"/>
            <w:tcBorders>
              <w:top w:val="nil"/>
              <w:left w:val="nil"/>
              <w:bottom w:val="single" w:sz="8" w:space="0" w:color="auto"/>
              <w:right w:val="single" w:sz="8" w:space="0" w:color="auto"/>
            </w:tcBorders>
            <w:shd w:val="clear" w:color="auto" w:fill="auto"/>
            <w:vAlign w:val="center"/>
            <w:hideMark/>
          </w:tcPr>
          <w:p w14:paraId="5C0B630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3BE29035"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DC30F7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F35AD7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755 965</w:t>
            </w:r>
          </w:p>
        </w:tc>
        <w:tc>
          <w:tcPr>
            <w:tcW w:w="1275" w:type="dxa"/>
            <w:tcBorders>
              <w:top w:val="nil"/>
              <w:left w:val="nil"/>
              <w:bottom w:val="single" w:sz="8" w:space="0" w:color="auto"/>
              <w:right w:val="single" w:sz="8" w:space="0" w:color="auto"/>
            </w:tcBorders>
            <w:shd w:val="clear" w:color="auto" w:fill="auto"/>
            <w:vAlign w:val="center"/>
            <w:hideMark/>
          </w:tcPr>
          <w:p w14:paraId="094B6DB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F1A2113"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666818F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2b.</w:t>
            </w:r>
          </w:p>
        </w:tc>
        <w:tc>
          <w:tcPr>
            <w:tcW w:w="2432" w:type="dxa"/>
            <w:tcBorders>
              <w:top w:val="nil"/>
              <w:left w:val="nil"/>
              <w:bottom w:val="single" w:sz="8" w:space="0" w:color="auto"/>
              <w:right w:val="single" w:sz="8" w:space="0" w:color="auto"/>
            </w:tcBorders>
            <w:shd w:val="clear" w:color="000000" w:fill="D9D9D9"/>
            <w:vAlign w:val="center"/>
            <w:hideMark/>
          </w:tcPr>
          <w:p w14:paraId="429377E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Resilience and values</w:t>
            </w:r>
          </w:p>
        </w:tc>
        <w:tc>
          <w:tcPr>
            <w:tcW w:w="1276" w:type="dxa"/>
            <w:tcBorders>
              <w:top w:val="nil"/>
              <w:left w:val="nil"/>
              <w:bottom w:val="single" w:sz="8" w:space="0" w:color="auto"/>
              <w:right w:val="single" w:sz="8" w:space="0" w:color="auto"/>
            </w:tcBorders>
            <w:shd w:val="clear" w:color="000000" w:fill="D9D9D9"/>
            <w:vAlign w:val="center"/>
            <w:hideMark/>
          </w:tcPr>
          <w:p w14:paraId="2E6CAD05"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11 767 914 230</w:t>
            </w:r>
          </w:p>
        </w:tc>
        <w:tc>
          <w:tcPr>
            <w:tcW w:w="1276" w:type="dxa"/>
            <w:tcBorders>
              <w:top w:val="nil"/>
              <w:left w:val="nil"/>
              <w:bottom w:val="single" w:sz="8" w:space="0" w:color="auto"/>
              <w:right w:val="single" w:sz="8" w:space="0" w:color="auto"/>
            </w:tcBorders>
            <w:shd w:val="clear" w:color="000000" w:fill="D9D9D9"/>
            <w:vAlign w:val="center"/>
            <w:hideMark/>
          </w:tcPr>
          <w:p w14:paraId="1A365E34"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11 359 659 176</w:t>
            </w:r>
          </w:p>
        </w:tc>
        <w:tc>
          <w:tcPr>
            <w:tcW w:w="993" w:type="dxa"/>
            <w:tcBorders>
              <w:top w:val="nil"/>
              <w:left w:val="nil"/>
              <w:bottom w:val="single" w:sz="8" w:space="0" w:color="auto"/>
              <w:right w:val="single" w:sz="8" w:space="0" w:color="auto"/>
            </w:tcBorders>
            <w:shd w:val="clear" w:color="000000" w:fill="D9D9D9"/>
            <w:vAlign w:val="center"/>
            <w:hideMark/>
          </w:tcPr>
          <w:p w14:paraId="32C8AC03"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-184 482 585</w:t>
            </w:r>
          </w:p>
        </w:tc>
        <w:tc>
          <w:tcPr>
            <w:tcW w:w="992" w:type="dxa"/>
            <w:tcBorders>
              <w:top w:val="nil"/>
              <w:left w:val="nil"/>
              <w:bottom w:val="single" w:sz="8" w:space="0" w:color="auto"/>
              <w:right w:val="single" w:sz="8" w:space="0" w:color="auto"/>
            </w:tcBorders>
            <w:shd w:val="clear" w:color="000000" w:fill="D9D9D9"/>
            <w:vAlign w:val="center"/>
            <w:hideMark/>
          </w:tcPr>
          <w:p w14:paraId="577BAEA1"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-184 482 585</w:t>
            </w:r>
          </w:p>
        </w:tc>
        <w:tc>
          <w:tcPr>
            <w:tcW w:w="1276" w:type="dxa"/>
            <w:tcBorders>
              <w:top w:val="nil"/>
              <w:left w:val="nil"/>
              <w:bottom w:val="single" w:sz="8" w:space="0" w:color="auto"/>
              <w:right w:val="single" w:sz="8" w:space="0" w:color="auto"/>
            </w:tcBorders>
            <w:shd w:val="clear" w:color="000000" w:fill="D9D9D9"/>
            <w:vAlign w:val="center"/>
            <w:hideMark/>
          </w:tcPr>
          <w:p w14:paraId="3EE73187"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11 583 431 645</w:t>
            </w:r>
          </w:p>
        </w:tc>
        <w:tc>
          <w:tcPr>
            <w:tcW w:w="1275" w:type="dxa"/>
            <w:tcBorders>
              <w:top w:val="nil"/>
              <w:left w:val="nil"/>
              <w:bottom w:val="single" w:sz="8" w:space="0" w:color="auto"/>
              <w:right w:val="single" w:sz="8" w:space="0" w:color="auto"/>
            </w:tcBorders>
            <w:shd w:val="clear" w:color="000000" w:fill="D9D9D9"/>
            <w:vAlign w:val="center"/>
            <w:hideMark/>
          </w:tcPr>
          <w:p w14:paraId="4663D61E"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11 175 176 591</w:t>
            </w:r>
          </w:p>
        </w:tc>
      </w:tr>
      <w:tr w:rsidR="00C25694" w:rsidRPr="00C25694" w14:paraId="5AAD1820"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73D07D"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7E12052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9 336 000 000</w:t>
            </w:r>
          </w:p>
        </w:tc>
        <w:tc>
          <w:tcPr>
            <w:tcW w:w="1276" w:type="dxa"/>
            <w:tcBorders>
              <w:top w:val="nil"/>
              <w:left w:val="nil"/>
              <w:bottom w:val="single" w:sz="8" w:space="0" w:color="auto"/>
              <w:right w:val="single" w:sz="8" w:space="0" w:color="auto"/>
            </w:tcBorders>
            <w:shd w:val="clear" w:color="auto" w:fill="auto"/>
            <w:vAlign w:val="center"/>
            <w:hideMark/>
          </w:tcPr>
          <w:p w14:paraId="145D914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49B0311"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9D19EC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9C639C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9 336 000 000</w:t>
            </w:r>
          </w:p>
        </w:tc>
        <w:tc>
          <w:tcPr>
            <w:tcW w:w="1275" w:type="dxa"/>
            <w:tcBorders>
              <w:top w:val="nil"/>
              <w:left w:val="nil"/>
              <w:bottom w:val="single" w:sz="8" w:space="0" w:color="auto"/>
              <w:right w:val="single" w:sz="8" w:space="0" w:color="auto"/>
            </w:tcBorders>
            <w:shd w:val="clear" w:color="auto" w:fill="auto"/>
            <w:vAlign w:val="center"/>
            <w:hideMark/>
          </w:tcPr>
          <w:p w14:paraId="74A435B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008774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83667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74FE606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1 192 832 134</w:t>
            </w:r>
          </w:p>
        </w:tc>
        <w:tc>
          <w:tcPr>
            <w:tcW w:w="1276" w:type="dxa"/>
            <w:tcBorders>
              <w:top w:val="nil"/>
              <w:left w:val="nil"/>
              <w:bottom w:val="single" w:sz="8" w:space="0" w:color="auto"/>
              <w:right w:val="single" w:sz="8" w:space="0" w:color="auto"/>
            </w:tcBorders>
            <w:shd w:val="clear" w:color="auto" w:fill="auto"/>
            <w:vAlign w:val="center"/>
            <w:hideMark/>
          </w:tcPr>
          <w:p w14:paraId="5DC46D2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539D9F55"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-86 982 585</w:t>
            </w:r>
          </w:p>
        </w:tc>
        <w:tc>
          <w:tcPr>
            <w:tcW w:w="992" w:type="dxa"/>
            <w:tcBorders>
              <w:top w:val="nil"/>
              <w:left w:val="nil"/>
              <w:bottom w:val="single" w:sz="8" w:space="0" w:color="auto"/>
              <w:right w:val="single" w:sz="8" w:space="0" w:color="auto"/>
            </w:tcBorders>
            <w:shd w:val="clear" w:color="auto" w:fill="auto"/>
            <w:vAlign w:val="center"/>
            <w:hideMark/>
          </w:tcPr>
          <w:p w14:paraId="60F6520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4B4A6D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1 105 849 549</w:t>
            </w:r>
          </w:p>
        </w:tc>
        <w:tc>
          <w:tcPr>
            <w:tcW w:w="1275" w:type="dxa"/>
            <w:tcBorders>
              <w:top w:val="nil"/>
              <w:left w:val="nil"/>
              <w:bottom w:val="single" w:sz="8" w:space="0" w:color="auto"/>
              <w:right w:val="single" w:sz="8" w:space="0" w:color="auto"/>
            </w:tcBorders>
            <w:shd w:val="clear" w:color="auto" w:fill="auto"/>
            <w:vAlign w:val="center"/>
            <w:hideMark/>
          </w:tcPr>
          <w:p w14:paraId="01713B9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56BF2F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D5EEE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1D3B448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5C0A76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AE2719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C2C3B3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7E7AD6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0DF32F5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9D1A792"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560B0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54F22F6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A11B27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3F9ACC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C66CED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F1A324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5B07804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2D0D4C8"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165C3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EURI Instrument</w:t>
            </w:r>
          </w:p>
        </w:tc>
        <w:tc>
          <w:tcPr>
            <w:tcW w:w="1276" w:type="dxa"/>
            <w:tcBorders>
              <w:top w:val="nil"/>
              <w:left w:val="nil"/>
              <w:bottom w:val="single" w:sz="8" w:space="0" w:color="auto"/>
              <w:right w:val="single" w:sz="8" w:space="0" w:color="auto"/>
            </w:tcBorders>
            <w:shd w:val="clear" w:color="auto" w:fill="auto"/>
            <w:vAlign w:val="center"/>
            <w:hideMark/>
          </w:tcPr>
          <w:p w14:paraId="73DC6B1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1 239 082 096</w:t>
            </w:r>
          </w:p>
        </w:tc>
        <w:tc>
          <w:tcPr>
            <w:tcW w:w="1276" w:type="dxa"/>
            <w:tcBorders>
              <w:top w:val="nil"/>
              <w:left w:val="nil"/>
              <w:bottom w:val="single" w:sz="8" w:space="0" w:color="auto"/>
              <w:right w:val="single" w:sz="8" w:space="0" w:color="auto"/>
            </w:tcBorders>
            <w:shd w:val="clear" w:color="auto" w:fill="auto"/>
            <w:vAlign w:val="center"/>
            <w:hideMark/>
          </w:tcPr>
          <w:p w14:paraId="6A054BA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83396D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-97 500 000</w:t>
            </w:r>
          </w:p>
        </w:tc>
        <w:tc>
          <w:tcPr>
            <w:tcW w:w="992" w:type="dxa"/>
            <w:tcBorders>
              <w:top w:val="nil"/>
              <w:left w:val="nil"/>
              <w:bottom w:val="single" w:sz="8" w:space="0" w:color="auto"/>
              <w:right w:val="single" w:sz="8" w:space="0" w:color="auto"/>
            </w:tcBorders>
            <w:shd w:val="clear" w:color="auto" w:fill="auto"/>
            <w:vAlign w:val="center"/>
            <w:hideMark/>
          </w:tcPr>
          <w:p w14:paraId="1E2E7BC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84FCB5F"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1 141 582 096</w:t>
            </w:r>
          </w:p>
        </w:tc>
        <w:tc>
          <w:tcPr>
            <w:tcW w:w="1275" w:type="dxa"/>
            <w:tcBorders>
              <w:top w:val="nil"/>
              <w:left w:val="nil"/>
              <w:bottom w:val="single" w:sz="8" w:space="0" w:color="auto"/>
              <w:right w:val="single" w:sz="8" w:space="0" w:color="auto"/>
            </w:tcBorders>
            <w:shd w:val="clear" w:color="auto" w:fill="auto"/>
            <w:vAlign w:val="center"/>
            <w:hideMark/>
          </w:tcPr>
          <w:p w14:paraId="2839F74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55AA4DA"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7FE302"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3534A23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F3FCD5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DB4F5F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24C040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94271F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351A848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6D68C5B"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1173246D"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w:t>
            </w:r>
          </w:p>
        </w:tc>
        <w:tc>
          <w:tcPr>
            <w:tcW w:w="2432" w:type="dxa"/>
            <w:tcBorders>
              <w:top w:val="nil"/>
              <w:left w:val="nil"/>
              <w:bottom w:val="single" w:sz="8" w:space="0" w:color="auto"/>
              <w:right w:val="single" w:sz="8" w:space="0" w:color="auto"/>
            </w:tcBorders>
            <w:shd w:val="clear" w:color="000000" w:fill="D9D9D9"/>
            <w:vAlign w:val="center"/>
            <w:hideMark/>
          </w:tcPr>
          <w:p w14:paraId="09492C4A"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Natural Resources and Environment</w:t>
            </w:r>
          </w:p>
        </w:tc>
        <w:tc>
          <w:tcPr>
            <w:tcW w:w="1276" w:type="dxa"/>
            <w:tcBorders>
              <w:top w:val="nil"/>
              <w:left w:val="nil"/>
              <w:bottom w:val="single" w:sz="8" w:space="0" w:color="auto"/>
              <w:right w:val="single" w:sz="8" w:space="0" w:color="auto"/>
            </w:tcBorders>
            <w:shd w:val="clear" w:color="000000" w:fill="D9D9D9"/>
            <w:vAlign w:val="center"/>
            <w:hideMark/>
          </w:tcPr>
          <w:p w14:paraId="5734B95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57 274 962 739</w:t>
            </w:r>
          </w:p>
        </w:tc>
        <w:tc>
          <w:tcPr>
            <w:tcW w:w="1276" w:type="dxa"/>
            <w:tcBorders>
              <w:top w:val="nil"/>
              <w:left w:val="nil"/>
              <w:bottom w:val="single" w:sz="8" w:space="0" w:color="auto"/>
              <w:right w:val="single" w:sz="8" w:space="0" w:color="auto"/>
            </w:tcBorders>
            <w:shd w:val="clear" w:color="000000" w:fill="D9D9D9"/>
            <w:vAlign w:val="center"/>
            <w:hideMark/>
          </w:tcPr>
          <w:p w14:paraId="1CB65F9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52 682 405 247</w:t>
            </w:r>
          </w:p>
        </w:tc>
        <w:tc>
          <w:tcPr>
            <w:tcW w:w="993" w:type="dxa"/>
            <w:tcBorders>
              <w:top w:val="nil"/>
              <w:left w:val="nil"/>
              <w:bottom w:val="single" w:sz="8" w:space="0" w:color="auto"/>
              <w:right w:val="single" w:sz="8" w:space="0" w:color="auto"/>
            </w:tcBorders>
            <w:shd w:val="clear" w:color="000000" w:fill="D9D9D9"/>
            <w:vAlign w:val="center"/>
            <w:hideMark/>
          </w:tcPr>
          <w:p w14:paraId="1B7E3E2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-350 530 285</w:t>
            </w:r>
          </w:p>
        </w:tc>
        <w:tc>
          <w:tcPr>
            <w:tcW w:w="992" w:type="dxa"/>
            <w:tcBorders>
              <w:top w:val="nil"/>
              <w:left w:val="nil"/>
              <w:bottom w:val="single" w:sz="8" w:space="0" w:color="auto"/>
              <w:right w:val="single" w:sz="8" w:space="0" w:color="auto"/>
            </w:tcBorders>
            <w:shd w:val="clear" w:color="000000" w:fill="D9D9D9"/>
            <w:vAlign w:val="center"/>
            <w:hideMark/>
          </w:tcPr>
          <w:p w14:paraId="5522781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-390 530 285</w:t>
            </w:r>
          </w:p>
        </w:tc>
        <w:tc>
          <w:tcPr>
            <w:tcW w:w="1276" w:type="dxa"/>
            <w:tcBorders>
              <w:top w:val="nil"/>
              <w:left w:val="nil"/>
              <w:bottom w:val="single" w:sz="8" w:space="0" w:color="auto"/>
              <w:right w:val="single" w:sz="8" w:space="0" w:color="auto"/>
            </w:tcBorders>
            <w:shd w:val="clear" w:color="000000" w:fill="D9D9D9"/>
            <w:vAlign w:val="center"/>
            <w:hideMark/>
          </w:tcPr>
          <w:p w14:paraId="2666E19B"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56 924 432 454</w:t>
            </w:r>
          </w:p>
        </w:tc>
        <w:tc>
          <w:tcPr>
            <w:tcW w:w="1275" w:type="dxa"/>
            <w:tcBorders>
              <w:top w:val="nil"/>
              <w:left w:val="nil"/>
              <w:bottom w:val="single" w:sz="8" w:space="0" w:color="auto"/>
              <w:right w:val="single" w:sz="8" w:space="0" w:color="auto"/>
            </w:tcBorders>
            <w:shd w:val="clear" w:color="000000" w:fill="D9D9D9"/>
            <w:vAlign w:val="center"/>
            <w:hideMark/>
          </w:tcPr>
          <w:p w14:paraId="53E9AE7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52 291 874 962</w:t>
            </w:r>
          </w:p>
        </w:tc>
      </w:tr>
      <w:tr w:rsidR="00C25694" w:rsidRPr="00C25694" w14:paraId="24E29F20"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D34E5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5870F37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57 336 000 000</w:t>
            </w:r>
          </w:p>
        </w:tc>
        <w:tc>
          <w:tcPr>
            <w:tcW w:w="1276" w:type="dxa"/>
            <w:tcBorders>
              <w:top w:val="nil"/>
              <w:left w:val="nil"/>
              <w:bottom w:val="single" w:sz="8" w:space="0" w:color="auto"/>
              <w:right w:val="single" w:sz="8" w:space="0" w:color="auto"/>
            </w:tcBorders>
            <w:shd w:val="clear" w:color="auto" w:fill="auto"/>
            <w:vAlign w:val="center"/>
            <w:hideMark/>
          </w:tcPr>
          <w:p w14:paraId="0038D4E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F4B7B81"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DCDCD7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B4F5E8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57 336 000 000</w:t>
            </w:r>
          </w:p>
        </w:tc>
        <w:tc>
          <w:tcPr>
            <w:tcW w:w="1275" w:type="dxa"/>
            <w:tcBorders>
              <w:top w:val="nil"/>
              <w:left w:val="nil"/>
              <w:bottom w:val="single" w:sz="8" w:space="0" w:color="auto"/>
              <w:right w:val="single" w:sz="8" w:space="0" w:color="auto"/>
            </w:tcBorders>
            <w:shd w:val="clear" w:color="auto" w:fill="auto"/>
            <w:vAlign w:val="center"/>
            <w:hideMark/>
          </w:tcPr>
          <w:p w14:paraId="3EE9A81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AB689FD"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FF528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720D34C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FAF3B5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084728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429F9C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9615B7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76FE740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C18DF1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D8672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73FB395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7D45C9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78F18C9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5AB2E0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310E28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69D06E0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3F281B5"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34A26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3B46D98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813EBE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F4DF14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C2E345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39BD27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6BE6E52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60B1D69"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66C38F"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566937B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61 037 261</w:t>
            </w:r>
          </w:p>
        </w:tc>
        <w:tc>
          <w:tcPr>
            <w:tcW w:w="1276" w:type="dxa"/>
            <w:tcBorders>
              <w:top w:val="nil"/>
              <w:left w:val="nil"/>
              <w:bottom w:val="single" w:sz="8" w:space="0" w:color="auto"/>
              <w:right w:val="single" w:sz="8" w:space="0" w:color="auto"/>
            </w:tcBorders>
            <w:shd w:val="clear" w:color="auto" w:fill="auto"/>
            <w:vAlign w:val="center"/>
            <w:hideMark/>
          </w:tcPr>
          <w:p w14:paraId="1D8C31F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666991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350 530 285</w:t>
            </w:r>
          </w:p>
        </w:tc>
        <w:tc>
          <w:tcPr>
            <w:tcW w:w="992" w:type="dxa"/>
            <w:tcBorders>
              <w:top w:val="nil"/>
              <w:left w:val="nil"/>
              <w:bottom w:val="single" w:sz="8" w:space="0" w:color="auto"/>
              <w:right w:val="single" w:sz="8" w:space="0" w:color="auto"/>
            </w:tcBorders>
            <w:shd w:val="clear" w:color="auto" w:fill="auto"/>
            <w:vAlign w:val="center"/>
            <w:hideMark/>
          </w:tcPr>
          <w:p w14:paraId="490AF91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501DD7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411 567 546</w:t>
            </w:r>
          </w:p>
        </w:tc>
        <w:tc>
          <w:tcPr>
            <w:tcW w:w="1275" w:type="dxa"/>
            <w:tcBorders>
              <w:top w:val="nil"/>
              <w:left w:val="nil"/>
              <w:bottom w:val="single" w:sz="8" w:space="0" w:color="auto"/>
              <w:right w:val="single" w:sz="8" w:space="0" w:color="auto"/>
            </w:tcBorders>
            <w:shd w:val="clear" w:color="auto" w:fill="auto"/>
            <w:vAlign w:val="center"/>
            <w:hideMark/>
          </w:tcPr>
          <w:p w14:paraId="739AD5D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4EEE1C6"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4373F98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D9D9D9"/>
            <w:vAlign w:val="center"/>
            <w:hideMark/>
          </w:tcPr>
          <w:p w14:paraId="53383BE1"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Market related expenditure and direct payments</w:t>
            </w:r>
          </w:p>
        </w:tc>
        <w:tc>
          <w:tcPr>
            <w:tcW w:w="1276" w:type="dxa"/>
            <w:tcBorders>
              <w:top w:val="nil"/>
              <w:left w:val="nil"/>
              <w:bottom w:val="single" w:sz="8" w:space="0" w:color="auto"/>
              <w:right w:val="single" w:sz="8" w:space="0" w:color="auto"/>
            </w:tcBorders>
            <w:shd w:val="clear" w:color="000000" w:fill="D9D9D9"/>
            <w:vAlign w:val="center"/>
            <w:hideMark/>
          </w:tcPr>
          <w:p w14:paraId="2F5E1B6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40 528 928 000</w:t>
            </w:r>
          </w:p>
        </w:tc>
        <w:tc>
          <w:tcPr>
            <w:tcW w:w="1276" w:type="dxa"/>
            <w:tcBorders>
              <w:top w:val="nil"/>
              <w:left w:val="nil"/>
              <w:bottom w:val="single" w:sz="8" w:space="0" w:color="auto"/>
              <w:right w:val="single" w:sz="8" w:space="0" w:color="auto"/>
            </w:tcBorders>
            <w:shd w:val="clear" w:color="000000" w:fill="D9D9D9"/>
            <w:vAlign w:val="center"/>
            <w:hideMark/>
          </w:tcPr>
          <w:p w14:paraId="484E112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40 623 753 419</w:t>
            </w:r>
          </w:p>
        </w:tc>
        <w:tc>
          <w:tcPr>
            <w:tcW w:w="993" w:type="dxa"/>
            <w:tcBorders>
              <w:top w:val="nil"/>
              <w:left w:val="nil"/>
              <w:bottom w:val="single" w:sz="8" w:space="0" w:color="auto"/>
              <w:right w:val="single" w:sz="8" w:space="0" w:color="auto"/>
            </w:tcBorders>
            <w:shd w:val="clear" w:color="000000" w:fill="D9D9D9"/>
            <w:vAlign w:val="center"/>
            <w:hideMark/>
          </w:tcPr>
          <w:p w14:paraId="75F459E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-351 920 598</w:t>
            </w:r>
          </w:p>
        </w:tc>
        <w:tc>
          <w:tcPr>
            <w:tcW w:w="992" w:type="dxa"/>
            <w:tcBorders>
              <w:top w:val="nil"/>
              <w:left w:val="nil"/>
              <w:bottom w:val="single" w:sz="8" w:space="0" w:color="auto"/>
              <w:right w:val="single" w:sz="8" w:space="0" w:color="auto"/>
            </w:tcBorders>
            <w:shd w:val="clear" w:color="000000" w:fill="D9D9D9"/>
            <w:vAlign w:val="center"/>
            <w:hideMark/>
          </w:tcPr>
          <w:p w14:paraId="3A2B071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-391 920 598</w:t>
            </w:r>
          </w:p>
        </w:tc>
        <w:tc>
          <w:tcPr>
            <w:tcW w:w="1276" w:type="dxa"/>
            <w:tcBorders>
              <w:top w:val="nil"/>
              <w:left w:val="nil"/>
              <w:bottom w:val="single" w:sz="8" w:space="0" w:color="auto"/>
              <w:right w:val="single" w:sz="8" w:space="0" w:color="auto"/>
            </w:tcBorders>
            <w:shd w:val="clear" w:color="000000" w:fill="D9D9D9"/>
            <w:vAlign w:val="center"/>
            <w:hideMark/>
          </w:tcPr>
          <w:p w14:paraId="1FBB81C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40 177 007 402</w:t>
            </w:r>
          </w:p>
        </w:tc>
        <w:tc>
          <w:tcPr>
            <w:tcW w:w="1275" w:type="dxa"/>
            <w:tcBorders>
              <w:top w:val="nil"/>
              <w:left w:val="nil"/>
              <w:bottom w:val="single" w:sz="8" w:space="0" w:color="auto"/>
              <w:right w:val="single" w:sz="8" w:space="0" w:color="auto"/>
            </w:tcBorders>
            <w:shd w:val="clear" w:color="000000" w:fill="D9D9D9"/>
            <w:vAlign w:val="center"/>
            <w:hideMark/>
          </w:tcPr>
          <w:p w14:paraId="776E7E4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40 231 832 821</w:t>
            </w:r>
          </w:p>
        </w:tc>
      </w:tr>
      <w:tr w:rsidR="00C25694" w:rsidRPr="00C25694" w14:paraId="66E89BE4"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3B58588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4747EBB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Initial EAGF sub-ceiling</w:t>
            </w:r>
          </w:p>
        </w:tc>
        <w:tc>
          <w:tcPr>
            <w:tcW w:w="1276" w:type="dxa"/>
            <w:tcBorders>
              <w:top w:val="nil"/>
              <w:left w:val="nil"/>
              <w:bottom w:val="dotted" w:sz="4" w:space="0" w:color="auto"/>
              <w:right w:val="single" w:sz="8" w:space="0" w:color="auto"/>
            </w:tcBorders>
            <w:shd w:val="clear" w:color="auto" w:fill="auto"/>
            <w:vAlign w:val="center"/>
            <w:hideMark/>
          </w:tcPr>
          <w:p w14:paraId="2D2B5ED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41 646 000 000</w:t>
            </w:r>
          </w:p>
        </w:tc>
        <w:tc>
          <w:tcPr>
            <w:tcW w:w="1276" w:type="dxa"/>
            <w:tcBorders>
              <w:top w:val="nil"/>
              <w:left w:val="nil"/>
              <w:bottom w:val="dotted" w:sz="4" w:space="0" w:color="auto"/>
              <w:right w:val="single" w:sz="8" w:space="0" w:color="auto"/>
            </w:tcBorders>
            <w:shd w:val="clear" w:color="auto" w:fill="auto"/>
            <w:vAlign w:val="center"/>
            <w:hideMark/>
          </w:tcPr>
          <w:p w14:paraId="73E24C3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4B940D8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dotted" w:sz="4" w:space="0" w:color="auto"/>
              <w:right w:val="single" w:sz="8" w:space="0" w:color="auto"/>
            </w:tcBorders>
            <w:shd w:val="clear" w:color="auto" w:fill="auto"/>
            <w:vAlign w:val="center"/>
            <w:hideMark/>
          </w:tcPr>
          <w:p w14:paraId="09D83C5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478F2A2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41 646 000 000</w:t>
            </w:r>
          </w:p>
        </w:tc>
        <w:tc>
          <w:tcPr>
            <w:tcW w:w="1275" w:type="dxa"/>
            <w:tcBorders>
              <w:top w:val="nil"/>
              <w:left w:val="nil"/>
              <w:bottom w:val="dotted" w:sz="4" w:space="0" w:color="auto"/>
              <w:right w:val="single" w:sz="8" w:space="0" w:color="auto"/>
            </w:tcBorders>
            <w:shd w:val="clear" w:color="auto" w:fill="auto"/>
            <w:vAlign w:val="center"/>
            <w:hideMark/>
          </w:tcPr>
          <w:p w14:paraId="5A50C02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7D8AD69"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04B1601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23C0C35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xml:space="preserve"> Rounding difference excluded for calculating the sub-margin</w:t>
            </w:r>
          </w:p>
        </w:tc>
        <w:tc>
          <w:tcPr>
            <w:tcW w:w="1276" w:type="dxa"/>
            <w:tcBorders>
              <w:top w:val="nil"/>
              <w:left w:val="nil"/>
              <w:bottom w:val="dotted" w:sz="4" w:space="0" w:color="auto"/>
              <w:right w:val="single" w:sz="8" w:space="0" w:color="auto"/>
            </w:tcBorders>
            <w:shd w:val="clear" w:color="auto" w:fill="auto"/>
            <w:vAlign w:val="center"/>
            <w:hideMark/>
          </w:tcPr>
          <w:p w14:paraId="351226F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72 000</w:t>
            </w:r>
          </w:p>
        </w:tc>
        <w:tc>
          <w:tcPr>
            <w:tcW w:w="1276" w:type="dxa"/>
            <w:tcBorders>
              <w:top w:val="nil"/>
              <w:left w:val="nil"/>
              <w:bottom w:val="dotted" w:sz="4" w:space="0" w:color="auto"/>
              <w:right w:val="single" w:sz="8" w:space="0" w:color="auto"/>
            </w:tcBorders>
            <w:shd w:val="clear" w:color="auto" w:fill="auto"/>
            <w:vAlign w:val="center"/>
            <w:hideMark/>
          </w:tcPr>
          <w:p w14:paraId="146E779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6CEF118E"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dotted" w:sz="4" w:space="0" w:color="auto"/>
              <w:right w:val="single" w:sz="8" w:space="0" w:color="auto"/>
            </w:tcBorders>
            <w:shd w:val="clear" w:color="auto" w:fill="auto"/>
            <w:vAlign w:val="center"/>
            <w:hideMark/>
          </w:tcPr>
          <w:p w14:paraId="2A8160C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406ABD9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72 000</w:t>
            </w:r>
          </w:p>
        </w:tc>
        <w:tc>
          <w:tcPr>
            <w:tcW w:w="1275" w:type="dxa"/>
            <w:tcBorders>
              <w:top w:val="nil"/>
              <w:left w:val="nil"/>
              <w:bottom w:val="dotted" w:sz="4" w:space="0" w:color="auto"/>
              <w:right w:val="single" w:sz="8" w:space="0" w:color="auto"/>
            </w:tcBorders>
            <w:shd w:val="clear" w:color="auto" w:fill="auto"/>
            <w:vAlign w:val="center"/>
            <w:hideMark/>
          </w:tcPr>
          <w:p w14:paraId="59F7F0A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7286C7C"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6E814E1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719DA3F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xml:space="preserve"> Net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14:paraId="47A926CF"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-1 117 072 000</w:t>
            </w:r>
          </w:p>
        </w:tc>
        <w:tc>
          <w:tcPr>
            <w:tcW w:w="1276" w:type="dxa"/>
            <w:tcBorders>
              <w:top w:val="nil"/>
              <w:left w:val="nil"/>
              <w:bottom w:val="dotted" w:sz="4" w:space="0" w:color="auto"/>
              <w:right w:val="single" w:sz="8" w:space="0" w:color="auto"/>
            </w:tcBorders>
            <w:shd w:val="clear" w:color="auto" w:fill="auto"/>
            <w:vAlign w:val="center"/>
            <w:hideMark/>
          </w:tcPr>
          <w:p w14:paraId="3F429D7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799F453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dotted" w:sz="4" w:space="0" w:color="auto"/>
              <w:right w:val="single" w:sz="8" w:space="0" w:color="auto"/>
            </w:tcBorders>
            <w:shd w:val="clear" w:color="auto" w:fill="auto"/>
            <w:vAlign w:val="center"/>
            <w:hideMark/>
          </w:tcPr>
          <w:p w14:paraId="6E2EC27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12E742B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-1 117 072 000</w:t>
            </w:r>
          </w:p>
        </w:tc>
        <w:tc>
          <w:tcPr>
            <w:tcW w:w="1275" w:type="dxa"/>
            <w:tcBorders>
              <w:top w:val="nil"/>
              <w:left w:val="nil"/>
              <w:bottom w:val="dotted" w:sz="4" w:space="0" w:color="auto"/>
              <w:right w:val="single" w:sz="8" w:space="0" w:color="auto"/>
            </w:tcBorders>
            <w:shd w:val="clear" w:color="auto" w:fill="auto"/>
            <w:vAlign w:val="center"/>
            <w:hideMark/>
          </w:tcPr>
          <w:p w14:paraId="4CF67D0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2167476"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54D6A83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49FF1CC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xml:space="preserve"> Net balance available for EAGF expenditure</w:t>
            </w:r>
          </w:p>
        </w:tc>
        <w:tc>
          <w:tcPr>
            <w:tcW w:w="1276" w:type="dxa"/>
            <w:tcBorders>
              <w:top w:val="nil"/>
              <w:left w:val="nil"/>
              <w:bottom w:val="dotted" w:sz="4" w:space="0" w:color="auto"/>
              <w:right w:val="single" w:sz="8" w:space="0" w:color="auto"/>
            </w:tcBorders>
            <w:shd w:val="clear" w:color="auto" w:fill="auto"/>
            <w:vAlign w:val="center"/>
            <w:hideMark/>
          </w:tcPr>
          <w:p w14:paraId="5B006C0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40 528 928 000</w:t>
            </w:r>
          </w:p>
        </w:tc>
        <w:tc>
          <w:tcPr>
            <w:tcW w:w="1276" w:type="dxa"/>
            <w:tcBorders>
              <w:top w:val="nil"/>
              <w:left w:val="nil"/>
              <w:bottom w:val="dotted" w:sz="4" w:space="0" w:color="auto"/>
              <w:right w:val="single" w:sz="8" w:space="0" w:color="auto"/>
            </w:tcBorders>
            <w:shd w:val="clear" w:color="auto" w:fill="auto"/>
            <w:vAlign w:val="center"/>
            <w:hideMark/>
          </w:tcPr>
          <w:p w14:paraId="3A3DA2B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6998DDB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dotted" w:sz="4" w:space="0" w:color="auto"/>
              <w:right w:val="single" w:sz="8" w:space="0" w:color="auto"/>
            </w:tcBorders>
            <w:shd w:val="clear" w:color="auto" w:fill="auto"/>
            <w:vAlign w:val="center"/>
            <w:hideMark/>
          </w:tcPr>
          <w:p w14:paraId="287F748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3CA622D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40 528 928 000</w:t>
            </w:r>
          </w:p>
        </w:tc>
        <w:tc>
          <w:tcPr>
            <w:tcW w:w="1275" w:type="dxa"/>
            <w:tcBorders>
              <w:top w:val="nil"/>
              <w:left w:val="nil"/>
              <w:bottom w:val="dotted" w:sz="4" w:space="0" w:color="auto"/>
              <w:right w:val="single" w:sz="8" w:space="0" w:color="auto"/>
            </w:tcBorders>
            <w:shd w:val="clear" w:color="auto" w:fill="auto"/>
            <w:vAlign w:val="center"/>
            <w:hideMark/>
          </w:tcPr>
          <w:p w14:paraId="4C93EDC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32CDB60D"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127ECC6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257456B9"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xml:space="preserve"> Adjusted EAGF sub-ceiling corrected by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14:paraId="7B2FBFB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40 529 000 000</w:t>
            </w:r>
          </w:p>
        </w:tc>
        <w:tc>
          <w:tcPr>
            <w:tcW w:w="1276" w:type="dxa"/>
            <w:tcBorders>
              <w:top w:val="nil"/>
              <w:left w:val="nil"/>
              <w:bottom w:val="dotted" w:sz="4" w:space="0" w:color="auto"/>
              <w:right w:val="single" w:sz="8" w:space="0" w:color="auto"/>
            </w:tcBorders>
            <w:shd w:val="clear" w:color="auto" w:fill="auto"/>
            <w:vAlign w:val="center"/>
            <w:hideMark/>
          </w:tcPr>
          <w:p w14:paraId="71DB88E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0E1FFEA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dotted" w:sz="4" w:space="0" w:color="auto"/>
              <w:right w:val="single" w:sz="8" w:space="0" w:color="auto"/>
            </w:tcBorders>
            <w:shd w:val="clear" w:color="auto" w:fill="auto"/>
            <w:vAlign w:val="center"/>
            <w:hideMark/>
          </w:tcPr>
          <w:p w14:paraId="7C7831F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2A20C105"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40 529 000 000</w:t>
            </w:r>
          </w:p>
        </w:tc>
        <w:tc>
          <w:tcPr>
            <w:tcW w:w="1275" w:type="dxa"/>
            <w:tcBorders>
              <w:top w:val="nil"/>
              <w:left w:val="nil"/>
              <w:bottom w:val="dotted" w:sz="4" w:space="0" w:color="auto"/>
              <w:right w:val="single" w:sz="8" w:space="0" w:color="auto"/>
            </w:tcBorders>
            <w:shd w:val="clear" w:color="auto" w:fill="auto"/>
            <w:vAlign w:val="center"/>
            <w:hideMark/>
          </w:tcPr>
          <w:p w14:paraId="4599A7F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980888A" w14:textId="77777777" w:rsidTr="00887BB8">
        <w:trPr>
          <w:trHeight w:val="255"/>
        </w:trPr>
        <w:tc>
          <w:tcPr>
            <w:tcW w:w="960" w:type="dxa"/>
            <w:tcBorders>
              <w:top w:val="nil"/>
              <w:left w:val="single" w:sz="8" w:space="0" w:color="auto"/>
              <w:bottom w:val="dotted" w:sz="4" w:space="0" w:color="auto"/>
              <w:right w:val="nil"/>
            </w:tcBorders>
            <w:shd w:val="clear" w:color="auto" w:fill="auto"/>
            <w:vAlign w:val="center"/>
            <w:hideMark/>
          </w:tcPr>
          <w:p w14:paraId="18CDEC3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dotted" w:sz="4" w:space="0" w:color="auto"/>
              <w:right w:val="single" w:sz="8" w:space="0" w:color="auto"/>
            </w:tcBorders>
            <w:shd w:val="clear" w:color="auto" w:fill="auto"/>
            <w:vAlign w:val="center"/>
            <w:hideMark/>
          </w:tcPr>
          <w:p w14:paraId="2EEBA52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EAGF sub-margin</w:t>
            </w:r>
          </w:p>
        </w:tc>
        <w:tc>
          <w:tcPr>
            <w:tcW w:w="1276" w:type="dxa"/>
            <w:tcBorders>
              <w:top w:val="nil"/>
              <w:left w:val="nil"/>
              <w:bottom w:val="dotted" w:sz="4" w:space="0" w:color="auto"/>
              <w:right w:val="single" w:sz="8" w:space="0" w:color="auto"/>
            </w:tcBorders>
            <w:shd w:val="clear" w:color="auto" w:fill="auto"/>
            <w:vAlign w:val="center"/>
            <w:hideMark/>
          </w:tcPr>
          <w:p w14:paraId="212B218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72 000</w:t>
            </w:r>
          </w:p>
        </w:tc>
        <w:tc>
          <w:tcPr>
            <w:tcW w:w="1276" w:type="dxa"/>
            <w:tcBorders>
              <w:top w:val="nil"/>
              <w:left w:val="nil"/>
              <w:bottom w:val="dotted" w:sz="4" w:space="0" w:color="auto"/>
              <w:right w:val="single" w:sz="8" w:space="0" w:color="auto"/>
            </w:tcBorders>
            <w:shd w:val="clear" w:color="auto" w:fill="auto"/>
            <w:vAlign w:val="center"/>
            <w:hideMark/>
          </w:tcPr>
          <w:p w14:paraId="0EB234E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dotted" w:sz="4" w:space="0" w:color="auto"/>
              <w:right w:val="single" w:sz="8" w:space="0" w:color="auto"/>
            </w:tcBorders>
            <w:shd w:val="clear" w:color="auto" w:fill="auto"/>
            <w:vAlign w:val="center"/>
            <w:hideMark/>
          </w:tcPr>
          <w:p w14:paraId="65A3406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351 920 598</w:t>
            </w:r>
          </w:p>
        </w:tc>
        <w:tc>
          <w:tcPr>
            <w:tcW w:w="992" w:type="dxa"/>
            <w:tcBorders>
              <w:top w:val="nil"/>
              <w:left w:val="nil"/>
              <w:bottom w:val="dotted" w:sz="4" w:space="0" w:color="auto"/>
              <w:right w:val="single" w:sz="8" w:space="0" w:color="auto"/>
            </w:tcBorders>
            <w:shd w:val="clear" w:color="auto" w:fill="auto"/>
            <w:vAlign w:val="center"/>
            <w:hideMark/>
          </w:tcPr>
          <w:p w14:paraId="42E99C4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dotted" w:sz="4" w:space="0" w:color="auto"/>
              <w:right w:val="single" w:sz="8" w:space="0" w:color="auto"/>
            </w:tcBorders>
            <w:shd w:val="clear" w:color="auto" w:fill="auto"/>
            <w:vAlign w:val="center"/>
            <w:hideMark/>
          </w:tcPr>
          <w:p w14:paraId="171C73B5"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351 992 598</w:t>
            </w:r>
          </w:p>
        </w:tc>
        <w:tc>
          <w:tcPr>
            <w:tcW w:w="1275" w:type="dxa"/>
            <w:tcBorders>
              <w:top w:val="nil"/>
              <w:left w:val="nil"/>
              <w:bottom w:val="dotted" w:sz="4" w:space="0" w:color="auto"/>
              <w:right w:val="single" w:sz="8" w:space="0" w:color="auto"/>
            </w:tcBorders>
            <w:shd w:val="clear" w:color="auto" w:fill="auto"/>
            <w:vAlign w:val="center"/>
            <w:hideMark/>
          </w:tcPr>
          <w:p w14:paraId="398FB78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151A702" w14:textId="77777777" w:rsidTr="00887BB8">
        <w:trPr>
          <w:trHeight w:val="255"/>
        </w:trPr>
        <w:tc>
          <w:tcPr>
            <w:tcW w:w="960" w:type="dxa"/>
            <w:tcBorders>
              <w:top w:val="nil"/>
              <w:left w:val="single" w:sz="8" w:space="0" w:color="auto"/>
              <w:bottom w:val="single" w:sz="8" w:space="0" w:color="auto"/>
              <w:right w:val="nil"/>
            </w:tcBorders>
            <w:shd w:val="clear" w:color="auto" w:fill="auto"/>
            <w:vAlign w:val="center"/>
            <w:hideMark/>
          </w:tcPr>
          <w:p w14:paraId="3302EF7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auto" w:fill="auto"/>
            <w:vAlign w:val="center"/>
            <w:hideMark/>
          </w:tcPr>
          <w:p w14:paraId="12A8D60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EAGF sub-margin (excluding the rounding difference)</w:t>
            </w:r>
          </w:p>
        </w:tc>
        <w:tc>
          <w:tcPr>
            <w:tcW w:w="1276" w:type="dxa"/>
            <w:tcBorders>
              <w:top w:val="nil"/>
              <w:left w:val="nil"/>
              <w:bottom w:val="single" w:sz="8" w:space="0" w:color="auto"/>
              <w:right w:val="single" w:sz="8" w:space="0" w:color="auto"/>
            </w:tcBorders>
            <w:shd w:val="clear" w:color="auto" w:fill="auto"/>
            <w:vAlign w:val="center"/>
            <w:hideMark/>
          </w:tcPr>
          <w:p w14:paraId="7227E72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0</w:t>
            </w:r>
          </w:p>
        </w:tc>
        <w:tc>
          <w:tcPr>
            <w:tcW w:w="1276" w:type="dxa"/>
            <w:tcBorders>
              <w:top w:val="nil"/>
              <w:left w:val="nil"/>
              <w:bottom w:val="single" w:sz="8" w:space="0" w:color="auto"/>
              <w:right w:val="single" w:sz="8" w:space="0" w:color="auto"/>
            </w:tcBorders>
            <w:shd w:val="clear" w:color="auto" w:fill="auto"/>
            <w:vAlign w:val="center"/>
            <w:hideMark/>
          </w:tcPr>
          <w:p w14:paraId="7FDB420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981847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351 920 598</w:t>
            </w:r>
          </w:p>
        </w:tc>
        <w:tc>
          <w:tcPr>
            <w:tcW w:w="992" w:type="dxa"/>
            <w:tcBorders>
              <w:top w:val="nil"/>
              <w:left w:val="nil"/>
              <w:bottom w:val="single" w:sz="8" w:space="0" w:color="auto"/>
              <w:right w:val="single" w:sz="8" w:space="0" w:color="auto"/>
            </w:tcBorders>
            <w:shd w:val="clear" w:color="auto" w:fill="auto"/>
            <w:vAlign w:val="center"/>
            <w:hideMark/>
          </w:tcPr>
          <w:p w14:paraId="18C4062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32BD03E"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351 920 598</w:t>
            </w:r>
          </w:p>
        </w:tc>
        <w:tc>
          <w:tcPr>
            <w:tcW w:w="1275" w:type="dxa"/>
            <w:tcBorders>
              <w:top w:val="nil"/>
              <w:left w:val="nil"/>
              <w:bottom w:val="single" w:sz="8" w:space="0" w:color="auto"/>
              <w:right w:val="single" w:sz="8" w:space="0" w:color="auto"/>
            </w:tcBorders>
            <w:shd w:val="clear" w:color="auto" w:fill="auto"/>
            <w:vAlign w:val="center"/>
            <w:hideMark/>
          </w:tcPr>
          <w:p w14:paraId="32E0B37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CE10CD5"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6480DC34"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w:t>
            </w:r>
          </w:p>
        </w:tc>
        <w:tc>
          <w:tcPr>
            <w:tcW w:w="2432" w:type="dxa"/>
            <w:tcBorders>
              <w:top w:val="nil"/>
              <w:left w:val="nil"/>
              <w:bottom w:val="single" w:sz="8" w:space="0" w:color="auto"/>
              <w:right w:val="single" w:sz="8" w:space="0" w:color="auto"/>
            </w:tcBorders>
            <w:shd w:val="clear" w:color="000000" w:fill="D9D9D9"/>
            <w:vAlign w:val="center"/>
            <w:hideMark/>
          </w:tcPr>
          <w:p w14:paraId="3E8CA70F"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Migration and Border Management</w:t>
            </w:r>
          </w:p>
        </w:tc>
        <w:tc>
          <w:tcPr>
            <w:tcW w:w="1276" w:type="dxa"/>
            <w:tcBorders>
              <w:top w:val="nil"/>
              <w:left w:val="nil"/>
              <w:bottom w:val="single" w:sz="8" w:space="0" w:color="auto"/>
              <w:right w:val="single" w:sz="8" w:space="0" w:color="auto"/>
            </w:tcBorders>
            <w:shd w:val="clear" w:color="000000" w:fill="D9D9D9"/>
            <w:vAlign w:val="center"/>
            <w:hideMark/>
          </w:tcPr>
          <w:p w14:paraId="34F1C11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4 776 530 747</w:t>
            </w:r>
          </w:p>
        </w:tc>
        <w:tc>
          <w:tcPr>
            <w:tcW w:w="1276" w:type="dxa"/>
            <w:tcBorders>
              <w:top w:val="nil"/>
              <w:left w:val="nil"/>
              <w:bottom w:val="single" w:sz="8" w:space="0" w:color="auto"/>
              <w:right w:val="single" w:sz="8" w:space="0" w:color="auto"/>
            </w:tcBorders>
            <w:shd w:val="clear" w:color="000000" w:fill="D9D9D9"/>
            <w:vAlign w:val="center"/>
            <w:hideMark/>
          </w:tcPr>
          <w:p w14:paraId="3988821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3 201 330 477</w:t>
            </w:r>
          </w:p>
        </w:tc>
        <w:tc>
          <w:tcPr>
            <w:tcW w:w="993" w:type="dxa"/>
            <w:tcBorders>
              <w:top w:val="nil"/>
              <w:left w:val="nil"/>
              <w:bottom w:val="single" w:sz="8" w:space="0" w:color="auto"/>
              <w:right w:val="single" w:sz="8" w:space="0" w:color="auto"/>
            </w:tcBorders>
            <w:shd w:val="clear" w:color="000000" w:fill="D9D9D9"/>
            <w:vAlign w:val="center"/>
            <w:hideMark/>
          </w:tcPr>
          <w:p w14:paraId="44F483A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2 617 277</w:t>
            </w:r>
          </w:p>
        </w:tc>
        <w:tc>
          <w:tcPr>
            <w:tcW w:w="992" w:type="dxa"/>
            <w:tcBorders>
              <w:top w:val="nil"/>
              <w:left w:val="nil"/>
              <w:bottom w:val="single" w:sz="8" w:space="0" w:color="auto"/>
              <w:right w:val="single" w:sz="8" w:space="0" w:color="auto"/>
            </w:tcBorders>
            <w:shd w:val="clear" w:color="000000" w:fill="D9D9D9"/>
            <w:vAlign w:val="center"/>
            <w:hideMark/>
          </w:tcPr>
          <w:p w14:paraId="736C685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2 617 277</w:t>
            </w:r>
          </w:p>
        </w:tc>
        <w:tc>
          <w:tcPr>
            <w:tcW w:w="1276" w:type="dxa"/>
            <w:tcBorders>
              <w:top w:val="nil"/>
              <w:left w:val="nil"/>
              <w:bottom w:val="single" w:sz="8" w:space="0" w:color="auto"/>
              <w:right w:val="single" w:sz="8" w:space="0" w:color="auto"/>
            </w:tcBorders>
            <w:shd w:val="clear" w:color="000000" w:fill="D9D9D9"/>
            <w:vAlign w:val="center"/>
            <w:hideMark/>
          </w:tcPr>
          <w:p w14:paraId="20EB283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4 779 148 024</w:t>
            </w:r>
          </w:p>
        </w:tc>
        <w:tc>
          <w:tcPr>
            <w:tcW w:w="1275" w:type="dxa"/>
            <w:tcBorders>
              <w:top w:val="nil"/>
              <w:left w:val="nil"/>
              <w:bottom w:val="single" w:sz="8" w:space="0" w:color="auto"/>
              <w:right w:val="single" w:sz="8" w:space="0" w:color="auto"/>
            </w:tcBorders>
            <w:shd w:val="clear" w:color="000000" w:fill="D9D9D9"/>
            <w:vAlign w:val="center"/>
            <w:hideMark/>
          </w:tcPr>
          <w:p w14:paraId="7873C888"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3 203 947 754</w:t>
            </w:r>
          </w:p>
        </w:tc>
      </w:tr>
      <w:tr w:rsidR="00C25694" w:rsidRPr="00C25694" w14:paraId="3EE9CC94"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B611EF"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53DACD66"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4 871 000 000</w:t>
            </w:r>
          </w:p>
        </w:tc>
        <w:tc>
          <w:tcPr>
            <w:tcW w:w="1276" w:type="dxa"/>
            <w:tcBorders>
              <w:top w:val="nil"/>
              <w:left w:val="nil"/>
              <w:bottom w:val="single" w:sz="8" w:space="0" w:color="auto"/>
              <w:right w:val="single" w:sz="8" w:space="0" w:color="auto"/>
            </w:tcBorders>
            <w:shd w:val="clear" w:color="auto" w:fill="auto"/>
            <w:vAlign w:val="center"/>
            <w:hideMark/>
          </w:tcPr>
          <w:p w14:paraId="0C06982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7407B854"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6737562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0F0850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4 871 000 000</w:t>
            </w:r>
          </w:p>
        </w:tc>
        <w:tc>
          <w:tcPr>
            <w:tcW w:w="1275" w:type="dxa"/>
            <w:tcBorders>
              <w:top w:val="nil"/>
              <w:left w:val="nil"/>
              <w:bottom w:val="single" w:sz="8" w:space="0" w:color="auto"/>
              <w:right w:val="single" w:sz="8" w:space="0" w:color="auto"/>
            </w:tcBorders>
            <w:shd w:val="clear" w:color="auto" w:fill="auto"/>
            <w:vAlign w:val="center"/>
            <w:hideMark/>
          </w:tcPr>
          <w:p w14:paraId="362B871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80E04C3"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5A1A1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5DA7B36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59A687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FA63BE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753E56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8938E6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7FCA1ED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3A006A9"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D95AA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59765EE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D2489C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DC695C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66C97C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F07BF2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273E145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412DAE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2C30D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2359E7A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B195CD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70C910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823C3D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F1C8E8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0593D9B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390CB7C"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65937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7DD6D5C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94 469 253</w:t>
            </w:r>
          </w:p>
        </w:tc>
        <w:tc>
          <w:tcPr>
            <w:tcW w:w="1276" w:type="dxa"/>
            <w:tcBorders>
              <w:top w:val="nil"/>
              <w:left w:val="nil"/>
              <w:bottom w:val="single" w:sz="8" w:space="0" w:color="auto"/>
              <w:right w:val="single" w:sz="8" w:space="0" w:color="auto"/>
            </w:tcBorders>
            <w:shd w:val="clear" w:color="auto" w:fill="auto"/>
            <w:vAlign w:val="center"/>
            <w:hideMark/>
          </w:tcPr>
          <w:p w14:paraId="35D4312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86F44D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-2 617 277</w:t>
            </w:r>
          </w:p>
        </w:tc>
        <w:tc>
          <w:tcPr>
            <w:tcW w:w="992" w:type="dxa"/>
            <w:tcBorders>
              <w:top w:val="nil"/>
              <w:left w:val="nil"/>
              <w:bottom w:val="single" w:sz="8" w:space="0" w:color="auto"/>
              <w:right w:val="single" w:sz="8" w:space="0" w:color="auto"/>
            </w:tcBorders>
            <w:shd w:val="clear" w:color="auto" w:fill="auto"/>
            <w:vAlign w:val="center"/>
            <w:hideMark/>
          </w:tcPr>
          <w:p w14:paraId="4FAFEBF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AFCBEC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91 851 976</w:t>
            </w:r>
          </w:p>
        </w:tc>
        <w:tc>
          <w:tcPr>
            <w:tcW w:w="1275" w:type="dxa"/>
            <w:tcBorders>
              <w:top w:val="nil"/>
              <w:left w:val="nil"/>
              <w:bottom w:val="single" w:sz="8" w:space="0" w:color="auto"/>
              <w:right w:val="single" w:sz="8" w:space="0" w:color="auto"/>
            </w:tcBorders>
            <w:shd w:val="clear" w:color="auto" w:fill="auto"/>
            <w:vAlign w:val="center"/>
            <w:hideMark/>
          </w:tcPr>
          <w:p w14:paraId="3D305DF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AAF25B3"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64DAFADC"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w:t>
            </w:r>
          </w:p>
        </w:tc>
        <w:tc>
          <w:tcPr>
            <w:tcW w:w="2432" w:type="dxa"/>
            <w:tcBorders>
              <w:top w:val="nil"/>
              <w:left w:val="nil"/>
              <w:bottom w:val="single" w:sz="8" w:space="0" w:color="auto"/>
              <w:right w:val="single" w:sz="8" w:space="0" w:color="auto"/>
            </w:tcBorders>
            <w:shd w:val="clear" w:color="000000" w:fill="D9D9D9"/>
            <w:vAlign w:val="center"/>
            <w:hideMark/>
          </w:tcPr>
          <w:p w14:paraId="3FD6A735"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Security and Defence</w:t>
            </w:r>
          </w:p>
        </w:tc>
        <w:tc>
          <w:tcPr>
            <w:tcW w:w="1276" w:type="dxa"/>
            <w:tcBorders>
              <w:top w:val="nil"/>
              <w:left w:val="nil"/>
              <w:bottom w:val="single" w:sz="8" w:space="0" w:color="auto"/>
              <w:right w:val="single" w:sz="8" w:space="0" w:color="auto"/>
            </w:tcBorders>
            <w:shd w:val="clear" w:color="000000" w:fill="D9D9D9"/>
            <w:vAlign w:val="center"/>
            <w:hideMark/>
          </w:tcPr>
          <w:p w14:paraId="28D97B9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2 617 000 000</w:t>
            </w:r>
          </w:p>
        </w:tc>
        <w:tc>
          <w:tcPr>
            <w:tcW w:w="1276" w:type="dxa"/>
            <w:tcBorders>
              <w:top w:val="nil"/>
              <w:left w:val="nil"/>
              <w:bottom w:val="single" w:sz="8" w:space="0" w:color="auto"/>
              <w:right w:val="single" w:sz="8" w:space="0" w:color="auto"/>
            </w:tcBorders>
            <w:shd w:val="clear" w:color="000000" w:fill="D9D9D9"/>
            <w:vAlign w:val="center"/>
            <w:hideMark/>
          </w:tcPr>
          <w:p w14:paraId="3A661EF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2 128 565 434</w:t>
            </w:r>
          </w:p>
        </w:tc>
        <w:tc>
          <w:tcPr>
            <w:tcW w:w="993" w:type="dxa"/>
            <w:tcBorders>
              <w:top w:val="nil"/>
              <w:left w:val="nil"/>
              <w:bottom w:val="single" w:sz="8" w:space="0" w:color="auto"/>
              <w:right w:val="single" w:sz="8" w:space="0" w:color="auto"/>
            </w:tcBorders>
            <w:shd w:val="clear" w:color="000000" w:fill="D9D9D9"/>
            <w:vAlign w:val="center"/>
            <w:hideMark/>
          </w:tcPr>
          <w:p w14:paraId="7ABE2FB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4 589 260</w:t>
            </w:r>
          </w:p>
        </w:tc>
        <w:tc>
          <w:tcPr>
            <w:tcW w:w="992" w:type="dxa"/>
            <w:tcBorders>
              <w:top w:val="nil"/>
              <w:left w:val="nil"/>
              <w:bottom w:val="single" w:sz="8" w:space="0" w:color="auto"/>
              <w:right w:val="single" w:sz="8" w:space="0" w:color="auto"/>
            </w:tcBorders>
            <w:shd w:val="clear" w:color="000000" w:fill="D9D9D9"/>
            <w:vAlign w:val="center"/>
            <w:hideMark/>
          </w:tcPr>
          <w:p w14:paraId="6D3A28D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4 589 260</w:t>
            </w:r>
          </w:p>
        </w:tc>
        <w:tc>
          <w:tcPr>
            <w:tcW w:w="1276" w:type="dxa"/>
            <w:tcBorders>
              <w:top w:val="nil"/>
              <w:left w:val="nil"/>
              <w:bottom w:val="single" w:sz="8" w:space="0" w:color="auto"/>
              <w:right w:val="single" w:sz="8" w:space="0" w:color="auto"/>
            </w:tcBorders>
            <w:shd w:val="clear" w:color="000000" w:fill="D9D9D9"/>
            <w:vAlign w:val="center"/>
            <w:hideMark/>
          </w:tcPr>
          <w:p w14:paraId="6B3ECA4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2 621 589 260</w:t>
            </w:r>
          </w:p>
        </w:tc>
        <w:tc>
          <w:tcPr>
            <w:tcW w:w="1275" w:type="dxa"/>
            <w:tcBorders>
              <w:top w:val="nil"/>
              <w:left w:val="nil"/>
              <w:bottom w:val="single" w:sz="8" w:space="0" w:color="auto"/>
              <w:right w:val="single" w:sz="8" w:space="0" w:color="auto"/>
            </w:tcBorders>
            <w:shd w:val="clear" w:color="000000" w:fill="D9D9D9"/>
            <w:vAlign w:val="center"/>
            <w:hideMark/>
          </w:tcPr>
          <w:p w14:paraId="62E3DD56"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2 133 154 694</w:t>
            </w:r>
          </w:p>
        </w:tc>
      </w:tr>
      <w:tr w:rsidR="00C25694" w:rsidRPr="00C25694" w14:paraId="01F0CD0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462EBB"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7B7B623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2 617 000 000</w:t>
            </w:r>
          </w:p>
        </w:tc>
        <w:tc>
          <w:tcPr>
            <w:tcW w:w="1276" w:type="dxa"/>
            <w:tcBorders>
              <w:top w:val="nil"/>
              <w:left w:val="nil"/>
              <w:bottom w:val="single" w:sz="8" w:space="0" w:color="auto"/>
              <w:right w:val="single" w:sz="8" w:space="0" w:color="auto"/>
            </w:tcBorders>
            <w:shd w:val="clear" w:color="auto" w:fill="auto"/>
            <w:vAlign w:val="center"/>
            <w:hideMark/>
          </w:tcPr>
          <w:p w14:paraId="4773F79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6EDBEB5"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9BA0CB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186454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2 617 000 000</w:t>
            </w:r>
          </w:p>
        </w:tc>
        <w:tc>
          <w:tcPr>
            <w:tcW w:w="1275" w:type="dxa"/>
            <w:tcBorders>
              <w:top w:val="nil"/>
              <w:left w:val="nil"/>
              <w:bottom w:val="single" w:sz="8" w:space="0" w:color="auto"/>
              <w:right w:val="single" w:sz="8" w:space="0" w:color="auto"/>
            </w:tcBorders>
            <w:shd w:val="clear" w:color="auto" w:fill="auto"/>
            <w:vAlign w:val="center"/>
            <w:hideMark/>
          </w:tcPr>
          <w:p w14:paraId="771BD61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633CC0B"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F75B7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657BD13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A165A0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6880AE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4 589 260</w:t>
            </w:r>
          </w:p>
        </w:tc>
        <w:tc>
          <w:tcPr>
            <w:tcW w:w="992" w:type="dxa"/>
            <w:tcBorders>
              <w:top w:val="nil"/>
              <w:left w:val="nil"/>
              <w:bottom w:val="single" w:sz="8" w:space="0" w:color="auto"/>
              <w:right w:val="single" w:sz="8" w:space="0" w:color="auto"/>
            </w:tcBorders>
            <w:shd w:val="clear" w:color="auto" w:fill="auto"/>
            <w:vAlign w:val="center"/>
            <w:hideMark/>
          </w:tcPr>
          <w:p w14:paraId="4C17AD7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3659A3F"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4 589 260</w:t>
            </w:r>
          </w:p>
        </w:tc>
        <w:tc>
          <w:tcPr>
            <w:tcW w:w="1275" w:type="dxa"/>
            <w:tcBorders>
              <w:top w:val="nil"/>
              <w:left w:val="nil"/>
              <w:bottom w:val="single" w:sz="8" w:space="0" w:color="auto"/>
              <w:right w:val="single" w:sz="8" w:space="0" w:color="auto"/>
            </w:tcBorders>
            <w:shd w:val="clear" w:color="auto" w:fill="auto"/>
            <w:vAlign w:val="center"/>
            <w:hideMark/>
          </w:tcPr>
          <w:p w14:paraId="2BDB46B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A34F6ED"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27905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74DA663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98F9C9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57887C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4BFCEB0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0D1454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375CB26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B662D2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F1D64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44B78A6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045C5B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FBE188E"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AC0BFB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F8808A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10BFDBF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C148206"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E01C20"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75A3A60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2245EE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859F5D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E3A550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EDE139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28A34ED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16155BB1"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59CCD394"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6.</w:t>
            </w:r>
          </w:p>
        </w:tc>
        <w:tc>
          <w:tcPr>
            <w:tcW w:w="2432" w:type="dxa"/>
            <w:tcBorders>
              <w:top w:val="nil"/>
              <w:left w:val="nil"/>
              <w:bottom w:val="single" w:sz="8" w:space="0" w:color="auto"/>
              <w:right w:val="single" w:sz="8" w:space="0" w:color="auto"/>
            </w:tcBorders>
            <w:shd w:val="clear" w:color="000000" w:fill="D9D9D9"/>
            <w:vAlign w:val="center"/>
            <w:hideMark/>
          </w:tcPr>
          <w:p w14:paraId="21DDC5D6"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Neighbourhood and the World</w:t>
            </w:r>
          </w:p>
        </w:tc>
        <w:tc>
          <w:tcPr>
            <w:tcW w:w="1276" w:type="dxa"/>
            <w:tcBorders>
              <w:top w:val="nil"/>
              <w:left w:val="nil"/>
              <w:bottom w:val="single" w:sz="8" w:space="0" w:color="auto"/>
              <w:right w:val="single" w:sz="8" w:space="0" w:color="auto"/>
            </w:tcBorders>
            <w:shd w:val="clear" w:color="000000" w:fill="D9D9D9"/>
            <w:vAlign w:val="center"/>
            <w:hideMark/>
          </w:tcPr>
          <w:p w14:paraId="53FB59E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16 258 245 797</w:t>
            </w:r>
          </w:p>
        </w:tc>
        <w:tc>
          <w:tcPr>
            <w:tcW w:w="1276" w:type="dxa"/>
            <w:tcBorders>
              <w:top w:val="nil"/>
              <w:left w:val="nil"/>
              <w:bottom w:val="single" w:sz="8" w:space="0" w:color="auto"/>
              <w:right w:val="single" w:sz="8" w:space="0" w:color="auto"/>
            </w:tcBorders>
            <w:shd w:val="clear" w:color="000000" w:fill="D9D9D9"/>
            <w:vAlign w:val="center"/>
            <w:hideMark/>
          </w:tcPr>
          <w:p w14:paraId="6CB44DA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14 406 257 975</w:t>
            </w:r>
          </w:p>
        </w:tc>
        <w:tc>
          <w:tcPr>
            <w:tcW w:w="993" w:type="dxa"/>
            <w:tcBorders>
              <w:top w:val="nil"/>
              <w:left w:val="nil"/>
              <w:bottom w:val="single" w:sz="8" w:space="0" w:color="auto"/>
              <w:right w:val="single" w:sz="8" w:space="0" w:color="auto"/>
            </w:tcBorders>
            <w:shd w:val="clear" w:color="000000" w:fill="D9D9D9"/>
            <w:vAlign w:val="center"/>
            <w:hideMark/>
          </w:tcPr>
          <w:p w14:paraId="5C14DB7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D9D9D9"/>
            <w:vAlign w:val="center"/>
            <w:hideMark/>
          </w:tcPr>
          <w:p w14:paraId="273504C8"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D9D9D9"/>
            <w:vAlign w:val="center"/>
            <w:hideMark/>
          </w:tcPr>
          <w:p w14:paraId="3805333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16 258 245 797</w:t>
            </w:r>
          </w:p>
        </w:tc>
        <w:tc>
          <w:tcPr>
            <w:tcW w:w="1275" w:type="dxa"/>
            <w:tcBorders>
              <w:top w:val="nil"/>
              <w:left w:val="nil"/>
              <w:bottom w:val="single" w:sz="8" w:space="0" w:color="auto"/>
              <w:right w:val="single" w:sz="8" w:space="0" w:color="auto"/>
            </w:tcBorders>
            <w:shd w:val="clear" w:color="000000" w:fill="D9D9D9"/>
            <w:vAlign w:val="center"/>
            <w:hideMark/>
          </w:tcPr>
          <w:p w14:paraId="3A8B890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14 406 257 975</w:t>
            </w:r>
          </w:p>
        </w:tc>
      </w:tr>
      <w:tr w:rsidR="00C25694" w:rsidRPr="00C25694" w14:paraId="2293675A"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6B4FF8"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4BE7BF8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16 303 000 000</w:t>
            </w:r>
          </w:p>
        </w:tc>
        <w:tc>
          <w:tcPr>
            <w:tcW w:w="1276" w:type="dxa"/>
            <w:tcBorders>
              <w:top w:val="nil"/>
              <w:left w:val="nil"/>
              <w:bottom w:val="single" w:sz="8" w:space="0" w:color="auto"/>
              <w:right w:val="single" w:sz="8" w:space="0" w:color="auto"/>
            </w:tcBorders>
            <w:shd w:val="clear" w:color="auto" w:fill="auto"/>
            <w:vAlign w:val="center"/>
            <w:hideMark/>
          </w:tcPr>
          <w:p w14:paraId="14AC51A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31C432F4"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4EE38D9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ABB904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16 303 000 000</w:t>
            </w:r>
          </w:p>
        </w:tc>
        <w:tc>
          <w:tcPr>
            <w:tcW w:w="1275" w:type="dxa"/>
            <w:tcBorders>
              <w:top w:val="nil"/>
              <w:left w:val="nil"/>
              <w:bottom w:val="single" w:sz="8" w:space="0" w:color="auto"/>
              <w:right w:val="single" w:sz="8" w:space="0" w:color="auto"/>
            </w:tcBorders>
            <w:shd w:val="clear" w:color="auto" w:fill="auto"/>
            <w:vAlign w:val="center"/>
            <w:hideMark/>
          </w:tcPr>
          <w:p w14:paraId="5899E28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10280F0"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F09E2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28F0B37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5226A0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44B2B9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2D3586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0F2610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3D7FF5B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04EB98D"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19630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50F82C4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BC67C0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88FE34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30F7F2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48EAD6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609F09F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25074D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31281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33DCF53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3EB7410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746766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0539CEA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5B97FB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0866297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99D64AA"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057EA"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6959A21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44 754 203</w:t>
            </w:r>
          </w:p>
        </w:tc>
        <w:tc>
          <w:tcPr>
            <w:tcW w:w="1276" w:type="dxa"/>
            <w:tcBorders>
              <w:top w:val="nil"/>
              <w:left w:val="nil"/>
              <w:bottom w:val="single" w:sz="8" w:space="0" w:color="auto"/>
              <w:right w:val="single" w:sz="8" w:space="0" w:color="auto"/>
            </w:tcBorders>
            <w:shd w:val="clear" w:color="auto" w:fill="auto"/>
            <w:vAlign w:val="center"/>
            <w:hideMark/>
          </w:tcPr>
          <w:p w14:paraId="2EAC56C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488CA0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2EBB7D4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9C20DF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44 754 203</w:t>
            </w:r>
          </w:p>
        </w:tc>
        <w:tc>
          <w:tcPr>
            <w:tcW w:w="1275" w:type="dxa"/>
            <w:tcBorders>
              <w:top w:val="nil"/>
              <w:left w:val="nil"/>
              <w:bottom w:val="single" w:sz="8" w:space="0" w:color="auto"/>
              <w:right w:val="single" w:sz="8" w:space="0" w:color="auto"/>
            </w:tcBorders>
            <w:shd w:val="clear" w:color="auto" w:fill="auto"/>
            <w:vAlign w:val="center"/>
            <w:hideMark/>
          </w:tcPr>
          <w:p w14:paraId="549EC2A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93C127A"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562BC737"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7.</w:t>
            </w:r>
          </w:p>
        </w:tc>
        <w:tc>
          <w:tcPr>
            <w:tcW w:w="2432" w:type="dxa"/>
            <w:tcBorders>
              <w:top w:val="nil"/>
              <w:left w:val="nil"/>
              <w:bottom w:val="single" w:sz="8" w:space="0" w:color="auto"/>
              <w:right w:val="single" w:sz="8" w:space="0" w:color="auto"/>
            </w:tcBorders>
            <w:shd w:val="clear" w:color="000000" w:fill="D9D9D9"/>
            <w:vAlign w:val="center"/>
            <w:hideMark/>
          </w:tcPr>
          <w:p w14:paraId="688673AD"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European Public Administration</w:t>
            </w:r>
          </w:p>
        </w:tc>
        <w:tc>
          <w:tcPr>
            <w:tcW w:w="1276" w:type="dxa"/>
            <w:tcBorders>
              <w:top w:val="nil"/>
              <w:left w:val="nil"/>
              <w:bottom w:val="single" w:sz="8" w:space="0" w:color="auto"/>
              <w:right w:val="single" w:sz="8" w:space="0" w:color="auto"/>
            </w:tcBorders>
            <w:shd w:val="clear" w:color="000000" w:fill="D9D9D9"/>
            <w:vAlign w:val="center"/>
            <w:hideMark/>
          </w:tcPr>
          <w:p w14:paraId="0910A6D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12 614 361 450</w:t>
            </w:r>
          </w:p>
        </w:tc>
        <w:tc>
          <w:tcPr>
            <w:tcW w:w="1276" w:type="dxa"/>
            <w:tcBorders>
              <w:top w:val="nil"/>
              <w:left w:val="nil"/>
              <w:bottom w:val="single" w:sz="8" w:space="0" w:color="auto"/>
              <w:right w:val="single" w:sz="8" w:space="0" w:color="auto"/>
            </w:tcBorders>
            <w:shd w:val="clear" w:color="000000" w:fill="D9D9D9"/>
            <w:vAlign w:val="center"/>
            <w:hideMark/>
          </w:tcPr>
          <w:p w14:paraId="5EDE3F2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12 614 361 450</w:t>
            </w:r>
          </w:p>
        </w:tc>
        <w:tc>
          <w:tcPr>
            <w:tcW w:w="993" w:type="dxa"/>
            <w:tcBorders>
              <w:top w:val="nil"/>
              <w:left w:val="nil"/>
              <w:bottom w:val="single" w:sz="8" w:space="0" w:color="auto"/>
              <w:right w:val="single" w:sz="8" w:space="0" w:color="auto"/>
            </w:tcBorders>
            <w:shd w:val="clear" w:color="000000" w:fill="D9D9D9"/>
            <w:vAlign w:val="center"/>
            <w:hideMark/>
          </w:tcPr>
          <w:p w14:paraId="0F29B75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219 914 191</w:t>
            </w:r>
          </w:p>
        </w:tc>
        <w:tc>
          <w:tcPr>
            <w:tcW w:w="992" w:type="dxa"/>
            <w:tcBorders>
              <w:top w:val="nil"/>
              <w:left w:val="nil"/>
              <w:bottom w:val="single" w:sz="8" w:space="0" w:color="auto"/>
              <w:right w:val="single" w:sz="8" w:space="0" w:color="auto"/>
            </w:tcBorders>
            <w:shd w:val="clear" w:color="000000" w:fill="D9D9D9"/>
            <w:vAlign w:val="center"/>
            <w:hideMark/>
          </w:tcPr>
          <w:p w14:paraId="4E6AC42B"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219 914 191</w:t>
            </w:r>
          </w:p>
        </w:tc>
        <w:tc>
          <w:tcPr>
            <w:tcW w:w="1276" w:type="dxa"/>
            <w:tcBorders>
              <w:top w:val="nil"/>
              <w:left w:val="nil"/>
              <w:bottom w:val="single" w:sz="8" w:space="0" w:color="auto"/>
              <w:right w:val="single" w:sz="8" w:space="0" w:color="auto"/>
            </w:tcBorders>
            <w:shd w:val="clear" w:color="000000" w:fill="D9D9D9"/>
            <w:vAlign w:val="center"/>
            <w:hideMark/>
          </w:tcPr>
          <w:p w14:paraId="70F4775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12 834 275 641</w:t>
            </w:r>
          </w:p>
        </w:tc>
        <w:tc>
          <w:tcPr>
            <w:tcW w:w="1275" w:type="dxa"/>
            <w:tcBorders>
              <w:top w:val="nil"/>
              <w:left w:val="nil"/>
              <w:bottom w:val="single" w:sz="8" w:space="0" w:color="auto"/>
              <w:right w:val="single" w:sz="8" w:space="0" w:color="auto"/>
            </w:tcBorders>
            <w:shd w:val="clear" w:color="000000" w:fill="D9D9D9"/>
            <w:vAlign w:val="center"/>
            <w:hideMark/>
          </w:tcPr>
          <w:p w14:paraId="6D94318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12 834 275 641</w:t>
            </w:r>
          </w:p>
        </w:tc>
      </w:tr>
      <w:tr w:rsidR="00C25694" w:rsidRPr="00C25694" w14:paraId="37E8FE8B"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9DD2D3"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Ceiling</w:t>
            </w:r>
          </w:p>
        </w:tc>
        <w:tc>
          <w:tcPr>
            <w:tcW w:w="1276" w:type="dxa"/>
            <w:tcBorders>
              <w:top w:val="nil"/>
              <w:left w:val="nil"/>
              <w:bottom w:val="single" w:sz="8" w:space="0" w:color="auto"/>
              <w:right w:val="single" w:sz="8" w:space="0" w:color="auto"/>
            </w:tcBorders>
            <w:shd w:val="clear" w:color="auto" w:fill="auto"/>
            <w:vAlign w:val="center"/>
            <w:hideMark/>
          </w:tcPr>
          <w:p w14:paraId="01ADAFD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12 124 000 000</w:t>
            </w:r>
          </w:p>
        </w:tc>
        <w:tc>
          <w:tcPr>
            <w:tcW w:w="1276" w:type="dxa"/>
            <w:tcBorders>
              <w:top w:val="nil"/>
              <w:left w:val="nil"/>
              <w:bottom w:val="single" w:sz="8" w:space="0" w:color="auto"/>
              <w:right w:val="single" w:sz="8" w:space="0" w:color="auto"/>
            </w:tcBorders>
            <w:shd w:val="clear" w:color="auto" w:fill="auto"/>
            <w:vAlign w:val="center"/>
            <w:hideMark/>
          </w:tcPr>
          <w:p w14:paraId="7F3F6DA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3F5E4908" w14:textId="77777777" w:rsidR="00C25694" w:rsidRPr="00C25694" w:rsidRDefault="00C25694" w:rsidP="00C25694">
            <w:pPr>
              <w:spacing w:after="0" w:line="240" w:lineRule="auto"/>
              <w:jc w:val="right"/>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1F248CA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834A6D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12 124 000 000</w:t>
            </w:r>
          </w:p>
        </w:tc>
        <w:tc>
          <w:tcPr>
            <w:tcW w:w="1275" w:type="dxa"/>
            <w:tcBorders>
              <w:top w:val="nil"/>
              <w:left w:val="nil"/>
              <w:bottom w:val="single" w:sz="8" w:space="0" w:color="auto"/>
              <w:right w:val="single" w:sz="8" w:space="0" w:color="auto"/>
            </w:tcBorders>
            <w:shd w:val="clear" w:color="auto" w:fill="auto"/>
            <w:vAlign w:val="center"/>
            <w:hideMark/>
          </w:tcPr>
          <w:p w14:paraId="76F1DE4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298D3ED7"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79EF8B"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60E7613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788696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37402FC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3475578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4AADFE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7A5BA9C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4E6F0B5"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B08836"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51664BBE"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490 361 450</w:t>
            </w:r>
          </w:p>
        </w:tc>
        <w:tc>
          <w:tcPr>
            <w:tcW w:w="1276" w:type="dxa"/>
            <w:tcBorders>
              <w:top w:val="nil"/>
              <w:left w:val="nil"/>
              <w:bottom w:val="single" w:sz="8" w:space="0" w:color="auto"/>
              <w:right w:val="single" w:sz="8" w:space="0" w:color="auto"/>
            </w:tcBorders>
            <w:shd w:val="clear" w:color="auto" w:fill="auto"/>
            <w:vAlign w:val="center"/>
            <w:hideMark/>
          </w:tcPr>
          <w:p w14:paraId="5C74A6D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23178C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219 914 191</w:t>
            </w:r>
          </w:p>
        </w:tc>
        <w:tc>
          <w:tcPr>
            <w:tcW w:w="992" w:type="dxa"/>
            <w:tcBorders>
              <w:top w:val="nil"/>
              <w:left w:val="nil"/>
              <w:bottom w:val="single" w:sz="8" w:space="0" w:color="auto"/>
              <w:right w:val="single" w:sz="8" w:space="0" w:color="auto"/>
            </w:tcBorders>
            <w:shd w:val="clear" w:color="auto" w:fill="auto"/>
            <w:vAlign w:val="center"/>
            <w:hideMark/>
          </w:tcPr>
          <w:p w14:paraId="3EF20DC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70775B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710 275 641</w:t>
            </w:r>
          </w:p>
        </w:tc>
        <w:tc>
          <w:tcPr>
            <w:tcW w:w="1275" w:type="dxa"/>
            <w:tcBorders>
              <w:top w:val="nil"/>
              <w:left w:val="nil"/>
              <w:bottom w:val="single" w:sz="8" w:space="0" w:color="auto"/>
              <w:right w:val="single" w:sz="8" w:space="0" w:color="auto"/>
            </w:tcBorders>
            <w:shd w:val="clear" w:color="auto" w:fill="auto"/>
            <w:vAlign w:val="center"/>
            <w:hideMark/>
          </w:tcPr>
          <w:p w14:paraId="243AF57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75AB20E"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ACFE8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49ACA84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FBF961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73EDA6F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7F2BAEB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9D9AF7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3F2D491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0EDAB957"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6D98BA"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auto" w:fill="auto"/>
            <w:vAlign w:val="center"/>
            <w:hideMark/>
          </w:tcPr>
          <w:p w14:paraId="7089090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542B923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2695A8B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6755E2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FAAAFF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022CE1A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083A84E"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7804EC0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D9D9D9"/>
            <w:vAlign w:val="center"/>
            <w:hideMark/>
          </w:tcPr>
          <w:p w14:paraId="6FDF22C7" w14:textId="77777777" w:rsidR="00C25694" w:rsidRPr="00C25694" w:rsidRDefault="00C25694" w:rsidP="00C25694">
            <w:pPr>
              <w:spacing w:after="0" w:line="240" w:lineRule="auto"/>
              <w:jc w:val="both"/>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Administrative expenditure of the institutions</w:t>
            </w:r>
          </w:p>
        </w:tc>
        <w:tc>
          <w:tcPr>
            <w:tcW w:w="1276" w:type="dxa"/>
            <w:tcBorders>
              <w:top w:val="nil"/>
              <w:left w:val="nil"/>
              <w:bottom w:val="single" w:sz="8" w:space="0" w:color="auto"/>
              <w:right w:val="single" w:sz="8" w:space="0" w:color="auto"/>
            </w:tcBorders>
            <w:shd w:val="clear" w:color="000000" w:fill="D9D9D9"/>
            <w:vAlign w:val="center"/>
            <w:hideMark/>
          </w:tcPr>
          <w:p w14:paraId="5E46178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9 561 979 384</w:t>
            </w:r>
          </w:p>
        </w:tc>
        <w:tc>
          <w:tcPr>
            <w:tcW w:w="1276" w:type="dxa"/>
            <w:tcBorders>
              <w:top w:val="nil"/>
              <w:left w:val="nil"/>
              <w:bottom w:val="single" w:sz="8" w:space="0" w:color="auto"/>
              <w:right w:val="single" w:sz="8" w:space="0" w:color="auto"/>
            </w:tcBorders>
            <w:shd w:val="clear" w:color="000000" w:fill="D9D9D9"/>
            <w:vAlign w:val="center"/>
            <w:hideMark/>
          </w:tcPr>
          <w:p w14:paraId="4200FA18"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9 561 979 384</w:t>
            </w:r>
          </w:p>
        </w:tc>
        <w:tc>
          <w:tcPr>
            <w:tcW w:w="993" w:type="dxa"/>
            <w:tcBorders>
              <w:top w:val="nil"/>
              <w:left w:val="nil"/>
              <w:bottom w:val="single" w:sz="8" w:space="0" w:color="auto"/>
              <w:right w:val="single" w:sz="8" w:space="0" w:color="auto"/>
            </w:tcBorders>
            <w:shd w:val="clear" w:color="000000" w:fill="D9D9D9"/>
            <w:vAlign w:val="center"/>
            <w:hideMark/>
          </w:tcPr>
          <w:p w14:paraId="3A874E1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147 751 601</w:t>
            </w:r>
          </w:p>
        </w:tc>
        <w:tc>
          <w:tcPr>
            <w:tcW w:w="992" w:type="dxa"/>
            <w:tcBorders>
              <w:top w:val="nil"/>
              <w:left w:val="nil"/>
              <w:bottom w:val="single" w:sz="8" w:space="0" w:color="auto"/>
              <w:right w:val="single" w:sz="8" w:space="0" w:color="auto"/>
            </w:tcBorders>
            <w:shd w:val="clear" w:color="000000" w:fill="D9D9D9"/>
            <w:vAlign w:val="center"/>
            <w:hideMark/>
          </w:tcPr>
          <w:p w14:paraId="73CB033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147 751 601</w:t>
            </w:r>
          </w:p>
        </w:tc>
        <w:tc>
          <w:tcPr>
            <w:tcW w:w="1276" w:type="dxa"/>
            <w:tcBorders>
              <w:top w:val="nil"/>
              <w:left w:val="nil"/>
              <w:bottom w:val="single" w:sz="8" w:space="0" w:color="auto"/>
              <w:right w:val="single" w:sz="8" w:space="0" w:color="auto"/>
            </w:tcBorders>
            <w:shd w:val="clear" w:color="000000" w:fill="D9D9D9"/>
            <w:vAlign w:val="center"/>
            <w:hideMark/>
          </w:tcPr>
          <w:p w14:paraId="4E467C4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9 709 730 985</w:t>
            </w:r>
          </w:p>
        </w:tc>
        <w:tc>
          <w:tcPr>
            <w:tcW w:w="1275" w:type="dxa"/>
            <w:tcBorders>
              <w:top w:val="nil"/>
              <w:left w:val="nil"/>
              <w:bottom w:val="single" w:sz="8" w:space="0" w:color="auto"/>
              <w:right w:val="single" w:sz="8" w:space="0" w:color="auto"/>
            </w:tcBorders>
            <w:shd w:val="clear" w:color="000000" w:fill="D9D9D9"/>
            <w:vAlign w:val="center"/>
            <w:hideMark/>
          </w:tcPr>
          <w:p w14:paraId="011A1426"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9 709 730 985</w:t>
            </w:r>
          </w:p>
        </w:tc>
      </w:tr>
      <w:tr w:rsidR="00C25694" w:rsidRPr="00C25694" w14:paraId="4937B3E3" w14:textId="77777777" w:rsidTr="00887BB8">
        <w:trPr>
          <w:trHeight w:val="255"/>
        </w:trPr>
        <w:tc>
          <w:tcPr>
            <w:tcW w:w="960" w:type="dxa"/>
            <w:tcBorders>
              <w:top w:val="nil"/>
              <w:left w:val="single" w:sz="8" w:space="0" w:color="auto"/>
              <w:bottom w:val="single" w:sz="8" w:space="0" w:color="auto"/>
              <w:right w:val="nil"/>
            </w:tcBorders>
            <w:shd w:val="clear" w:color="auto" w:fill="auto"/>
            <w:vAlign w:val="center"/>
            <w:hideMark/>
          </w:tcPr>
          <w:p w14:paraId="35DCA283"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auto" w:fill="auto"/>
            <w:vAlign w:val="center"/>
            <w:hideMark/>
          </w:tcPr>
          <w:p w14:paraId="6C53494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Sub-ceiling</w:t>
            </w:r>
          </w:p>
        </w:tc>
        <w:tc>
          <w:tcPr>
            <w:tcW w:w="1276" w:type="dxa"/>
            <w:tcBorders>
              <w:top w:val="nil"/>
              <w:left w:val="nil"/>
              <w:bottom w:val="single" w:sz="8" w:space="0" w:color="auto"/>
              <w:right w:val="single" w:sz="8" w:space="0" w:color="auto"/>
            </w:tcBorders>
            <w:shd w:val="clear" w:color="auto" w:fill="auto"/>
            <w:vAlign w:val="center"/>
            <w:hideMark/>
          </w:tcPr>
          <w:p w14:paraId="522F8395"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9 219 000 000</w:t>
            </w:r>
          </w:p>
        </w:tc>
        <w:tc>
          <w:tcPr>
            <w:tcW w:w="1276" w:type="dxa"/>
            <w:tcBorders>
              <w:top w:val="nil"/>
              <w:left w:val="nil"/>
              <w:bottom w:val="single" w:sz="8" w:space="0" w:color="auto"/>
              <w:right w:val="single" w:sz="8" w:space="0" w:color="auto"/>
            </w:tcBorders>
            <w:shd w:val="clear" w:color="auto" w:fill="auto"/>
            <w:vAlign w:val="center"/>
            <w:hideMark/>
          </w:tcPr>
          <w:p w14:paraId="03D7D3F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09EB15E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1AB405B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74C7D00"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9 219 000 000</w:t>
            </w:r>
          </w:p>
        </w:tc>
        <w:tc>
          <w:tcPr>
            <w:tcW w:w="1275" w:type="dxa"/>
            <w:tcBorders>
              <w:top w:val="nil"/>
              <w:left w:val="nil"/>
              <w:bottom w:val="single" w:sz="8" w:space="0" w:color="auto"/>
              <w:right w:val="single" w:sz="8" w:space="0" w:color="auto"/>
            </w:tcBorders>
            <w:shd w:val="clear" w:color="auto" w:fill="auto"/>
            <w:vAlign w:val="center"/>
            <w:hideMark/>
          </w:tcPr>
          <w:p w14:paraId="1C6426F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D731F35"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FCE35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Flexibility Instruments</w:t>
            </w:r>
          </w:p>
        </w:tc>
        <w:tc>
          <w:tcPr>
            <w:tcW w:w="1276" w:type="dxa"/>
            <w:tcBorders>
              <w:top w:val="nil"/>
              <w:left w:val="nil"/>
              <w:bottom w:val="single" w:sz="8" w:space="0" w:color="auto"/>
              <w:right w:val="single" w:sz="8" w:space="0" w:color="auto"/>
            </w:tcBorders>
            <w:shd w:val="clear" w:color="auto" w:fill="auto"/>
            <w:vAlign w:val="center"/>
            <w:hideMark/>
          </w:tcPr>
          <w:p w14:paraId="18AAF65F"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71BA6BF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7CC80DB"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1B7805F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6887A63"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1CCC1CA1"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08D3833"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81227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auto" w:fill="auto"/>
            <w:vAlign w:val="center"/>
            <w:hideMark/>
          </w:tcPr>
          <w:p w14:paraId="09145D38"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342 979 384</w:t>
            </w:r>
          </w:p>
        </w:tc>
        <w:tc>
          <w:tcPr>
            <w:tcW w:w="1276" w:type="dxa"/>
            <w:tcBorders>
              <w:top w:val="nil"/>
              <w:left w:val="nil"/>
              <w:bottom w:val="single" w:sz="8" w:space="0" w:color="auto"/>
              <w:right w:val="single" w:sz="8" w:space="0" w:color="auto"/>
            </w:tcBorders>
            <w:shd w:val="clear" w:color="auto" w:fill="auto"/>
            <w:vAlign w:val="center"/>
            <w:hideMark/>
          </w:tcPr>
          <w:p w14:paraId="6D48D7F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1E927939"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147 751 601</w:t>
            </w:r>
          </w:p>
        </w:tc>
        <w:tc>
          <w:tcPr>
            <w:tcW w:w="992" w:type="dxa"/>
            <w:tcBorders>
              <w:top w:val="nil"/>
              <w:left w:val="nil"/>
              <w:bottom w:val="single" w:sz="8" w:space="0" w:color="auto"/>
              <w:right w:val="single" w:sz="8" w:space="0" w:color="auto"/>
            </w:tcBorders>
            <w:shd w:val="clear" w:color="auto" w:fill="auto"/>
            <w:vAlign w:val="center"/>
            <w:hideMark/>
          </w:tcPr>
          <w:p w14:paraId="74414CA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0826B7C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490 730 985</w:t>
            </w:r>
          </w:p>
        </w:tc>
        <w:tc>
          <w:tcPr>
            <w:tcW w:w="1275" w:type="dxa"/>
            <w:tcBorders>
              <w:top w:val="nil"/>
              <w:left w:val="nil"/>
              <w:bottom w:val="single" w:sz="8" w:space="0" w:color="auto"/>
              <w:right w:val="single" w:sz="8" w:space="0" w:color="auto"/>
            </w:tcBorders>
            <w:shd w:val="clear" w:color="auto" w:fill="auto"/>
            <w:vAlign w:val="center"/>
            <w:hideMark/>
          </w:tcPr>
          <w:p w14:paraId="506512C0"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7F2B5F0A"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B1DE4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auto" w:fill="auto"/>
            <w:vAlign w:val="center"/>
            <w:hideMark/>
          </w:tcPr>
          <w:p w14:paraId="46AA581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10031B1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623310ED"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5C1D508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6BA8261C"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2CCAE7C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4672AE85" w14:textId="77777777" w:rsidTr="00887BB8">
        <w:trPr>
          <w:trHeight w:val="255"/>
        </w:trPr>
        <w:tc>
          <w:tcPr>
            <w:tcW w:w="960" w:type="dxa"/>
            <w:tcBorders>
              <w:top w:val="nil"/>
              <w:left w:val="single" w:sz="8" w:space="0" w:color="auto"/>
              <w:bottom w:val="single" w:sz="8" w:space="0" w:color="auto"/>
              <w:right w:val="nil"/>
            </w:tcBorders>
            <w:shd w:val="clear" w:color="auto" w:fill="auto"/>
            <w:vAlign w:val="center"/>
            <w:hideMark/>
          </w:tcPr>
          <w:p w14:paraId="3DE9EBF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auto" w:fill="auto"/>
            <w:vAlign w:val="center"/>
            <w:hideMark/>
          </w:tcPr>
          <w:p w14:paraId="520EE502"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Sub-margin</w:t>
            </w:r>
          </w:p>
        </w:tc>
        <w:tc>
          <w:tcPr>
            <w:tcW w:w="1276" w:type="dxa"/>
            <w:tcBorders>
              <w:top w:val="nil"/>
              <w:left w:val="nil"/>
              <w:bottom w:val="single" w:sz="8" w:space="0" w:color="auto"/>
              <w:right w:val="single" w:sz="8" w:space="0" w:color="auto"/>
            </w:tcBorders>
            <w:shd w:val="clear" w:color="auto" w:fill="auto"/>
            <w:vAlign w:val="center"/>
            <w:hideMark/>
          </w:tcPr>
          <w:p w14:paraId="20745BF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2AF9BFB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auto" w:fill="auto"/>
            <w:vAlign w:val="center"/>
            <w:hideMark/>
          </w:tcPr>
          <w:p w14:paraId="4A3CC24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auto" w:fill="auto"/>
            <w:vAlign w:val="center"/>
            <w:hideMark/>
          </w:tcPr>
          <w:p w14:paraId="17F5B566"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auto" w:fill="auto"/>
            <w:vAlign w:val="center"/>
            <w:hideMark/>
          </w:tcPr>
          <w:p w14:paraId="483CC5D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auto" w:fill="auto"/>
            <w:vAlign w:val="center"/>
            <w:hideMark/>
          </w:tcPr>
          <w:p w14:paraId="5E7EEDB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578B74C"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89DF5C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Appropriations for headings</w:t>
            </w:r>
          </w:p>
        </w:tc>
        <w:tc>
          <w:tcPr>
            <w:tcW w:w="1276" w:type="dxa"/>
            <w:tcBorders>
              <w:top w:val="nil"/>
              <w:left w:val="nil"/>
              <w:bottom w:val="single" w:sz="8" w:space="0" w:color="auto"/>
              <w:right w:val="single" w:sz="8" w:space="0" w:color="auto"/>
            </w:tcBorders>
            <w:shd w:val="clear" w:color="000000" w:fill="BFBFBF"/>
            <w:vAlign w:val="center"/>
            <w:hideMark/>
          </w:tcPr>
          <w:p w14:paraId="1EEA24B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193 046 943 023</w:t>
            </w:r>
          </w:p>
        </w:tc>
        <w:tc>
          <w:tcPr>
            <w:tcW w:w="1276" w:type="dxa"/>
            <w:tcBorders>
              <w:top w:val="nil"/>
              <w:left w:val="nil"/>
              <w:bottom w:val="single" w:sz="8" w:space="0" w:color="auto"/>
              <w:right w:val="single" w:sz="8" w:space="0" w:color="auto"/>
            </w:tcBorders>
            <w:shd w:val="clear" w:color="000000" w:fill="BFBFBF"/>
            <w:vAlign w:val="center"/>
            <w:hideMark/>
          </w:tcPr>
          <w:p w14:paraId="178E4E8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147 090 466 760</w:t>
            </w:r>
          </w:p>
        </w:tc>
        <w:tc>
          <w:tcPr>
            <w:tcW w:w="993" w:type="dxa"/>
            <w:tcBorders>
              <w:top w:val="nil"/>
              <w:left w:val="nil"/>
              <w:bottom w:val="single" w:sz="8" w:space="0" w:color="auto"/>
              <w:right w:val="single" w:sz="8" w:space="0" w:color="auto"/>
            </w:tcBorders>
            <w:shd w:val="clear" w:color="000000" w:fill="BFBFBF"/>
            <w:vAlign w:val="center"/>
            <w:hideMark/>
          </w:tcPr>
          <w:p w14:paraId="49675BA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-303 003 260</w:t>
            </w:r>
          </w:p>
        </w:tc>
        <w:tc>
          <w:tcPr>
            <w:tcW w:w="992" w:type="dxa"/>
            <w:tcBorders>
              <w:top w:val="nil"/>
              <w:left w:val="nil"/>
              <w:bottom w:val="single" w:sz="8" w:space="0" w:color="auto"/>
              <w:right w:val="single" w:sz="8" w:space="0" w:color="auto"/>
            </w:tcBorders>
            <w:shd w:val="clear" w:color="000000" w:fill="BFBFBF"/>
            <w:vAlign w:val="center"/>
            <w:hideMark/>
          </w:tcPr>
          <w:p w14:paraId="1D34AC0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2 656 996 740</w:t>
            </w:r>
          </w:p>
        </w:tc>
        <w:tc>
          <w:tcPr>
            <w:tcW w:w="1276" w:type="dxa"/>
            <w:tcBorders>
              <w:top w:val="nil"/>
              <w:left w:val="nil"/>
              <w:bottom w:val="single" w:sz="8" w:space="0" w:color="auto"/>
              <w:right w:val="single" w:sz="8" w:space="0" w:color="auto"/>
            </w:tcBorders>
            <w:shd w:val="clear" w:color="000000" w:fill="BFBFBF"/>
            <w:vAlign w:val="center"/>
            <w:hideMark/>
          </w:tcPr>
          <w:p w14:paraId="08B85A8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192 743 939 763</w:t>
            </w:r>
          </w:p>
        </w:tc>
        <w:tc>
          <w:tcPr>
            <w:tcW w:w="1275" w:type="dxa"/>
            <w:tcBorders>
              <w:top w:val="nil"/>
              <w:left w:val="nil"/>
              <w:bottom w:val="single" w:sz="8" w:space="0" w:color="auto"/>
              <w:right w:val="single" w:sz="8" w:space="0" w:color="auto"/>
            </w:tcBorders>
            <w:shd w:val="clear" w:color="000000" w:fill="BFBFBF"/>
            <w:vAlign w:val="center"/>
            <w:hideMark/>
          </w:tcPr>
          <w:p w14:paraId="237548DB"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149 747 463 500</w:t>
            </w:r>
          </w:p>
        </w:tc>
      </w:tr>
      <w:tr w:rsidR="00C25694" w:rsidRPr="00C25694" w14:paraId="488B9734" w14:textId="77777777" w:rsidTr="00887BB8">
        <w:trPr>
          <w:trHeight w:val="255"/>
        </w:trPr>
        <w:tc>
          <w:tcPr>
            <w:tcW w:w="960" w:type="dxa"/>
            <w:tcBorders>
              <w:top w:val="nil"/>
              <w:left w:val="single" w:sz="8" w:space="0" w:color="auto"/>
              <w:bottom w:val="single" w:sz="8" w:space="0" w:color="auto"/>
              <w:right w:val="nil"/>
            </w:tcBorders>
            <w:shd w:val="clear" w:color="000000" w:fill="F2F2F2"/>
            <w:vAlign w:val="center"/>
            <w:hideMark/>
          </w:tcPr>
          <w:p w14:paraId="631CD239"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F2F2F2"/>
            <w:vAlign w:val="center"/>
            <w:hideMark/>
          </w:tcPr>
          <w:p w14:paraId="63B9B8F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Of which under Flexibility Instrument</w:t>
            </w:r>
          </w:p>
        </w:tc>
        <w:tc>
          <w:tcPr>
            <w:tcW w:w="1276" w:type="dxa"/>
            <w:tcBorders>
              <w:top w:val="nil"/>
              <w:left w:val="nil"/>
              <w:bottom w:val="single" w:sz="8" w:space="0" w:color="auto"/>
              <w:right w:val="single" w:sz="8" w:space="0" w:color="auto"/>
            </w:tcBorders>
            <w:shd w:val="clear" w:color="000000" w:fill="F2F2F2"/>
            <w:vAlign w:val="center"/>
            <w:hideMark/>
          </w:tcPr>
          <w:p w14:paraId="66F9908E"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1 192 832 134</w:t>
            </w:r>
          </w:p>
        </w:tc>
        <w:tc>
          <w:tcPr>
            <w:tcW w:w="1276" w:type="dxa"/>
            <w:tcBorders>
              <w:top w:val="nil"/>
              <w:left w:val="nil"/>
              <w:bottom w:val="single" w:sz="8" w:space="0" w:color="auto"/>
              <w:right w:val="single" w:sz="8" w:space="0" w:color="auto"/>
            </w:tcBorders>
            <w:shd w:val="clear" w:color="000000" w:fill="F2F2F2"/>
            <w:vAlign w:val="center"/>
            <w:hideMark/>
          </w:tcPr>
          <w:p w14:paraId="0F2B739A"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1 457 791 145</w:t>
            </w:r>
          </w:p>
        </w:tc>
        <w:tc>
          <w:tcPr>
            <w:tcW w:w="993" w:type="dxa"/>
            <w:tcBorders>
              <w:top w:val="nil"/>
              <w:left w:val="nil"/>
              <w:bottom w:val="single" w:sz="8" w:space="0" w:color="auto"/>
              <w:right w:val="single" w:sz="8" w:space="0" w:color="auto"/>
            </w:tcBorders>
            <w:shd w:val="clear" w:color="000000" w:fill="F2F2F2"/>
            <w:vAlign w:val="center"/>
            <w:hideMark/>
          </w:tcPr>
          <w:p w14:paraId="10FE908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-82 393 325</w:t>
            </w:r>
          </w:p>
        </w:tc>
        <w:tc>
          <w:tcPr>
            <w:tcW w:w="992" w:type="dxa"/>
            <w:tcBorders>
              <w:top w:val="nil"/>
              <w:left w:val="nil"/>
              <w:bottom w:val="single" w:sz="8" w:space="0" w:color="auto"/>
              <w:right w:val="single" w:sz="8" w:space="0" w:color="auto"/>
            </w:tcBorders>
            <w:shd w:val="clear" w:color="000000" w:fill="F2F2F2"/>
            <w:vAlign w:val="center"/>
            <w:hideMark/>
          </w:tcPr>
          <w:p w14:paraId="10FB134A"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-82 393 325</w:t>
            </w:r>
          </w:p>
        </w:tc>
        <w:tc>
          <w:tcPr>
            <w:tcW w:w="1276" w:type="dxa"/>
            <w:tcBorders>
              <w:top w:val="nil"/>
              <w:left w:val="nil"/>
              <w:bottom w:val="single" w:sz="8" w:space="0" w:color="auto"/>
              <w:right w:val="single" w:sz="8" w:space="0" w:color="auto"/>
            </w:tcBorders>
            <w:shd w:val="clear" w:color="000000" w:fill="F2F2F2"/>
            <w:vAlign w:val="center"/>
            <w:hideMark/>
          </w:tcPr>
          <w:p w14:paraId="0B1FB09D"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1 110 438 809</w:t>
            </w:r>
          </w:p>
        </w:tc>
        <w:tc>
          <w:tcPr>
            <w:tcW w:w="1275" w:type="dxa"/>
            <w:tcBorders>
              <w:top w:val="nil"/>
              <w:left w:val="nil"/>
              <w:bottom w:val="single" w:sz="8" w:space="0" w:color="auto"/>
              <w:right w:val="single" w:sz="8" w:space="0" w:color="auto"/>
            </w:tcBorders>
            <w:shd w:val="clear" w:color="000000" w:fill="F2F2F2"/>
            <w:vAlign w:val="center"/>
            <w:hideMark/>
          </w:tcPr>
          <w:p w14:paraId="59C72963"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1 375 397 820</w:t>
            </w:r>
          </w:p>
        </w:tc>
      </w:tr>
      <w:tr w:rsidR="00C25694" w:rsidRPr="00C25694" w14:paraId="5373DC79" w14:textId="77777777" w:rsidTr="00887BB8">
        <w:trPr>
          <w:trHeight w:val="255"/>
        </w:trPr>
        <w:tc>
          <w:tcPr>
            <w:tcW w:w="960" w:type="dxa"/>
            <w:tcBorders>
              <w:top w:val="nil"/>
              <w:left w:val="single" w:sz="8" w:space="0" w:color="auto"/>
              <w:bottom w:val="single" w:sz="8" w:space="0" w:color="auto"/>
              <w:right w:val="nil"/>
            </w:tcBorders>
            <w:shd w:val="clear" w:color="000000" w:fill="F2F2F2"/>
            <w:vAlign w:val="center"/>
            <w:hideMark/>
          </w:tcPr>
          <w:p w14:paraId="2E34705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F2F2F2"/>
            <w:vAlign w:val="center"/>
            <w:hideMark/>
          </w:tcPr>
          <w:p w14:paraId="2CC7B51E"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 xml:space="preserve">Ceiling </w:t>
            </w:r>
          </w:p>
        </w:tc>
        <w:tc>
          <w:tcPr>
            <w:tcW w:w="1276" w:type="dxa"/>
            <w:tcBorders>
              <w:top w:val="nil"/>
              <w:left w:val="nil"/>
              <w:bottom w:val="single" w:sz="8" w:space="0" w:color="auto"/>
              <w:right w:val="single" w:sz="8" w:space="0" w:color="auto"/>
            </w:tcBorders>
            <w:shd w:val="clear" w:color="000000" w:fill="F2F2F2"/>
            <w:vAlign w:val="center"/>
            <w:hideMark/>
          </w:tcPr>
          <w:p w14:paraId="047C1A1E"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190 544 000 000</w:t>
            </w:r>
          </w:p>
        </w:tc>
        <w:tc>
          <w:tcPr>
            <w:tcW w:w="1276" w:type="dxa"/>
            <w:tcBorders>
              <w:top w:val="nil"/>
              <w:left w:val="nil"/>
              <w:bottom w:val="single" w:sz="8" w:space="0" w:color="auto"/>
              <w:right w:val="single" w:sz="8" w:space="0" w:color="auto"/>
            </w:tcBorders>
            <w:shd w:val="clear" w:color="000000" w:fill="F2F2F2"/>
            <w:vAlign w:val="center"/>
            <w:hideMark/>
          </w:tcPr>
          <w:p w14:paraId="280298B0"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175 378 000 000</w:t>
            </w:r>
          </w:p>
        </w:tc>
        <w:tc>
          <w:tcPr>
            <w:tcW w:w="993" w:type="dxa"/>
            <w:tcBorders>
              <w:top w:val="nil"/>
              <w:left w:val="nil"/>
              <w:bottom w:val="single" w:sz="8" w:space="0" w:color="auto"/>
              <w:right w:val="single" w:sz="8" w:space="0" w:color="auto"/>
            </w:tcBorders>
            <w:shd w:val="clear" w:color="000000" w:fill="F2F2F2"/>
            <w:vAlign w:val="center"/>
            <w:hideMark/>
          </w:tcPr>
          <w:p w14:paraId="06A85CBA"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F2F2F2"/>
            <w:vAlign w:val="center"/>
            <w:hideMark/>
          </w:tcPr>
          <w:p w14:paraId="03F9F54F"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F2F2F2"/>
            <w:vAlign w:val="center"/>
            <w:hideMark/>
          </w:tcPr>
          <w:p w14:paraId="274491D8"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190 544 000 000</w:t>
            </w:r>
          </w:p>
        </w:tc>
        <w:tc>
          <w:tcPr>
            <w:tcW w:w="1275" w:type="dxa"/>
            <w:tcBorders>
              <w:top w:val="nil"/>
              <w:left w:val="nil"/>
              <w:bottom w:val="single" w:sz="8" w:space="0" w:color="auto"/>
              <w:right w:val="single" w:sz="8" w:space="0" w:color="auto"/>
            </w:tcBorders>
            <w:shd w:val="clear" w:color="000000" w:fill="F2F2F2"/>
            <w:vAlign w:val="center"/>
            <w:hideMark/>
          </w:tcPr>
          <w:p w14:paraId="0C9BE383"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175 378 000 000</w:t>
            </w:r>
          </w:p>
        </w:tc>
      </w:tr>
      <w:tr w:rsidR="00C25694" w:rsidRPr="00C25694" w14:paraId="766E08D6"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EDDFD8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(a))</w:t>
            </w:r>
          </w:p>
        </w:tc>
        <w:tc>
          <w:tcPr>
            <w:tcW w:w="1276" w:type="dxa"/>
            <w:tcBorders>
              <w:top w:val="nil"/>
              <w:left w:val="nil"/>
              <w:bottom w:val="single" w:sz="8" w:space="0" w:color="auto"/>
              <w:right w:val="single" w:sz="8" w:space="0" w:color="auto"/>
            </w:tcBorders>
            <w:shd w:val="clear" w:color="000000" w:fill="F2F2F2"/>
            <w:vAlign w:val="center"/>
            <w:hideMark/>
          </w:tcPr>
          <w:p w14:paraId="4553E947"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490 361 450</w:t>
            </w:r>
          </w:p>
        </w:tc>
        <w:tc>
          <w:tcPr>
            <w:tcW w:w="1276" w:type="dxa"/>
            <w:tcBorders>
              <w:top w:val="nil"/>
              <w:left w:val="nil"/>
              <w:bottom w:val="single" w:sz="8" w:space="0" w:color="auto"/>
              <w:right w:val="single" w:sz="8" w:space="0" w:color="auto"/>
            </w:tcBorders>
            <w:shd w:val="clear" w:color="000000" w:fill="F2F2F2"/>
            <w:vAlign w:val="center"/>
            <w:hideMark/>
          </w:tcPr>
          <w:p w14:paraId="3F291C57"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000000" w:fill="F2F2F2"/>
            <w:vAlign w:val="center"/>
            <w:hideMark/>
          </w:tcPr>
          <w:p w14:paraId="2730FD63"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219 914 191</w:t>
            </w:r>
          </w:p>
        </w:tc>
        <w:tc>
          <w:tcPr>
            <w:tcW w:w="992" w:type="dxa"/>
            <w:tcBorders>
              <w:top w:val="nil"/>
              <w:left w:val="nil"/>
              <w:bottom w:val="single" w:sz="8" w:space="0" w:color="auto"/>
              <w:right w:val="single" w:sz="8" w:space="0" w:color="auto"/>
            </w:tcBorders>
            <w:shd w:val="clear" w:color="000000" w:fill="F2F2F2"/>
            <w:vAlign w:val="center"/>
            <w:hideMark/>
          </w:tcPr>
          <w:p w14:paraId="1D759942"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F2F2F2"/>
            <w:vAlign w:val="center"/>
            <w:hideMark/>
          </w:tcPr>
          <w:p w14:paraId="438527BB"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710 275 641</w:t>
            </w:r>
          </w:p>
        </w:tc>
        <w:tc>
          <w:tcPr>
            <w:tcW w:w="1275" w:type="dxa"/>
            <w:tcBorders>
              <w:top w:val="nil"/>
              <w:left w:val="nil"/>
              <w:bottom w:val="single" w:sz="8" w:space="0" w:color="auto"/>
              <w:right w:val="single" w:sz="8" w:space="0" w:color="auto"/>
            </w:tcBorders>
            <w:shd w:val="clear" w:color="000000" w:fill="F2F2F2"/>
            <w:vAlign w:val="center"/>
            <w:hideMark/>
          </w:tcPr>
          <w:p w14:paraId="665217F5"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662CBE16"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655FD1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Single Margin Instrument (Article 11(1) point (c))</w:t>
            </w:r>
          </w:p>
        </w:tc>
        <w:tc>
          <w:tcPr>
            <w:tcW w:w="1276" w:type="dxa"/>
            <w:tcBorders>
              <w:top w:val="nil"/>
              <w:left w:val="nil"/>
              <w:bottom w:val="single" w:sz="8" w:space="0" w:color="auto"/>
              <w:right w:val="single" w:sz="8" w:space="0" w:color="auto"/>
            </w:tcBorders>
            <w:shd w:val="clear" w:color="000000" w:fill="F2F2F2"/>
            <w:vAlign w:val="center"/>
            <w:hideMark/>
          </w:tcPr>
          <w:p w14:paraId="5BDB453A"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F2F2F2"/>
            <w:vAlign w:val="center"/>
            <w:hideMark/>
          </w:tcPr>
          <w:p w14:paraId="05FBB53D"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3" w:type="dxa"/>
            <w:tcBorders>
              <w:top w:val="nil"/>
              <w:left w:val="nil"/>
              <w:bottom w:val="single" w:sz="8" w:space="0" w:color="auto"/>
              <w:right w:val="single" w:sz="8" w:space="0" w:color="auto"/>
            </w:tcBorders>
            <w:shd w:val="clear" w:color="000000" w:fill="F2F2F2"/>
            <w:vAlign w:val="center"/>
            <w:hideMark/>
          </w:tcPr>
          <w:p w14:paraId="24649F9B"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F2F2F2"/>
            <w:vAlign w:val="center"/>
            <w:hideMark/>
          </w:tcPr>
          <w:p w14:paraId="434BCADC"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F2F2F2"/>
            <w:vAlign w:val="center"/>
            <w:hideMark/>
          </w:tcPr>
          <w:p w14:paraId="4DB233A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1275" w:type="dxa"/>
            <w:tcBorders>
              <w:top w:val="nil"/>
              <w:left w:val="nil"/>
              <w:bottom w:val="single" w:sz="8" w:space="0" w:color="auto"/>
              <w:right w:val="single" w:sz="8" w:space="0" w:color="auto"/>
            </w:tcBorders>
            <w:shd w:val="clear" w:color="000000" w:fill="F2F2F2"/>
            <w:vAlign w:val="center"/>
            <w:hideMark/>
          </w:tcPr>
          <w:p w14:paraId="4875B1A4"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r>
      <w:tr w:rsidR="00C25694" w:rsidRPr="00C25694" w14:paraId="5B7145CF"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5D85463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of which under EURI Instrument</w:t>
            </w:r>
          </w:p>
        </w:tc>
        <w:tc>
          <w:tcPr>
            <w:tcW w:w="1276" w:type="dxa"/>
            <w:tcBorders>
              <w:top w:val="nil"/>
              <w:left w:val="nil"/>
              <w:bottom w:val="single" w:sz="8" w:space="0" w:color="auto"/>
              <w:right w:val="single" w:sz="8" w:space="0" w:color="auto"/>
            </w:tcBorders>
            <w:shd w:val="clear" w:color="000000" w:fill="F2F2F2"/>
            <w:vAlign w:val="center"/>
            <w:hideMark/>
          </w:tcPr>
          <w:p w14:paraId="5CE32E87"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1 239 082 096</w:t>
            </w:r>
          </w:p>
        </w:tc>
        <w:tc>
          <w:tcPr>
            <w:tcW w:w="1276" w:type="dxa"/>
            <w:tcBorders>
              <w:top w:val="nil"/>
              <w:left w:val="nil"/>
              <w:bottom w:val="single" w:sz="8" w:space="0" w:color="auto"/>
              <w:right w:val="single" w:sz="8" w:space="0" w:color="auto"/>
            </w:tcBorders>
            <w:shd w:val="clear" w:color="000000" w:fill="F2F2F2"/>
            <w:vAlign w:val="center"/>
            <w:hideMark/>
          </w:tcPr>
          <w:p w14:paraId="127CD1A1"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1 239 082 096</w:t>
            </w:r>
          </w:p>
        </w:tc>
        <w:tc>
          <w:tcPr>
            <w:tcW w:w="993" w:type="dxa"/>
            <w:tcBorders>
              <w:top w:val="nil"/>
              <w:left w:val="nil"/>
              <w:bottom w:val="single" w:sz="8" w:space="0" w:color="auto"/>
              <w:right w:val="single" w:sz="8" w:space="0" w:color="auto"/>
            </w:tcBorders>
            <w:shd w:val="clear" w:color="000000" w:fill="F2F2F2"/>
            <w:vAlign w:val="center"/>
            <w:hideMark/>
          </w:tcPr>
          <w:p w14:paraId="5982C622"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-97 500 000</w:t>
            </w:r>
          </w:p>
        </w:tc>
        <w:tc>
          <w:tcPr>
            <w:tcW w:w="992" w:type="dxa"/>
            <w:tcBorders>
              <w:top w:val="nil"/>
              <w:left w:val="nil"/>
              <w:bottom w:val="single" w:sz="8" w:space="0" w:color="auto"/>
              <w:right w:val="single" w:sz="8" w:space="0" w:color="auto"/>
            </w:tcBorders>
            <w:shd w:val="clear" w:color="000000" w:fill="F2F2F2"/>
            <w:vAlign w:val="center"/>
            <w:hideMark/>
          </w:tcPr>
          <w:p w14:paraId="08F7EC7C"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-97 500 000</w:t>
            </w:r>
          </w:p>
        </w:tc>
        <w:tc>
          <w:tcPr>
            <w:tcW w:w="1276" w:type="dxa"/>
            <w:tcBorders>
              <w:top w:val="nil"/>
              <w:left w:val="nil"/>
              <w:bottom w:val="single" w:sz="8" w:space="0" w:color="auto"/>
              <w:right w:val="single" w:sz="8" w:space="0" w:color="auto"/>
            </w:tcBorders>
            <w:shd w:val="clear" w:color="000000" w:fill="F2F2F2"/>
            <w:vAlign w:val="center"/>
            <w:hideMark/>
          </w:tcPr>
          <w:p w14:paraId="2A37F444"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1 141 582 096</w:t>
            </w:r>
          </w:p>
        </w:tc>
        <w:tc>
          <w:tcPr>
            <w:tcW w:w="1275" w:type="dxa"/>
            <w:tcBorders>
              <w:top w:val="nil"/>
              <w:left w:val="nil"/>
              <w:bottom w:val="single" w:sz="8" w:space="0" w:color="auto"/>
              <w:right w:val="single" w:sz="8" w:space="0" w:color="auto"/>
            </w:tcBorders>
            <w:shd w:val="clear" w:color="000000" w:fill="F2F2F2"/>
            <w:vAlign w:val="center"/>
            <w:hideMark/>
          </w:tcPr>
          <w:p w14:paraId="3FA2966A" w14:textId="77777777" w:rsidR="00C25694" w:rsidRPr="00C25694" w:rsidRDefault="00C25694" w:rsidP="00C25694">
            <w:pPr>
              <w:spacing w:after="0" w:line="240" w:lineRule="auto"/>
              <w:jc w:val="right"/>
              <w:rPr>
                <w:rFonts w:ascii="Times New Roman" w:eastAsia="Times New Roman" w:hAnsi="Times New Roman" w:cs="Times New Roman"/>
                <w:i/>
                <w:iCs/>
                <w:noProof/>
                <w:kern w:val="0"/>
                <w:sz w:val="16"/>
                <w:szCs w:val="16"/>
                <w:lang w:val="en-GB" w:eastAsia="en-GB"/>
                <w14:ligatures w14:val="none"/>
              </w:rPr>
            </w:pPr>
            <w:r w:rsidRPr="00C25694">
              <w:rPr>
                <w:rFonts w:ascii="Times New Roman" w:eastAsia="Times New Roman" w:hAnsi="Times New Roman" w:cs="Times New Roman"/>
                <w:i/>
                <w:iCs/>
                <w:noProof/>
                <w:kern w:val="0"/>
                <w:sz w:val="16"/>
                <w:szCs w:val="16"/>
                <w:lang w:val="en-GB" w:eastAsia="en-GB"/>
                <w14:ligatures w14:val="none"/>
              </w:rPr>
              <w:t>1 141 582 096</w:t>
            </w:r>
          </w:p>
        </w:tc>
      </w:tr>
      <w:tr w:rsidR="00C25694" w:rsidRPr="00C25694" w14:paraId="12FCDEE0" w14:textId="77777777" w:rsidTr="00887BB8">
        <w:trPr>
          <w:trHeight w:val="255"/>
        </w:trPr>
        <w:tc>
          <w:tcPr>
            <w:tcW w:w="960" w:type="dxa"/>
            <w:tcBorders>
              <w:top w:val="nil"/>
              <w:left w:val="single" w:sz="8" w:space="0" w:color="auto"/>
              <w:bottom w:val="single" w:sz="8" w:space="0" w:color="auto"/>
              <w:right w:val="nil"/>
            </w:tcBorders>
            <w:shd w:val="clear" w:color="000000" w:fill="F2F2F2"/>
            <w:vAlign w:val="center"/>
            <w:hideMark/>
          </w:tcPr>
          <w:p w14:paraId="23900638"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F2F2F2"/>
            <w:vAlign w:val="center"/>
            <w:hideMark/>
          </w:tcPr>
          <w:p w14:paraId="674B5B0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Margin</w:t>
            </w:r>
          </w:p>
        </w:tc>
        <w:tc>
          <w:tcPr>
            <w:tcW w:w="1276" w:type="dxa"/>
            <w:tcBorders>
              <w:top w:val="nil"/>
              <w:left w:val="nil"/>
              <w:bottom w:val="single" w:sz="8" w:space="0" w:color="auto"/>
              <w:right w:val="single" w:sz="8" w:space="0" w:color="auto"/>
            </w:tcBorders>
            <w:shd w:val="clear" w:color="000000" w:fill="F2F2F2"/>
            <w:vAlign w:val="center"/>
            <w:hideMark/>
          </w:tcPr>
          <w:p w14:paraId="50EFD65C"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419 332 657</w:t>
            </w:r>
          </w:p>
        </w:tc>
        <w:tc>
          <w:tcPr>
            <w:tcW w:w="1276" w:type="dxa"/>
            <w:tcBorders>
              <w:top w:val="nil"/>
              <w:left w:val="nil"/>
              <w:bottom w:val="single" w:sz="8" w:space="0" w:color="auto"/>
              <w:right w:val="single" w:sz="8" w:space="0" w:color="auto"/>
            </w:tcBorders>
            <w:shd w:val="clear" w:color="000000" w:fill="F2F2F2"/>
            <w:vAlign w:val="center"/>
            <w:hideMark/>
          </w:tcPr>
          <w:p w14:paraId="1BFF77D1"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30 984 406 481</w:t>
            </w:r>
          </w:p>
        </w:tc>
        <w:tc>
          <w:tcPr>
            <w:tcW w:w="993" w:type="dxa"/>
            <w:tcBorders>
              <w:top w:val="nil"/>
              <w:left w:val="nil"/>
              <w:bottom w:val="single" w:sz="8" w:space="0" w:color="auto"/>
              <w:right w:val="single" w:sz="8" w:space="0" w:color="auto"/>
            </w:tcBorders>
            <w:shd w:val="clear" w:color="000000" w:fill="F2F2F2"/>
            <w:vAlign w:val="center"/>
            <w:hideMark/>
          </w:tcPr>
          <w:p w14:paraId="32A45216"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343 024 126</w:t>
            </w:r>
          </w:p>
        </w:tc>
        <w:tc>
          <w:tcPr>
            <w:tcW w:w="992" w:type="dxa"/>
            <w:tcBorders>
              <w:top w:val="nil"/>
              <w:left w:val="nil"/>
              <w:bottom w:val="single" w:sz="8" w:space="0" w:color="auto"/>
              <w:right w:val="single" w:sz="8" w:space="0" w:color="auto"/>
            </w:tcBorders>
            <w:shd w:val="clear" w:color="000000" w:fill="F2F2F2"/>
            <w:vAlign w:val="center"/>
            <w:hideMark/>
          </w:tcPr>
          <w:p w14:paraId="64EDE291"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-2 836 890 065</w:t>
            </w:r>
          </w:p>
        </w:tc>
        <w:tc>
          <w:tcPr>
            <w:tcW w:w="1276" w:type="dxa"/>
            <w:tcBorders>
              <w:top w:val="nil"/>
              <w:left w:val="nil"/>
              <w:bottom w:val="single" w:sz="8" w:space="0" w:color="auto"/>
              <w:right w:val="single" w:sz="8" w:space="0" w:color="auto"/>
            </w:tcBorders>
            <w:shd w:val="clear" w:color="000000" w:fill="F2F2F2"/>
            <w:vAlign w:val="center"/>
            <w:hideMark/>
          </w:tcPr>
          <w:p w14:paraId="1519C6F2"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762 356 783</w:t>
            </w:r>
          </w:p>
        </w:tc>
        <w:tc>
          <w:tcPr>
            <w:tcW w:w="1275" w:type="dxa"/>
            <w:tcBorders>
              <w:top w:val="nil"/>
              <w:left w:val="nil"/>
              <w:bottom w:val="single" w:sz="8" w:space="0" w:color="auto"/>
              <w:right w:val="single" w:sz="8" w:space="0" w:color="auto"/>
            </w:tcBorders>
            <w:shd w:val="clear" w:color="000000" w:fill="F2F2F2"/>
            <w:vAlign w:val="center"/>
            <w:hideMark/>
          </w:tcPr>
          <w:p w14:paraId="18F1E578" w14:textId="77777777" w:rsidR="00C25694" w:rsidRPr="00C25694" w:rsidRDefault="00C25694" w:rsidP="00C25694">
            <w:pPr>
              <w:spacing w:after="0" w:line="240" w:lineRule="auto"/>
              <w:jc w:val="right"/>
              <w:rPr>
                <w:rFonts w:ascii="Times New Roman" w:eastAsia="Times New Roman" w:hAnsi="Times New Roman" w:cs="Times New Roman"/>
                <w:b/>
                <w:bCs/>
                <w:i/>
                <w:iCs/>
                <w:noProof/>
                <w:kern w:val="0"/>
                <w:sz w:val="16"/>
                <w:szCs w:val="16"/>
                <w:lang w:val="en-GB" w:eastAsia="en-GB"/>
                <w14:ligatures w14:val="none"/>
              </w:rPr>
            </w:pPr>
            <w:r w:rsidRPr="00C25694">
              <w:rPr>
                <w:rFonts w:ascii="Times New Roman" w:eastAsia="Times New Roman" w:hAnsi="Times New Roman" w:cs="Times New Roman"/>
                <w:b/>
                <w:bCs/>
                <w:i/>
                <w:iCs/>
                <w:noProof/>
                <w:kern w:val="0"/>
                <w:sz w:val="16"/>
                <w:szCs w:val="16"/>
                <w:lang w:val="en-GB" w:eastAsia="en-GB"/>
                <w14:ligatures w14:val="none"/>
              </w:rPr>
              <w:t>28 147 516 416</w:t>
            </w:r>
          </w:p>
        </w:tc>
      </w:tr>
      <w:tr w:rsidR="00C25694" w:rsidRPr="00C25694" w14:paraId="4A9962DA"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9FEE64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Appropriations as % of GNI</w:t>
            </w:r>
          </w:p>
        </w:tc>
        <w:tc>
          <w:tcPr>
            <w:tcW w:w="1276" w:type="dxa"/>
            <w:tcBorders>
              <w:top w:val="nil"/>
              <w:left w:val="nil"/>
              <w:bottom w:val="single" w:sz="8" w:space="0" w:color="auto"/>
              <w:right w:val="single" w:sz="8" w:space="0" w:color="auto"/>
            </w:tcBorders>
            <w:shd w:val="clear" w:color="000000" w:fill="BFBFBF"/>
            <w:vAlign w:val="center"/>
            <w:hideMark/>
          </w:tcPr>
          <w:p w14:paraId="12D526C2"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1,05%</w:t>
            </w:r>
          </w:p>
        </w:tc>
        <w:tc>
          <w:tcPr>
            <w:tcW w:w="1276" w:type="dxa"/>
            <w:tcBorders>
              <w:top w:val="nil"/>
              <w:left w:val="nil"/>
              <w:bottom w:val="single" w:sz="8" w:space="0" w:color="auto"/>
              <w:right w:val="single" w:sz="8" w:space="0" w:color="auto"/>
            </w:tcBorders>
            <w:shd w:val="clear" w:color="000000" w:fill="BFBFBF"/>
            <w:vAlign w:val="center"/>
            <w:hideMark/>
          </w:tcPr>
          <w:p w14:paraId="163CA8B6"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0,80%</w:t>
            </w:r>
          </w:p>
        </w:tc>
        <w:tc>
          <w:tcPr>
            <w:tcW w:w="993" w:type="dxa"/>
            <w:tcBorders>
              <w:top w:val="nil"/>
              <w:left w:val="nil"/>
              <w:bottom w:val="single" w:sz="8" w:space="0" w:color="auto"/>
              <w:right w:val="single" w:sz="8" w:space="0" w:color="auto"/>
            </w:tcBorders>
            <w:shd w:val="clear" w:color="000000" w:fill="BFBFBF"/>
            <w:vAlign w:val="center"/>
            <w:hideMark/>
          </w:tcPr>
          <w:p w14:paraId="3021057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BFBFBF"/>
            <w:vAlign w:val="center"/>
            <w:hideMark/>
          </w:tcPr>
          <w:p w14:paraId="7DDC6F2A"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BFBFBF"/>
            <w:vAlign w:val="center"/>
            <w:hideMark/>
          </w:tcPr>
          <w:p w14:paraId="0CA1878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1,05%</w:t>
            </w:r>
          </w:p>
        </w:tc>
        <w:tc>
          <w:tcPr>
            <w:tcW w:w="1275" w:type="dxa"/>
            <w:tcBorders>
              <w:top w:val="nil"/>
              <w:left w:val="nil"/>
              <w:bottom w:val="single" w:sz="8" w:space="0" w:color="auto"/>
              <w:right w:val="single" w:sz="8" w:space="0" w:color="auto"/>
            </w:tcBorders>
            <w:shd w:val="clear" w:color="000000" w:fill="BFBFBF"/>
            <w:vAlign w:val="center"/>
            <w:hideMark/>
          </w:tcPr>
          <w:p w14:paraId="2BD94E3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0,80%</w:t>
            </w:r>
          </w:p>
        </w:tc>
      </w:tr>
      <w:tr w:rsidR="00C25694" w:rsidRPr="00C25694" w14:paraId="09B5BAF0" w14:textId="77777777" w:rsidTr="00887BB8">
        <w:trPr>
          <w:trHeight w:val="255"/>
        </w:trPr>
        <w:tc>
          <w:tcPr>
            <w:tcW w:w="960" w:type="dxa"/>
            <w:tcBorders>
              <w:top w:val="nil"/>
              <w:left w:val="single" w:sz="8" w:space="0" w:color="auto"/>
              <w:bottom w:val="single" w:sz="8" w:space="0" w:color="auto"/>
              <w:right w:val="nil"/>
            </w:tcBorders>
            <w:shd w:val="clear" w:color="000000" w:fill="D9D9D9"/>
            <w:vAlign w:val="center"/>
            <w:hideMark/>
          </w:tcPr>
          <w:p w14:paraId="79720FBF" w14:textId="77777777" w:rsidR="00C25694" w:rsidRPr="00C25694" w:rsidRDefault="00C25694" w:rsidP="00C25694">
            <w:pPr>
              <w:spacing w:after="0" w:line="240" w:lineRule="auto"/>
              <w:jc w:val="both"/>
              <w:rPr>
                <w:rFonts w:ascii="Times New Roman" w:eastAsia="Times New Roman" w:hAnsi="Times New Roman" w:cs="Times New Roman"/>
                <w:noProof/>
                <w:kern w:val="0"/>
                <w:sz w:val="16"/>
                <w:szCs w:val="16"/>
                <w:lang w:val="en-GB" w:eastAsia="en-GB"/>
                <w14:ligatures w14:val="none"/>
              </w:rPr>
            </w:pPr>
            <w:r w:rsidRPr="00C25694">
              <w:rPr>
                <w:rFonts w:ascii="Times New Roman" w:eastAsia="Times New Roman" w:hAnsi="Times New Roman" w:cs="Times New Roman"/>
                <w:noProof/>
                <w:kern w:val="0"/>
                <w:sz w:val="16"/>
                <w:szCs w:val="16"/>
                <w:lang w:val="en-GB" w:eastAsia="en-GB"/>
                <w14:ligatures w14:val="none"/>
              </w:rPr>
              <w:t> </w:t>
            </w:r>
          </w:p>
        </w:tc>
        <w:tc>
          <w:tcPr>
            <w:tcW w:w="2432" w:type="dxa"/>
            <w:tcBorders>
              <w:top w:val="nil"/>
              <w:left w:val="nil"/>
              <w:bottom w:val="single" w:sz="8" w:space="0" w:color="auto"/>
              <w:right w:val="single" w:sz="8" w:space="0" w:color="auto"/>
            </w:tcBorders>
            <w:shd w:val="clear" w:color="000000" w:fill="D9D9D9"/>
            <w:vAlign w:val="center"/>
            <w:hideMark/>
          </w:tcPr>
          <w:p w14:paraId="27D30853"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Thematic special instruments</w:t>
            </w:r>
          </w:p>
        </w:tc>
        <w:tc>
          <w:tcPr>
            <w:tcW w:w="1276" w:type="dxa"/>
            <w:tcBorders>
              <w:top w:val="nil"/>
              <w:left w:val="nil"/>
              <w:bottom w:val="single" w:sz="8" w:space="0" w:color="auto"/>
              <w:right w:val="single" w:sz="8" w:space="0" w:color="auto"/>
            </w:tcBorders>
            <w:shd w:val="clear" w:color="000000" w:fill="D9D9D9"/>
            <w:vAlign w:val="center"/>
            <w:hideMark/>
          </w:tcPr>
          <w:p w14:paraId="65F32E65"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6 669 866 079</w:t>
            </w:r>
          </w:p>
        </w:tc>
        <w:tc>
          <w:tcPr>
            <w:tcW w:w="1276" w:type="dxa"/>
            <w:tcBorders>
              <w:top w:val="nil"/>
              <w:left w:val="nil"/>
              <w:bottom w:val="single" w:sz="8" w:space="0" w:color="auto"/>
              <w:right w:val="single" w:sz="8" w:space="0" w:color="auto"/>
            </w:tcBorders>
            <w:shd w:val="clear" w:color="000000" w:fill="D9D9D9"/>
            <w:vAlign w:val="center"/>
            <w:hideMark/>
          </w:tcPr>
          <w:p w14:paraId="3D47B527"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5 593 595 842</w:t>
            </w:r>
          </w:p>
        </w:tc>
        <w:tc>
          <w:tcPr>
            <w:tcW w:w="993" w:type="dxa"/>
            <w:tcBorders>
              <w:top w:val="nil"/>
              <w:left w:val="nil"/>
              <w:bottom w:val="single" w:sz="8" w:space="0" w:color="auto"/>
              <w:right w:val="single" w:sz="8" w:space="0" w:color="auto"/>
            </w:tcBorders>
            <w:shd w:val="clear" w:color="000000" w:fill="D9D9D9"/>
            <w:vAlign w:val="center"/>
            <w:hideMark/>
          </w:tcPr>
          <w:p w14:paraId="02FD788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992" w:type="dxa"/>
            <w:tcBorders>
              <w:top w:val="nil"/>
              <w:left w:val="nil"/>
              <w:bottom w:val="single" w:sz="8" w:space="0" w:color="auto"/>
              <w:right w:val="single" w:sz="8" w:space="0" w:color="auto"/>
            </w:tcBorders>
            <w:shd w:val="clear" w:color="000000" w:fill="D9D9D9"/>
            <w:vAlign w:val="center"/>
            <w:hideMark/>
          </w:tcPr>
          <w:p w14:paraId="51069BD4"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w:t>
            </w:r>
          </w:p>
        </w:tc>
        <w:tc>
          <w:tcPr>
            <w:tcW w:w="1276" w:type="dxa"/>
            <w:tcBorders>
              <w:top w:val="nil"/>
              <w:left w:val="nil"/>
              <w:bottom w:val="single" w:sz="8" w:space="0" w:color="auto"/>
              <w:right w:val="single" w:sz="8" w:space="0" w:color="auto"/>
            </w:tcBorders>
            <w:shd w:val="clear" w:color="000000" w:fill="D9D9D9"/>
            <w:vAlign w:val="center"/>
            <w:hideMark/>
          </w:tcPr>
          <w:p w14:paraId="0594EF5C"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6 669 866 079</w:t>
            </w:r>
          </w:p>
        </w:tc>
        <w:tc>
          <w:tcPr>
            <w:tcW w:w="1275" w:type="dxa"/>
            <w:tcBorders>
              <w:top w:val="nil"/>
              <w:left w:val="nil"/>
              <w:bottom w:val="single" w:sz="8" w:space="0" w:color="auto"/>
              <w:right w:val="single" w:sz="8" w:space="0" w:color="auto"/>
            </w:tcBorders>
            <w:shd w:val="clear" w:color="000000" w:fill="D9D9D9"/>
            <w:vAlign w:val="center"/>
            <w:hideMark/>
          </w:tcPr>
          <w:p w14:paraId="3DAF50A6"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5 593 595 842</w:t>
            </w:r>
          </w:p>
        </w:tc>
      </w:tr>
      <w:tr w:rsidR="00C25694" w:rsidRPr="00C25694" w14:paraId="5C20E4BC" w14:textId="77777777" w:rsidTr="00887BB8">
        <w:trPr>
          <w:trHeight w:val="255"/>
        </w:trPr>
        <w:tc>
          <w:tcPr>
            <w:tcW w:w="339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1BD1395E"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 xml:space="preserve">Total appropriations </w:t>
            </w:r>
          </w:p>
        </w:tc>
        <w:tc>
          <w:tcPr>
            <w:tcW w:w="1276" w:type="dxa"/>
            <w:tcBorders>
              <w:top w:val="nil"/>
              <w:left w:val="nil"/>
              <w:bottom w:val="single" w:sz="8" w:space="0" w:color="auto"/>
              <w:right w:val="single" w:sz="8" w:space="0" w:color="auto"/>
            </w:tcBorders>
            <w:shd w:val="clear" w:color="000000" w:fill="BFBFBF"/>
            <w:vAlign w:val="center"/>
            <w:hideMark/>
          </w:tcPr>
          <w:p w14:paraId="44929D1F"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199 716 809 102</w:t>
            </w:r>
          </w:p>
        </w:tc>
        <w:tc>
          <w:tcPr>
            <w:tcW w:w="1276" w:type="dxa"/>
            <w:tcBorders>
              <w:top w:val="nil"/>
              <w:left w:val="nil"/>
              <w:bottom w:val="single" w:sz="8" w:space="0" w:color="auto"/>
              <w:right w:val="single" w:sz="8" w:space="0" w:color="auto"/>
            </w:tcBorders>
            <w:shd w:val="clear" w:color="000000" w:fill="BFBFBF"/>
            <w:vAlign w:val="center"/>
            <w:hideMark/>
          </w:tcPr>
          <w:p w14:paraId="47A27D29"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152 684 062 602</w:t>
            </w:r>
          </w:p>
        </w:tc>
        <w:tc>
          <w:tcPr>
            <w:tcW w:w="993" w:type="dxa"/>
            <w:tcBorders>
              <w:top w:val="nil"/>
              <w:left w:val="nil"/>
              <w:bottom w:val="single" w:sz="8" w:space="0" w:color="auto"/>
              <w:right w:val="single" w:sz="8" w:space="0" w:color="auto"/>
            </w:tcBorders>
            <w:shd w:val="clear" w:color="000000" w:fill="BFBFBF"/>
            <w:vAlign w:val="center"/>
            <w:hideMark/>
          </w:tcPr>
          <w:p w14:paraId="3FA8720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-303 003 260</w:t>
            </w:r>
          </w:p>
        </w:tc>
        <w:tc>
          <w:tcPr>
            <w:tcW w:w="992" w:type="dxa"/>
            <w:tcBorders>
              <w:top w:val="nil"/>
              <w:left w:val="nil"/>
              <w:bottom w:val="single" w:sz="8" w:space="0" w:color="auto"/>
              <w:right w:val="single" w:sz="8" w:space="0" w:color="auto"/>
            </w:tcBorders>
            <w:shd w:val="clear" w:color="000000" w:fill="BFBFBF"/>
            <w:vAlign w:val="center"/>
            <w:hideMark/>
          </w:tcPr>
          <w:p w14:paraId="3C2A3740"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2 656 996 740</w:t>
            </w:r>
          </w:p>
        </w:tc>
        <w:tc>
          <w:tcPr>
            <w:tcW w:w="1276" w:type="dxa"/>
            <w:tcBorders>
              <w:top w:val="nil"/>
              <w:left w:val="nil"/>
              <w:bottom w:val="single" w:sz="8" w:space="0" w:color="auto"/>
              <w:right w:val="single" w:sz="8" w:space="0" w:color="auto"/>
            </w:tcBorders>
            <w:shd w:val="clear" w:color="000000" w:fill="BFBFBF"/>
            <w:vAlign w:val="center"/>
            <w:hideMark/>
          </w:tcPr>
          <w:p w14:paraId="3A967681"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199 413 805 842</w:t>
            </w:r>
          </w:p>
        </w:tc>
        <w:tc>
          <w:tcPr>
            <w:tcW w:w="1275" w:type="dxa"/>
            <w:tcBorders>
              <w:top w:val="nil"/>
              <w:left w:val="nil"/>
              <w:bottom w:val="single" w:sz="8" w:space="0" w:color="auto"/>
              <w:right w:val="single" w:sz="8" w:space="0" w:color="auto"/>
            </w:tcBorders>
            <w:shd w:val="clear" w:color="000000" w:fill="BFBFBF"/>
            <w:vAlign w:val="center"/>
            <w:hideMark/>
          </w:tcPr>
          <w:p w14:paraId="394D0E0D" w14:textId="77777777" w:rsidR="00C25694" w:rsidRPr="00C25694" w:rsidRDefault="00C25694" w:rsidP="00C25694">
            <w:pPr>
              <w:spacing w:after="0" w:line="240" w:lineRule="auto"/>
              <w:jc w:val="right"/>
              <w:rPr>
                <w:rFonts w:ascii="Times New Roman" w:eastAsia="Times New Roman" w:hAnsi="Times New Roman" w:cs="Times New Roman"/>
                <w:b/>
                <w:bCs/>
                <w:noProof/>
                <w:kern w:val="0"/>
                <w:sz w:val="16"/>
                <w:szCs w:val="16"/>
                <w:lang w:val="en-GB" w:eastAsia="en-GB"/>
                <w14:ligatures w14:val="none"/>
              </w:rPr>
            </w:pPr>
            <w:r w:rsidRPr="00C25694">
              <w:rPr>
                <w:rFonts w:ascii="Times New Roman" w:eastAsia="Times New Roman" w:hAnsi="Times New Roman" w:cs="Times New Roman"/>
                <w:b/>
                <w:bCs/>
                <w:noProof/>
                <w:kern w:val="0"/>
                <w:sz w:val="16"/>
                <w:szCs w:val="16"/>
                <w:lang w:val="en-GB" w:eastAsia="en-GB"/>
                <w14:ligatures w14:val="none"/>
              </w:rPr>
              <w:t>155 341 059 342</w:t>
            </w:r>
          </w:p>
        </w:tc>
      </w:tr>
    </w:tbl>
    <w:p w14:paraId="5349AD84" w14:textId="3E5ED5E6" w:rsidR="00A91CF6" w:rsidRPr="007116BC" w:rsidRDefault="00A91CF6" w:rsidP="00D02086">
      <w:pPr>
        <w:rPr>
          <w:rFonts w:ascii="Times New Roman" w:hAnsi="Times New Roman" w:cs="Times New Roman"/>
          <w:noProof/>
        </w:rPr>
      </w:pPr>
    </w:p>
    <w:sectPr w:rsidR="00A91CF6" w:rsidRPr="007116BC" w:rsidSect="00D02086">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426" w:left="1021" w:header="280"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1145" w14:textId="77777777" w:rsidR="00A91CF6" w:rsidRDefault="00A91CF6" w:rsidP="00A91CF6">
      <w:pPr>
        <w:spacing w:after="0" w:line="240" w:lineRule="auto"/>
      </w:pPr>
      <w:r>
        <w:separator/>
      </w:r>
    </w:p>
  </w:endnote>
  <w:endnote w:type="continuationSeparator" w:id="0">
    <w:p w14:paraId="5352C0F2" w14:textId="77777777" w:rsidR="00A91CF6" w:rsidRDefault="00A91CF6" w:rsidP="00A9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KOJOD P+ Adv T T 5843c 57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ADCD" w14:textId="4683893F" w:rsidR="00F56755" w:rsidRPr="00F56755" w:rsidRDefault="00F56755" w:rsidP="00F56755">
    <w:pPr>
      <w:pStyle w:val="FooterCoverPage"/>
      <w:rPr>
        <w:rFonts w:ascii="Arial" w:hAnsi="Arial" w:cs="Arial"/>
        <w:b/>
        <w:sz w:val="48"/>
      </w:rPr>
    </w:pPr>
    <w:r w:rsidRPr="00F56755">
      <w:rPr>
        <w:rFonts w:ascii="Arial" w:hAnsi="Arial" w:cs="Arial"/>
        <w:b/>
        <w:sz w:val="48"/>
      </w:rPr>
      <w:t>EN</w:t>
    </w:r>
    <w:r w:rsidRPr="00F56755">
      <w:rPr>
        <w:rFonts w:ascii="Arial" w:hAnsi="Arial" w:cs="Arial"/>
        <w:b/>
        <w:sz w:val="48"/>
      </w:rPr>
      <w:tab/>
    </w:r>
    <w:r w:rsidRPr="00F56755">
      <w:rPr>
        <w:rFonts w:ascii="Arial" w:hAnsi="Arial" w:cs="Arial"/>
        <w:b/>
        <w:sz w:val="48"/>
      </w:rPr>
      <w:tab/>
    </w:r>
    <w:r w:rsidRPr="00F56755">
      <w:tab/>
    </w:r>
    <w:r w:rsidRPr="00F5675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4E62" w14:textId="44E60927" w:rsidR="00F56755" w:rsidRPr="00F56755" w:rsidRDefault="00F56755" w:rsidP="00F56755">
    <w:pPr>
      <w:pStyle w:val="FooterCoverPage"/>
      <w:rPr>
        <w:rFonts w:ascii="Arial" w:hAnsi="Arial" w:cs="Arial"/>
        <w:b/>
        <w:sz w:val="48"/>
      </w:rPr>
    </w:pPr>
    <w:r w:rsidRPr="00F56755">
      <w:rPr>
        <w:rFonts w:ascii="Arial" w:hAnsi="Arial" w:cs="Arial"/>
        <w:b/>
        <w:sz w:val="48"/>
      </w:rPr>
      <w:t>EN</w:t>
    </w:r>
    <w:r w:rsidRPr="00F56755">
      <w:rPr>
        <w:rFonts w:ascii="Arial" w:hAnsi="Arial" w:cs="Arial"/>
        <w:b/>
        <w:sz w:val="48"/>
      </w:rPr>
      <w:tab/>
    </w:r>
    <w:r w:rsidRPr="00F56755">
      <w:rPr>
        <w:rFonts w:ascii="Arial" w:hAnsi="Arial" w:cs="Arial"/>
        <w:b/>
        <w:sz w:val="48"/>
      </w:rPr>
      <w:tab/>
    </w:r>
    <w:r w:rsidRPr="00F56755">
      <w:tab/>
    </w:r>
    <w:r w:rsidRPr="00F5675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9F7C" w14:textId="77777777" w:rsidR="00F56755" w:rsidRPr="00F56755" w:rsidRDefault="00F56755" w:rsidP="00F5675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8A9B" w14:textId="77777777" w:rsidR="00C55629" w:rsidRDefault="00C556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1407" w14:textId="105B0473" w:rsidR="00C55629" w:rsidRPr="00C97E3E" w:rsidRDefault="00C55629">
    <w:pPr>
      <w:pStyle w:val="Footer"/>
      <w:ind w:left="-851" w:right="-851"/>
      <w:rPr>
        <w:rFonts w:ascii="Times New Roman" w:hAnsi="Times New Roman" w:cs="Times New Roman"/>
        <w:b/>
        <w:sz w:val="20"/>
        <w:szCs w:val="20"/>
      </w:rPr>
    </w:pPr>
    <w:r>
      <w:rPr>
        <w:rFonts w:ascii="Arial" w:hAnsi="Arial" w:cs="Arial"/>
        <w:b/>
        <w:sz w:val="48"/>
      </w:rPr>
      <w:tab/>
    </w:r>
    <w:r w:rsidRPr="00C97E3E">
      <w:rPr>
        <w:rFonts w:ascii="Times New Roman" w:hAnsi="Times New Roman" w:cs="Times New Roman"/>
        <w:color w:val="2B579A"/>
        <w:sz w:val="20"/>
        <w:szCs w:val="20"/>
      </w:rPr>
      <w:fldChar w:fldCharType="begin"/>
    </w:r>
    <w:r w:rsidRPr="00C97E3E">
      <w:rPr>
        <w:rFonts w:ascii="Times New Roman" w:hAnsi="Times New Roman" w:cs="Times New Roman"/>
        <w:sz w:val="20"/>
        <w:szCs w:val="20"/>
      </w:rPr>
      <w:instrText xml:space="preserve"> PAGE  \* MERGEFORMAT </w:instrText>
    </w:r>
    <w:r w:rsidRPr="00C97E3E">
      <w:rPr>
        <w:rFonts w:ascii="Times New Roman" w:hAnsi="Times New Roman" w:cs="Times New Roman"/>
        <w:color w:val="2B579A"/>
        <w:sz w:val="20"/>
        <w:szCs w:val="20"/>
      </w:rPr>
      <w:fldChar w:fldCharType="separate"/>
    </w:r>
    <w:r w:rsidR="00F56755">
      <w:rPr>
        <w:rFonts w:ascii="Times New Roman" w:hAnsi="Times New Roman" w:cs="Times New Roman"/>
        <w:noProof/>
        <w:sz w:val="20"/>
        <w:szCs w:val="20"/>
      </w:rPr>
      <w:t>1</w:t>
    </w:r>
    <w:r w:rsidRPr="00C97E3E">
      <w:rPr>
        <w:rFonts w:ascii="Times New Roman" w:hAnsi="Times New Roman" w:cs="Times New Roman"/>
        <w:noProof/>
        <w:color w:val="2B579A"/>
        <w:sz w:val="20"/>
        <w:szCs w:val="20"/>
      </w:rPr>
      <w:fldChar w:fldCharType="end"/>
    </w:r>
    <w:r w:rsidRPr="00C97E3E">
      <w:rPr>
        <w:rFonts w:ascii="Times New Roman" w:hAnsi="Times New Roman" w:cs="Times New Roman"/>
        <w:sz w:val="20"/>
        <w:szCs w:val="20"/>
      </w:rPr>
      <w:tab/>
    </w:r>
    <w:r w:rsidRPr="00C97E3E">
      <w:rPr>
        <w:rFonts w:ascii="Times New Roman" w:hAnsi="Times New Roman" w:cs="Times New Roman"/>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EA62" w14:textId="77777777" w:rsidR="00C55629" w:rsidRDefault="00C556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1512" w14:textId="77777777" w:rsidR="00887BB8" w:rsidRDefault="00887B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EAEA" w14:textId="7F951932" w:rsidR="00887BB8" w:rsidRPr="00C97E3E" w:rsidRDefault="00887BB8" w:rsidP="00C97E3E">
    <w:pPr>
      <w:pStyle w:val="Footer"/>
      <w:tabs>
        <w:tab w:val="clear" w:pos="4513"/>
        <w:tab w:val="center" w:pos="5040"/>
      </w:tabs>
      <w:spacing w:before="120" w:after="120"/>
      <w:ind w:left="-851" w:right="-851"/>
      <w:rPr>
        <w:rFonts w:ascii="Times New Roman" w:hAnsi="Times New Roman" w:cs="Times New Roman"/>
        <w:b/>
        <w:sz w:val="20"/>
        <w:szCs w:val="20"/>
      </w:rPr>
    </w:pPr>
    <w:r>
      <w:rPr>
        <w:rFonts w:ascii="Arial" w:hAnsi="Arial" w:cs="Arial"/>
        <w:b/>
        <w:sz w:val="48"/>
      </w:rPr>
      <w:tab/>
    </w:r>
    <w:r w:rsidRPr="00C97E3E">
      <w:rPr>
        <w:rFonts w:ascii="Times New Roman" w:hAnsi="Times New Roman" w:cs="Times New Roman"/>
        <w:color w:val="2B579A"/>
        <w:sz w:val="20"/>
        <w:szCs w:val="20"/>
      </w:rPr>
      <w:fldChar w:fldCharType="begin"/>
    </w:r>
    <w:r w:rsidRPr="00C97E3E">
      <w:rPr>
        <w:rFonts w:ascii="Times New Roman" w:hAnsi="Times New Roman" w:cs="Times New Roman"/>
        <w:sz w:val="20"/>
        <w:szCs w:val="20"/>
      </w:rPr>
      <w:instrText xml:space="preserve"> PAGE  \* MERGEFORMAT </w:instrText>
    </w:r>
    <w:r w:rsidRPr="00C97E3E">
      <w:rPr>
        <w:rFonts w:ascii="Times New Roman" w:hAnsi="Times New Roman" w:cs="Times New Roman"/>
        <w:color w:val="2B579A"/>
        <w:sz w:val="20"/>
        <w:szCs w:val="20"/>
      </w:rPr>
      <w:fldChar w:fldCharType="separate"/>
    </w:r>
    <w:r w:rsidR="00F56755">
      <w:rPr>
        <w:rFonts w:ascii="Times New Roman" w:hAnsi="Times New Roman" w:cs="Times New Roman"/>
        <w:noProof/>
        <w:sz w:val="20"/>
        <w:szCs w:val="20"/>
      </w:rPr>
      <w:t>2</w:t>
    </w:r>
    <w:r w:rsidRPr="00C97E3E">
      <w:rPr>
        <w:rFonts w:ascii="Times New Roman" w:hAnsi="Times New Roman" w:cs="Times New Roman"/>
        <w:noProof/>
        <w:color w:val="2B579A"/>
        <w:sz w:val="20"/>
        <w:szCs w:val="20"/>
      </w:rPr>
      <w:fldChar w:fldCharType="end"/>
    </w:r>
    <w:r w:rsidRPr="00C97E3E">
      <w:rPr>
        <w:rFonts w:ascii="Times New Roman" w:hAnsi="Times New Roman" w:cs="Times New Roman"/>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0D26" w14:textId="77777777" w:rsidR="00887BB8" w:rsidRDefault="0088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DA08" w14:textId="77777777" w:rsidR="00A91CF6" w:rsidRDefault="00A91CF6" w:rsidP="00A91CF6">
      <w:pPr>
        <w:spacing w:after="0" w:line="240" w:lineRule="auto"/>
      </w:pPr>
      <w:r>
        <w:separator/>
      </w:r>
    </w:p>
  </w:footnote>
  <w:footnote w:type="continuationSeparator" w:id="0">
    <w:p w14:paraId="5AEAA426" w14:textId="77777777" w:rsidR="00A91CF6" w:rsidRDefault="00A91CF6" w:rsidP="00A91CF6">
      <w:pPr>
        <w:spacing w:after="0" w:line="240" w:lineRule="auto"/>
      </w:pPr>
      <w:r>
        <w:continuationSeparator/>
      </w:r>
    </w:p>
  </w:footnote>
  <w:footnote w:id="1">
    <w:p w14:paraId="050FF0C3" w14:textId="77777777" w:rsidR="00C55629" w:rsidRDefault="00C55629" w:rsidP="00C55629">
      <w:pPr>
        <w:pStyle w:val="FootnoteText"/>
        <w:rPr>
          <w:lang w:val="en-GB"/>
        </w:rPr>
      </w:pPr>
      <w:r>
        <w:rPr>
          <w:rStyle w:val="FootnoteReference"/>
        </w:rPr>
        <w:footnoteRef/>
      </w:r>
      <w:r>
        <w:rPr>
          <w:lang w:val="en-GB"/>
        </w:rPr>
        <w:t xml:space="preserve"> </w:t>
      </w:r>
      <w:r>
        <w:rPr>
          <w:lang w:val="en-GB"/>
        </w:rPr>
        <w:tab/>
        <w:t>Council Decision (EU, Euratom) 2020/2053 of 14 December 2020 on the system of own resources of the European Union and repealing Decision 2014/335/EU, Euratom, OJ L 424, 15.12.2020.</w:t>
      </w:r>
    </w:p>
  </w:footnote>
  <w:footnote w:id="2">
    <w:p w14:paraId="4F941605" w14:textId="77777777" w:rsidR="00C55629" w:rsidRPr="008B1412" w:rsidRDefault="00C55629" w:rsidP="00C55629">
      <w:pPr>
        <w:pStyle w:val="FootnoteText"/>
        <w:rPr>
          <w:lang w:val="es-ES"/>
        </w:rPr>
      </w:pPr>
      <w:r>
        <w:rPr>
          <w:rStyle w:val="FootnoteReference"/>
        </w:rPr>
        <w:footnoteRef/>
      </w:r>
      <w:r w:rsidRPr="008B1412">
        <w:rPr>
          <w:lang w:val="es-ES"/>
        </w:rPr>
        <w:t xml:space="preserve"> </w:t>
      </w:r>
      <w:r w:rsidRPr="008B1412">
        <w:rPr>
          <w:lang w:val="es-ES"/>
        </w:rPr>
        <w:tab/>
        <w:t>OJ L, 2024/2509, 26.09.2024, ELI: http://data.europa.eu/eli/reg/2024/2509/oj.</w:t>
      </w:r>
    </w:p>
  </w:footnote>
  <w:footnote w:id="3">
    <w:p w14:paraId="7F1DABF5" w14:textId="77777777" w:rsidR="00C55629" w:rsidRPr="008B1412" w:rsidRDefault="00C55629" w:rsidP="00C55629">
      <w:pPr>
        <w:pStyle w:val="FootnoteText"/>
        <w:rPr>
          <w:lang w:val="es-ES"/>
        </w:rPr>
      </w:pPr>
      <w:r>
        <w:rPr>
          <w:rStyle w:val="FootnoteReference"/>
        </w:rPr>
        <w:footnoteRef/>
      </w:r>
      <w:r w:rsidRPr="008B1412">
        <w:rPr>
          <w:lang w:val="es-ES"/>
        </w:rPr>
        <w:tab/>
        <w:t>COM(2024) 300 final, 12.7.2024.</w:t>
      </w:r>
    </w:p>
  </w:footnote>
  <w:footnote w:id="4">
    <w:p w14:paraId="305AD6A8" w14:textId="77777777" w:rsidR="00C55629" w:rsidRPr="00BF497D" w:rsidRDefault="00C55629" w:rsidP="00C55629">
      <w:pPr>
        <w:pStyle w:val="FootnoteText"/>
      </w:pPr>
      <w:r>
        <w:rPr>
          <w:rStyle w:val="FootnoteReference"/>
        </w:rPr>
        <w:footnoteRef/>
      </w:r>
      <w:r>
        <w:t xml:space="preserve"> </w:t>
      </w:r>
      <w:r>
        <w:tab/>
      </w:r>
      <w:r w:rsidRPr="00BF497D">
        <w:t>COM(2024) 426 final, 20.9.2024.</w:t>
      </w:r>
    </w:p>
  </w:footnote>
  <w:footnote w:id="5">
    <w:p w14:paraId="27E9C03A" w14:textId="77777777" w:rsidR="00C55629" w:rsidRPr="00434078" w:rsidRDefault="00C55629" w:rsidP="00C55629">
      <w:pPr>
        <w:pStyle w:val="FootnoteText"/>
        <w:rPr>
          <w:lang w:val="en-IE"/>
        </w:rPr>
      </w:pPr>
      <w:r>
        <w:rPr>
          <w:rStyle w:val="FootnoteReference"/>
        </w:rPr>
        <w:footnoteRef/>
      </w:r>
      <w:r w:rsidRPr="00434078">
        <w:rPr>
          <w:lang w:val="en-US"/>
        </w:rPr>
        <w:t xml:space="preserve"> </w:t>
      </w:r>
      <w:r w:rsidRPr="00434078">
        <w:rPr>
          <w:lang w:val="en-IE"/>
        </w:rPr>
        <w:tab/>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 159.</w:t>
      </w:r>
    </w:p>
  </w:footnote>
  <w:footnote w:id="6">
    <w:p w14:paraId="4D8038B4" w14:textId="77777777" w:rsidR="00C55629" w:rsidRPr="00434078" w:rsidRDefault="00C55629" w:rsidP="002A68AE">
      <w:pPr>
        <w:pStyle w:val="FootnoteText"/>
        <w:rPr>
          <w:lang w:val="en-IE"/>
        </w:rPr>
      </w:pPr>
      <w:r>
        <w:rPr>
          <w:rStyle w:val="FootnoteReference"/>
        </w:rPr>
        <w:footnoteRef/>
      </w:r>
      <w:r w:rsidRPr="00434078">
        <w:rPr>
          <w:lang w:val="en-GB"/>
        </w:rPr>
        <w:t xml:space="preserve"> </w:t>
      </w:r>
      <w:r w:rsidRPr="00434078">
        <w:rPr>
          <w:lang w:val="en-IE"/>
        </w:rPr>
        <w:tab/>
        <w:t>The needs amount corresponds to EUR 40 1</w:t>
      </w:r>
      <w:r>
        <w:rPr>
          <w:lang w:val="en-IE"/>
        </w:rPr>
        <w:t>7</w:t>
      </w:r>
      <w:r w:rsidRPr="00434078">
        <w:rPr>
          <w:lang w:val="en-IE"/>
        </w:rPr>
        <w:t xml:space="preserve">7 million of fresh appropriations plus EUR 395 million of assigned revenue expected to be collected in 2025, EUR 361 million </w:t>
      </w:r>
      <w:r>
        <w:rPr>
          <w:lang w:val="en-IE"/>
        </w:rPr>
        <w:t xml:space="preserve">of </w:t>
      </w:r>
      <w:r w:rsidRPr="00434078">
        <w:rPr>
          <w:lang w:val="en-IE"/>
        </w:rPr>
        <w:t>2024 surplus, excluding the agricultural reserve and EUR 282 million carry-over of the agricultural reserve.</w:t>
      </w:r>
    </w:p>
  </w:footnote>
  <w:footnote w:id="7">
    <w:p w14:paraId="4B0C1DBE" w14:textId="77777777" w:rsidR="00C55629" w:rsidRPr="00434078" w:rsidRDefault="00C55629" w:rsidP="002A68AE">
      <w:pPr>
        <w:pStyle w:val="FootnoteText"/>
        <w:rPr>
          <w:lang w:val="en-IE"/>
        </w:rPr>
      </w:pPr>
      <w:r>
        <w:rPr>
          <w:rStyle w:val="FootnoteReference"/>
        </w:rPr>
        <w:footnoteRef/>
      </w:r>
      <w:r w:rsidRPr="00434078">
        <w:rPr>
          <w:lang w:val="en-GB"/>
        </w:rPr>
        <w:t xml:space="preserve"> </w:t>
      </w:r>
      <w:r w:rsidRPr="00434078">
        <w:rPr>
          <w:lang w:val="en-IE"/>
        </w:rPr>
        <w:tab/>
        <w:t>Regulation (EU) 2021/2116 on the financing, management and monitoring of the common agricultural policy and repealing Regulation (EU) No 1306/2013.</w:t>
      </w:r>
    </w:p>
  </w:footnote>
  <w:footnote w:id="8">
    <w:p w14:paraId="2ADDDF63" w14:textId="5FC174A8" w:rsidR="00C55629" w:rsidRDefault="00C55629" w:rsidP="002A68AE">
      <w:pPr>
        <w:pStyle w:val="FootnoteText"/>
        <w:rPr>
          <w:lang w:val="pt-PT"/>
        </w:rPr>
      </w:pPr>
      <w:r>
        <w:rPr>
          <w:rStyle w:val="FootnoteReference"/>
        </w:rPr>
        <w:footnoteRef/>
      </w:r>
      <w:r>
        <w:rPr>
          <w:lang w:val="pt-PT"/>
        </w:rPr>
        <w:t xml:space="preserve"> </w:t>
      </w:r>
      <w:r>
        <w:rPr>
          <w:lang w:val="pt-PT"/>
        </w:rPr>
        <w:tab/>
      </w:r>
      <w:r w:rsidRPr="005A3AD1">
        <w:rPr>
          <w:lang w:val="en-IE"/>
        </w:rPr>
        <w:t>Interinstitutional</w:t>
      </w:r>
      <w:r w:rsidRPr="0065675E">
        <w:rPr>
          <w:lang w:val="en-GB"/>
        </w:rPr>
        <w:t xml:space="preserve"> Agreement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 OJ L 433, 20.12.2020, p. 28.</w:t>
      </w:r>
    </w:p>
  </w:footnote>
  <w:footnote w:id="9">
    <w:p w14:paraId="1CCF98E2" w14:textId="77777777" w:rsidR="00C55629" w:rsidRPr="007D4957" w:rsidRDefault="00C55629" w:rsidP="00C55629">
      <w:pPr>
        <w:pStyle w:val="FootnoteText"/>
      </w:pPr>
      <w:r>
        <w:rPr>
          <w:rStyle w:val="FootnoteReference"/>
        </w:rPr>
        <w:footnoteRef/>
      </w:r>
      <w:r>
        <w:t xml:space="preserve"> </w:t>
      </w:r>
      <w:r>
        <w:tab/>
      </w:r>
      <w:r w:rsidRPr="007D4957">
        <w:t>OJ 45, 14.6.1962, p. 1385, ELI: http://data.europa.eu/eli/reg/1962/31(1)/oj.</w:t>
      </w:r>
    </w:p>
  </w:footnote>
  <w:footnote w:id="10">
    <w:p w14:paraId="6328C741" w14:textId="77777777" w:rsidR="00C55629" w:rsidRPr="00FB3554" w:rsidRDefault="00C55629" w:rsidP="00C55629">
      <w:pPr>
        <w:pStyle w:val="FootnoteText"/>
        <w:rPr>
          <w:lang w:val="pt-PT"/>
        </w:rPr>
      </w:pPr>
      <w:r>
        <w:rPr>
          <w:rStyle w:val="FootnoteReference"/>
        </w:rPr>
        <w:footnoteRef/>
      </w:r>
      <w:r w:rsidRPr="00FB3554">
        <w:rPr>
          <w:lang w:val="pt-PT"/>
        </w:rPr>
        <w:t xml:space="preserve"> </w:t>
      </w:r>
      <w:r w:rsidRPr="00FB3554">
        <w:rPr>
          <w:lang w:val="pt-PT"/>
        </w:rPr>
        <w:tab/>
        <w:t>BE, DE, ES, FR, IT, LU, NL, AT, PL, SE.</w:t>
      </w:r>
    </w:p>
  </w:footnote>
  <w:footnote w:id="11">
    <w:p w14:paraId="2E70E873" w14:textId="77777777" w:rsidR="00C55629" w:rsidRPr="00FB3554" w:rsidRDefault="00C55629" w:rsidP="00C55629">
      <w:pPr>
        <w:pStyle w:val="FootnoteText"/>
        <w:rPr>
          <w:lang w:val="en-IE"/>
        </w:rPr>
      </w:pPr>
      <w:r>
        <w:rPr>
          <w:rStyle w:val="FootnoteReference"/>
        </w:rPr>
        <w:footnoteRef/>
      </w:r>
      <w:r>
        <w:t xml:space="preserve"> </w:t>
      </w:r>
      <w:r w:rsidRPr="00FB3554">
        <w:rPr>
          <w:lang w:val="en-IE"/>
        </w:rPr>
        <w:tab/>
        <w:t>Council Regulation (EU) 2016/300 of 29 February 2016 determining the emoluments of EU high-level public office holders, OJ L 58, 4.3.2016, p. 1.</w:t>
      </w:r>
    </w:p>
  </w:footnote>
  <w:footnote w:id="12">
    <w:p w14:paraId="3C924378" w14:textId="77777777" w:rsidR="00C55629" w:rsidRPr="005A4B32" w:rsidRDefault="00C55629" w:rsidP="00C55629">
      <w:pPr>
        <w:pStyle w:val="FootnoteText"/>
        <w:rPr>
          <w:lang w:val="en-IE"/>
        </w:rPr>
      </w:pPr>
      <w:r>
        <w:rPr>
          <w:rStyle w:val="FootnoteReference"/>
        </w:rPr>
        <w:footnoteRef/>
      </w:r>
      <w:r w:rsidRPr="005A4B32">
        <w:rPr>
          <w:lang w:val="en-IE"/>
        </w:rPr>
        <w:t xml:space="preserve"> </w:t>
      </w:r>
      <w:r w:rsidRPr="005A4B32">
        <w:rPr>
          <w:lang w:val="en-IE"/>
        </w:rPr>
        <w:tab/>
      </w:r>
      <w:r w:rsidRPr="000661C6">
        <w:rPr>
          <w:lang w:val="en-IE"/>
        </w:rPr>
        <w:t>COM(2024) 426 final</w:t>
      </w:r>
      <w:r w:rsidRPr="005A4B32">
        <w:rPr>
          <w:lang w:val="en-IE"/>
        </w:rPr>
        <w:t>.</w:t>
      </w:r>
    </w:p>
  </w:footnote>
  <w:footnote w:id="13">
    <w:p w14:paraId="52331534" w14:textId="77777777" w:rsidR="00C55629" w:rsidRPr="00434078" w:rsidRDefault="00C55629" w:rsidP="00C55629">
      <w:pPr>
        <w:pStyle w:val="FootnoteText"/>
        <w:rPr>
          <w:lang w:val="en-IE"/>
        </w:rPr>
      </w:pPr>
      <w:r>
        <w:rPr>
          <w:rStyle w:val="FootnoteReference"/>
        </w:rPr>
        <w:footnoteRef/>
      </w:r>
      <w:r w:rsidRPr="00434078">
        <w:rPr>
          <w:lang w:val="en-IE"/>
        </w:rPr>
        <w:t xml:space="preserve"> </w:t>
      </w:r>
      <w:r w:rsidRPr="00434078">
        <w:rPr>
          <w:lang w:val="en-IE"/>
        </w:rPr>
        <w:tab/>
        <w:t>[</w:t>
      </w:r>
      <w:r>
        <w:rPr>
          <w:lang w:val="en-US"/>
        </w:rPr>
        <w:t>COM(2024) 650, 10.10.2024]</w:t>
      </w:r>
      <w:r w:rsidRPr="00434078">
        <w:rPr>
          <w:lang w:val="en-IE"/>
        </w:rPr>
        <w:t>.</w:t>
      </w:r>
    </w:p>
  </w:footnote>
  <w:footnote w:id="14">
    <w:p w14:paraId="0CC15817" w14:textId="77777777" w:rsidR="00C55629" w:rsidRPr="00434078" w:rsidRDefault="00C55629" w:rsidP="00C55629">
      <w:pPr>
        <w:pStyle w:val="FootnoteText"/>
        <w:rPr>
          <w:lang w:val="en-IE"/>
        </w:rPr>
      </w:pPr>
      <w:r>
        <w:rPr>
          <w:rStyle w:val="FootnoteReference"/>
        </w:rPr>
        <w:footnoteRef/>
      </w:r>
      <w:r w:rsidRPr="00434078">
        <w:rPr>
          <w:lang w:val="en-IE"/>
        </w:rPr>
        <w:t xml:space="preserve"> </w:t>
      </w:r>
      <w:r w:rsidRPr="00434078">
        <w:rPr>
          <w:lang w:val="en-IE"/>
        </w:rPr>
        <w:tab/>
      </w:r>
      <w:r w:rsidRPr="00DF1A6D">
        <w:rPr>
          <w:lang w:val="en-IE"/>
        </w:rPr>
        <w:t>OJ C, C/2024/1972, 29.2.2024, ELI: http://data.europa.eu/eli/C/2024/1972/oj</w:t>
      </w:r>
      <w:r>
        <w:rPr>
          <w:lang w:val="en-IE"/>
        </w:rPr>
        <w:t>.</w:t>
      </w:r>
    </w:p>
  </w:footnote>
  <w:footnote w:id="15">
    <w:p w14:paraId="705D28EB" w14:textId="77777777" w:rsidR="00C55629" w:rsidRPr="001E4BF6" w:rsidRDefault="00C55629" w:rsidP="00C55629">
      <w:pPr>
        <w:pStyle w:val="FootnoteText"/>
        <w:rPr>
          <w:lang w:val="en-GB"/>
        </w:rPr>
      </w:pPr>
      <w:r>
        <w:rPr>
          <w:rStyle w:val="FootnoteReference"/>
        </w:rPr>
        <w:footnoteRef/>
      </w:r>
      <w:r w:rsidRPr="001E4BF6">
        <w:rPr>
          <w:lang w:val="en-GB"/>
        </w:rPr>
        <w:t xml:space="preserve"> </w:t>
      </w:r>
      <w:r w:rsidRPr="001E4BF6">
        <w:rPr>
          <w:lang w:val="en-GB"/>
        </w:rPr>
        <w:tab/>
        <w:t>Agreement on the withdrawal of the United Kingdom of Great Britain and Northern Ireland from the European Union and the European Atomic Energy Community, OJ L 29, 31.01.2020, p. 7.</w:t>
      </w:r>
    </w:p>
  </w:footnote>
  <w:footnote w:id="16">
    <w:p w14:paraId="40F7B2E9" w14:textId="77777777" w:rsidR="00C55629" w:rsidRPr="00434078" w:rsidRDefault="00C55629" w:rsidP="00C55629">
      <w:pPr>
        <w:pStyle w:val="FootnoteText"/>
        <w:rPr>
          <w:lang w:val="en-IE"/>
        </w:rPr>
      </w:pPr>
      <w:r>
        <w:rPr>
          <w:rStyle w:val="FootnoteReference"/>
        </w:rPr>
        <w:footnoteRef/>
      </w:r>
      <w:r w:rsidRPr="00434078">
        <w:rPr>
          <w:lang w:val="en-IE"/>
        </w:rPr>
        <w:t xml:space="preserve"> </w:t>
      </w:r>
      <w:r w:rsidRPr="00434078">
        <w:rPr>
          <w:lang w:val="en-IE"/>
        </w:rPr>
        <w:tab/>
        <w:t>Referred to in points (a) and (c) of Article 136(3), and in Articles 140 to 147 of the Withdrawal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1B57" w14:textId="77777777" w:rsidR="00F56755" w:rsidRPr="00F56755" w:rsidRDefault="00F56755" w:rsidP="00F5675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4A83" w14:textId="77777777" w:rsidR="00F56755" w:rsidRPr="00F56755" w:rsidRDefault="00F56755" w:rsidP="00F5675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4325" w14:textId="77777777" w:rsidR="00F56755" w:rsidRPr="00F56755" w:rsidRDefault="00F56755" w:rsidP="00F5675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86F5" w14:textId="582AB518" w:rsidR="00C55629" w:rsidRDefault="00C556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7002" w14:textId="77777777" w:rsidR="00C55629" w:rsidRDefault="00C556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EC91" w14:textId="77777777" w:rsidR="00C55629" w:rsidRDefault="00C556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47C9" w14:textId="77777777" w:rsidR="00887BB8" w:rsidRDefault="00887B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49A2" w14:textId="77777777" w:rsidR="00887BB8" w:rsidRDefault="00887BB8">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36C6" w14:textId="77777777" w:rsidR="00887BB8" w:rsidRDefault="0088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0F2A9A2"/>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769E46"/>
    <w:lvl w:ilvl="0">
      <w:start w:val="1"/>
      <w:numFmt w:val="bullet"/>
      <w:pStyle w:val="ListNumber5"/>
      <w:lvlText w:val=""/>
      <w:lvlJc w:val="left"/>
      <w:pPr>
        <w:tabs>
          <w:tab w:val="num" w:pos="360"/>
        </w:tabs>
        <w:ind w:left="360" w:hanging="360"/>
      </w:pPr>
      <w:rPr>
        <w:rFonts w:ascii="Symbol" w:hAnsi="Symbol" w:hint="default"/>
      </w:rPr>
    </w:lvl>
  </w:abstractNum>
  <w:abstractNum w:abstractNumId="2" w15:restartNumberingAfterBreak="0">
    <w:nsid w:val="09F6D499"/>
    <w:multiLevelType w:val="hybridMultilevel"/>
    <w:tmpl w:val="FFFFFFFF"/>
    <w:lvl w:ilvl="0" w:tplc="20ACB3E0">
      <w:start w:val="1"/>
      <w:numFmt w:val="decimal"/>
      <w:lvlText w:val="(%1)"/>
      <w:lvlJc w:val="left"/>
      <w:pPr>
        <w:ind w:left="720" w:hanging="360"/>
      </w:pPr>
    </w:lvl>
    <w:lvl w:ilvl="1" w:tplc="4FD2B88C">
      <w:start w:val="1"/>
      <w:numFmt w:val="lowerLetter"/>
      <w:lvlText w:val="%2."/>
      <w:lvlJc w:val="left"/>
      <w:pPr>
        <w:ind w:left="1440" w:hanging="360"/>
      </w:pPr>
    </w:lvl>
    <w:lvl w:ilvl="2" w:tplc="48287870">
      <w:start w:val="1"/>
      <w:numFmt w:val="lowerRoman"/>
      <w:lvlText w:val="%3."/>
      <w:lvlJc w:val="right"/>
      <w:pPr>
        <w:ind w:left="2160" w:hanging="180"/>
      </w:pPr>
    </w:lvl>
    <w:lvl w:ilvl="3" w:tplc="DCB0E974">
      <w:start w:val="1"/>
      <w:numFmt w:val="decimal"/>
      <w:lvlText w:val="%4."/>
      <w:lvlJc w:val="left"/>
      <w:pPr>
        <w:ind w:left="2880" w:hanging="360"/>
      </w:pPr>
    </w:lvl>
    <w:lvl w:ilvl="4" w:tplc="8E48C940">
      <w:start w:val="1"/>
      <w:numFmt w:val="lowerLetter"/>
      <w:lvlText w:val="%5."/>
      <w:lvlJc w:val="left"/>
      <w:pPr>
        <w:ind w:left="3600" w:hanging="360"/>
      </w:pPr>
    </w:lvl>
    <w:lvl w:ilvl="5" w:tplc="560A2028">
      <w:start w:val="1"/>
      <w:numFmt w:val="lowerRoman"/>
      <w:lvlText w:val="%6."/>
      <w:lvlJc w:val="right"/>
      <w:pPr>
        <w:ind w:left="4320" w:hanging="180"/>
      </w:pPr>
    </w:lvl>
    <w:lvl w:ilvl="6" w:tplc="F05C8DDC">
      <w:start w:val="1"/>
      <w:numFmt w:val="decimal"/>
      <w:lvlText w:val="%7."/>
      <w:lvlJc w:val="left"/>
      <w:pPr>
        <w:ind w:left="5040" w:hanging="360"/>
      </w:pPr>
    </w:lvl>
    <w:lvl w:ilvl="7" w:tplc="A5089946">
      <w:start w:val="1"/>
      <w:numFmt w:val="lowerLetter"/>
      <w:lvlText w:val="%8."/>
      <w:lvlJc w:val="left"/>
      <w:pPr>
        <w:ind w:left="5760" w:hanging="360"/>
      </w:pPr>
    </w:lvl>
    <w:lvl w:ilvl="8" w:tplc="B8E6DA0A">
      <w:start w:val="1"/>
      <w:numFmt w:val="lowerRoman"/>
      <w:lvlText w:val="%9."/>
      <w:lvlJc w:val="right"/>
      <w:pPr>
        <w:ind w:left="6480" w:hanging="180"/>
      </w:pPr>
    </w:lvl>
  </w:abstractNum>
  <w:abstractNum w:abstractNumId="3" w15:restartNumberingAfterBreak="0">
    <w:nsid w:val="10152933"/>
    <w:multiLevelType w:val="hybridMultilevel"/>
    <w:tmpl w:val="65DAFD48"/>
    <w:lvl w:ilvl="0" w:tplc="5FBC4CDE">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153E0E48"/>
    <w:multiLevelType w:val="hybridMultilevel"/>
    <w:tmpl w:val="FFFFFFFF"/>
    <w:lvl w:ilvl="0" w:tplc="08027A1A">
      <w:start w:val="1"/>
      <w:numFmt w:val="decimal"/>
      <w:lvlText w:val="(%1)"/>
      <w:lvlJc w:val="left"/>
      <w:pPr>
        <w:ind w:left="720" w:hanging="360"/>
      </w:pPr>
    </w:lvl>
    <w:lvl w:ilvl="1" w:tplc="C9183260">
      <w:start w:val="1"/>
      <w:numFmt w:val="lowerLetter"/>
      <w:lvlText w:val="%2."/>
      <w:lvlJc w:val="left"/>
      <w:pPr>
        <w:ind w:left="1440" w:hanging="360"/>
      </w:pPr>
    </w:lvl>
    <w:lvl w:ilvl="2" w:tplc="07D826A8">
      <w:start w:val="1"/>
      <w:numFmt w:val="lowerRoman"/>
      <w:lvlText w:val="%3."/>
      <w:lvlJc w:val="right"/>
      <w:pPr>
        <w:ind w:left="2160" w:hanging="180"/>
      </w:pPr>
    </w:lvl>
    <w:lvl w:ilvl="3" w:tplc="3EEC32C2">
      <w:start w:val="1"/>
      <w:numFmt w:val="decimal"/>
      <w:lvlText w:val="%4."/>
      <w:lvlJc w:val="left"/>
      <w:pPr>
        <w:ind w:left="2880" w:hanging="360"/>
      </w:pPr>
    </w:lvl>
    <w:lvl w:ilvl="4" w:tplc="AF980864">
      <w:start w:val="1"/>
      <w:numFmt w:val="lowerLetter"/>
      <w:lvlText w:val="%5."/>
      <w:lvlJc w:val="left"/>
      <w:pPr>
        <w:ind w:left="3600" w:hanging="360"/>
      </w:pPr>
    </w:lvl>
    <w:lvl w:ilvl="5" w:tplc="54FEEEB0">
      <w:start w:val="1"/>
      <w:numFmt w:val="lowerRoman"/>
      <w:lvlText w:val="%6."/>
      <w:lvlJc w:val="right"/>
      <w:pPr>
        <w:ind w:left="4320" w:hanging="180"/>
      </w:pPr>
    </w:lvl>
    <w:lvl w:ilvl="6" w:tplc="7460EA32">
      <w:start w:val="1"/>
      <w:numFmt w:val="decimal"/>
      <w:lvlText w:val="%7."/>
      <w:lvlJc w:val="left"/>
      <w:pPr>
        <w:ind w:left="5040" w:hanging="360"/>
      </w:pPr>
    </w:lvl>
    <w:lvl w:ilvl="7" w:tplc="1A3CE380">
      <w:start w:val="1"/>
      <w:numFmt w:val="lowerLetter"/>
      <w:lvlText w:val="%8."/>
      <w:lvlJc w:val="left"/>
      <w:pPr>
        <w:ind w:left="5760" w:hanging="360"/>
      </w:pPr>
    </w:lvl>
    <w:lvl w:ilvl="8" w:tplc="4FF2551A">
      <w:start w:val="1"/>
      <w:numFmt w:val="lowerRoman"/>
      <w:lvlText w:val="%9."/>
      <w:lvlJc w:val="right"/>
      <w:pPr>
        <w:ind w:left="6480" w:hanging="18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BEBEC02"/>
    <w:multiLevelType w:val="hybridMultilevel"/>
    <w:tmpl w:val="FFFFFFFF"/>
    <w:lvl w:ilvl="0" w:tplc="7B0AB04C">
      <w:start w:val="1"/>
      <w:numFmt w:val="decimal"/>
      <w:lvlText w:val="(%1)"/>
      <w:lvlJc w:val="left"/>
      <w:pPr>
        <w:ind w:left="720" w:hanging="360"/>
      </w:pPr>
    </w:lvl>
    <w:lvl w:ilvl="1" w:tplc="C21E7D08">
      <w:start w:val="1"/>
      <w:numFmt w:val="lowerLetter"/>
      <w:lvlText w:val="%2."/>
      <w:lvlJc w:val="left"/>
      <w:pPr>
        <w:ind w:left="1440" w:hanging="360"/>
      </w:pPr>
    </w:lvl>
    <w:lvl w:ilvl="2" w:tplc="3574F6BC">
      <w:start w:val="1"/>
      <w:numFmt w:val="lowerRoman"/>
      <w:lvlText w:val="%3."/>
      <w:lvlJc w:val="right"/>
      <w:pPr>
        <w:ind w:left="2160" w:hanging="180"/>
      </w:pPr>
    </w:lvl>
    <w:lvl w:ilvl="3" w:tplc="3D70815E">
      <w:start w:val="1"/>
      <w:numFmt w:val="decimal"/>
      <w:lvlText w:val="%4."/>
      <w:lvlJc w:val="left"/>
      <w:pPr>
        <w:ind w:left="2880" w:hanging="360"/>
      </w:pPr>
    </w:lvl>
    <w:lvl w:ilvl="4" w:tplc="5C849F8A">
      <w:start w:val="1"/>
      <w:numFmt w:val="lowerLetter"/>
      <w:lvlText w:val="%5."/>
      <w:lvlJc w:val="left"/>
      <w:pPr>
        <w:ind w:left="3600" w:hanging="360"/>
      </w:pPr>
    </w:lvl>
    <w:lvl w:ilvl="5" w:tplc="1E66B344">
      <w:start w:val="1"/>
      <w:numFmt w:val="lowerRoman"/>
      <w:lvlText w:val="%6."/>
      <w:lvlJc w:val="right"/>
      <w:pPr>
        <w:ind w:left="4320" w:hanging="180"/>
      </w:pPr>
    </w:lvl>
    <w:lvl w:ilvl="6" w:tplc="C40A43A0">
      <w:start w:val="1"/>
      <w:numFmt w:val="decimal"/>
      <w:lvlText w:val="%7."/>
      <w:lvlJc w:val="left"/>
      <w:pPr>
        <w:ind w:left="5040" w:hanging="360"/>
      </w:pPr>
    </w:lvl>
    <w:lvl w:ilvl="7" w:tplc="BB589936">
      <w:start w:val="1"/>
      <w:numFmt w:val="lowerLetter"/>
      <w:lvlText w:val="%8."/>
      <w:lvlJc w:val="left"/>
      <w:pPr>
        <w:ind w:left="5760" w:hanging="360"/>
      </w:pPr>
    </w:lvl>
    <w:lvl w:ilvl="8" w:tplc="49884FD2">
      <w:start w:val="1"/>
      <w:numFmt w:val="lowerRoman"/>
      <w:lvlText w:val="%9."/>
      <w:lvlJc w:val="right"/>
      <w:pPr>
        <w:ind w:left="6480" w:hanging="180"/>
      </w:pPr>
    </w:lvl>
  </w:abstractNum>
  <w:abstractNum w:abstractNumId="8" w15:restartNumberingAfterBreak="0">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D5A67"/>
    <w:multiLevelType w:val="hybridMultilevel"/>
    <w:tmpl w:val="EDD6CD0E"/>
    <w:lvl w:ilvl="0" w:tplc="3B48969A">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lvlText w:val="–"/>
      <w:lvlJc w:val="left"/>
      <w:pPr>
        <w:tabs>
          <w:tab w:val="num" w:pos="850"/>
        </w:tabs>
        <w:ind w:left="850" w:hanging="850"/>
      </w:pPr>
    </w:lvl>
  </w:abstractNum>
  <w:abstractNum w:abstractNumId="13" w15:restartNumberingAfterBreak="0">
    <w:nsid w:val="367939DB"/>
    <w:multiLevelType w:val="hybridMultilevel"/>
    <w:tmpl w:val="FFFFFFFF"/>
    <w:lvl w:ilvl="0" w:tplc="4C20EBC4">
      <w:start w:val="1"/>
      <w:numFmt w:val="decimal"/>
      <w:lvlText w:val="(%1)"/>
      <w:lvlJc w:val="left"/>
      <w:pPr>
        <w:ind w:left="720" w:hanging="360"/>
      </w:pPr>
    </w:lvl>
    <w:lvl w:ilvl="1" w:tplc="53787F6C">
      <w:start w:val="1"/>
      <w:numFmt w:val="lowerLetter"/>
      <w:lvlText w:val="%2."/>
      <w:lvlJc w:val="left"/>
      <w:pPr>
        <w:ind w:left="1440" w:hanging="360"/>
      </w:pPr>
    </w:lvl>
    <w:lvl w:ilvl="2" w:tplc="D6728404">
      <w:start w:val="1"/>
      <w:numFmt w:val="lowerRoman"/>
      <w:lvlText w:val="%3."/>
      <w:lvlJc w:val="right"/>
      <w:pPr>
        <w:ind w:left="2160" w:hanging="180"/>
      </w:pPr>
    </w:lvl>
    <w:lvl w:ilvl="3" w:tplc="352AF81E">
      <w:start w:val="1"/>
      <w:numFmt w:val="decimal"/>
      <w:lvlText w:val="%4."/>
      <w:lvlJc w:val="left"/>
      <w:pPr>
        <w:ind w:left="2880" w:hanging="360"/>
      </w:pPr>
    </w:lvl>
    <w:lvl w:ilvl="4" w:tplc="51B023F6">
      <w:start w:val="1"/>
      <w:numFmt w:val="lowerLetter"/>
      <w:lvlText w:val="%5."/>
      <w:lvlJc w:val="left"/>
      <w:pPr>
        <w:ind w:left="3600" w:hanging="360"/>
      </w:pPr>
    </w:lvl>
    <w:lvl w:ilvl="5" w:tplc="1C681884">
      <w:start w:val="1"/>
      <w:numFmt w:val="lowerRoman"/>
      <w:lvlText w:val="%6."/>
      <w:lvlJc w:val="right"/>
      <w:pPr>
        <w:ind w:left="4320" w:hanging="180"/>
      </w:pPr>
    </w:lvl>
    <w:lvl w:ilvl="6" w:tplc="CA5E1B72">
      <w:start w:val="1"/>
      <w:numFmt w:val="decimal"/>
      <w:lvlText w:val="%7."/>
      <w:lvlJc w:val="left"/>
      <w:pPr>
        <w:ind w:left="5040" w:hanging="360"/>
      </w:pPr>
    </w:lvl>
    <w:lvl w:ilvl="7" w:tplc="62E6A764">
      <w:start w:val="1"/>
      <w:numFmt w:val="lowerLetter"/>
      <w:lvlText w:val="%8."/>
      <w:lvlJc w:val="left"/>
      <w:pPr>
        <w:ind w:left="5760" w:hanging="360"/>
      </w:pPr>
    </w:lvl>
    <w:lvl w:ilvl="8" w:tplc="3C608228">
      <w:start w:val="1"/>
      <w:numFmt w:val="lowerRoman"/>
      <w:lvlText w:val="%9."/>
      <w:lvlJc w:val="right"/>
      <w:pPr>
        <w:ind w:left="6480" w:hanging="180"/>
      </w:pPr>
    </w:lvl>
  </w:abstractNum>
  <w:abstractNum w:abstractNumId="14" w15:restartNumberingAfterBreak="0">
    <w:nsid w:val="3A7730C4"/>
    <w:multiLevelType w:val="singleLevel"/>
    <w:tmpl w:val="0809000F"/>
    <w:lvl w:ilvl="0">
      <w:start w:val="1"/>
      <w:numFmt w:val="decimal"/>
      <w:pStyle w:val="ManualHeading2"/>
      <w:lvlText w:val="%1."/>
      <w:lvlJc w:val="left"/>
      <w:pPr>
        <w:ind w:left="720" w:hanging="360"/>
      </w:pPr>
    </w:lvl>
  </w:abstractNum>
  <w:abstractNum w:abstractNumId="15" w15:restartNumberingAfterBreak="0">
    <w:nsid w:val="3C442DBC"/>
    <w:multiLevelType w:val="hybridMultilevel"/>
    <w:tmpl w:val="04300FE6"/>
    <w:lvl w:ilvl="0" w:tplc="18090001">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Wingdings" w:hAnsi="Wingdings" w:hint="default"/>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16" w15:restartNumberingAfterBreak="0">
    <w:nsid w:val="3CD7443C"/>
    <w:multiLevelType w:val="hybridMultilevel"/>
    <w:tmpl w:val="8C9A7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AF491B"/>
    <w:multiLevelType w:val="hybridMultilevel"/>
    <w:tmpl w:val="CA6E8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ECA4429"/>
    <w:multiLevelType w:val="hybridMultilevel"/>
    <w:tmpl w:val="4D423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6A23B5"/>
    <w:multiLevelType w:val="hybridMultilevel"/>
    <w:tmpl w:val="B3A08676"/>
    <w:lvl w:ilvl="0" w:tplc="C5BC4266">
      <w:start w:val="63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D285549"/>
    <w:multiLevelType w:val="hybridMultilevel"/>
    <w:tmpl w:val="95D4897C"/>
    <w:lvl w:ilvl="0" w:tplc="C08C2E82">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EE034CE"/>
    <w:multiLevelType w:val="hybridMultilevel"/>
    <w:tmpl w:val="0E367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24"/>
  </w:num>
  <w:num w:numId="5">
    <w:abstractNumId w:val="14"/>
  </w:num>
  <w:num w:numId="6">
    <w:abstractNumId w:val="10"/>
  </w:num>
  <w:num w:numId="7">
    <w:abstractNumId w:val="21"/>
  </w:num>
  <w:num w:numId="8">
    <w:abstractNumId w:val="6"/>
  </w:num>
  <w:num w:numId="9">
    <w:abstractNumId w:val="22"/>
  </w:num>
  <w:num w:numId="10">
    <w:abstractNumId w:val="18"/>
  </w:num>
  <w:num w:numId="11">
    <w:abstractNumId w:val="8"/>
  </w:num>
  <w:num w:numId="12">
    <w:abstractNumId w:val="4"/>
  </w:num>
  <w:num w:numId="13">
    <w:abstractNumId w:val="11"/>
  </w:num>
  <w:num w:numId="14">
    <w:abstractNumId w:val="25"/>
  </w:num>
  <w:num w:numId="15">
    <w:abstractNumId w:val="16"/>
  </w:num>
  <w:num w:numId="16">
    <w:abstractNumId w:val="17"/>
  </w:num>
  <w:num w:numId="17">
    <w:abstractNumId w:val="23"/>
  </w:num>
  <w:num w:numId="18">
    <w:abstractNumId w:val="2"/>
  </w:num>
  <w:num w:numId="19">
    <w:abstractNumId w:val="5"/>
  </w:num>
  <w:num w:numId="20">
    <w:abstractNumId w:val="13"/>
  </w:num>
  <w:num w:numId="21">
    <w:abstractNumId w:val="7"/>
  </w:num>
  <w:num w:numId="22">
    <w:abstractNumId w:val="20"/>
  </w:num>
  <w:num w:numId="23">
    <w:abstractNumId w:val="19"/>
  </w:num>
  <w:num w:numId="24">
    <w:abstractNumId w:val="9"/>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C819B09-516F-40C9-9674-F4B77464317D"/>
    <w:docVar w:name="LW_COVERPAGE_TYPE" w:val="1"/>
    <w:docVar w:name="LW_CROSSREFERENCE" w:val="&lt;UNUSED&gt;"/>
    <w:docVar w:name="LW_DocType" w:val="NORMAL"/>
    <w:docVar w:name="LW_EMISSION" w:val="10.10.2024"/>
    <w:docVar w:name="LW_EMISSION_ISODATE" w:val="2024-10-10"/>
    <w:docVar w:name="LW_EMISSION_LOCATION" w:val="BRX"/>
    <w:docVar w:name="LW_EMISSION_PREFIX" w:val="Brussels, "/>
    <w:docVar w:name="LW_EMISSION_SUFFIX" w:val=" "/>
    <w:docVar w:name="LW_ID_DOCTYPE_NONLW" w:val="CP-03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176"/>
    <w:docVar w:name="LW_REF.II.NEW.CP_YEAR" w:val="2024"/>
    <w:docVar w:name="LW_REF.INST.NEW" w:val="COM"/>
    <w:docVar w:name="LW_REF.INST.NEW_ADOPTED" w:val="final"/>
    <w:docVar w:name="LW_REF.INST.NEW_TEXT" w:val="(2024) 65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 "/>
    <w:docVar w:name="LW_STATUT.CP" w:val=" "/>
    <w:docVar w:name="LW_SUPERTITRE" w:val="&lt;UNUSED&gt;"/>
    <w:docVar w:name="LW_TITRE.OBJ.CP" w:val="Adjustments in payment appropriations_x000d__x000d__x000b_Updated estimated needs for agricultural expenditure_x000d__x000d__x000b_Other adjustments and technical updates_x000b_"/>
    <w:docVar w:name="LW_TYPE.DOC.CP" w:val="AMENDING LETTER No 1 TO THE DRAFT GENERAL BUDGET 2025_x000b__x000b_"/>
    <w:docVar w:name="LwApiVersions" w:val="LW4CoDe 1.24.5.0; LW 9.0, Build 20240221"/>
  </w:docVars>
  <w:rsids>
    <w:rsidRoot w:val="00A91CF6"/>
    <w:rsid w:val="002A68AE"/>
    <w:rsid w:val="00414C10"/>
    <w:rsid w:val="007116BC"/>
    <w:rsid w:val="00792A09"/>
    <w:rsid w:val="00795889"/>
    <w:rsid w:val="008115D8"/>
    <w:rsid w:val="00887BB8"/>
    <w:rsid w:val="00964767"/>
    <w:rsid w:val="00A6735C"/>
    <w:rsid w:val="00A91CF6"/>
    <w:rsid w:val="00C25694"/>
    <w:rsid w:val="00C55629"/>
    <w:rsid w:val="00C97E3E"/>
    <w:rsid w:val="00CA47B3"/>
    <w:rsid w:val="00CF6DEA"/>
    <w:rsid w:val="00D02086"/>
    <w:rsid w:val="00EF335E"/>
    <w:rsid w:val="00F27FD1"/>
    <w:rsid w:val="00F567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5B5DD"/>
  <w15:chartTrackingRefBased/>
  <w15:docId w15:val="{42C5502D-6E9F-470F-82EE-4177C02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C55629"/>
    <w:pPr>
      <w:keepNext/>
      <w:spacing w:before="240" w:after="120" w:line="240" w:lineRule="auto"/>
      <w:outlineLvl w:val="0"/>
    </w:pPr>
    <w:rPr>
      <w:rFonts w:ascii="Arial" w:eastAsia="Times New Roman" w:hAnsi="Arial" w:cs="Arial"/>
      <w:b/>
      <w:bCs/>
      <w:kern w:val="32"/>
      <w:sz w:val="32"/>
      <w:szCs w:val="32"/>
      <w:lang w:val="en-GB" w:eastAsia="en-GB"/>
      <w14:ligatures w14:val="none"/>
    </w:rPr>
  </w:style>
  <w:style w:type="paragraph" w:styleId="Heading2">
    <w:name w:val="heading 2"/>
    <w:basedOn w:val="Normal"/>
    <w:next w:val="Normal"/>
    <w:link w:val="Heading2Char"/>
    <w:autoRedefine/>
    <w:uiPriority w:val="99"/>
    <w:qFormat/>
    <w:rsid w:val="00C55629"/>
    <w:pPr>
      <w:keepNext/>
      <w:spacing w:before="240" w:after="120" w:line="240" w:lineRule="auto"/>
      <w:ind w:left="720" w:hanging="720"/>
      <w:outlineLvl w:val="1"/>
    </w:pPr>
    <w:rPr>
      <w:rFonts w:ascii="Arial" w:eastAsia="Times New Roman" w:hAnsi="Arial" w:cs="Arial"/>
      <w:b/>
      <w:bCs/>
      <w:i/>
      <w:iCs/>
      <w:kern w:val="0"/>
      <w:sz w:val="28"/>
      <w:szCs w:val="28"/>
      <w:lang w:val="en-GB" w:eastAsia="en-GB"/>
      <w14:ligatures w14:val="none"/>
    </w:rPr>
  </w:style>
  <w:style w:type="paragraph" w:styleId="Heading3">
    <w:name w:val="heading 3"/>
    <w:basedOn w:val="Normal"/>
    <w:next w:val="Normal"/>
    <w:link w:val="Heading3Char"/>
    <w:autoRedefine/>
    <w:uiPriority w:val="99"/>
    <w:qFormat/>
    <w:rsid w:val="00C55629"/>
    <w:pPr>
      <w:keepNext/>
      <w:numPr>
        <w:ilvl w:val="2"/>
      </w:numPr>
      <w:tabs>
        <w:tab w:val="num" w:pos="850"/>
      </w:tabs>
      <w:spacing w:before="120" w:after="120" w:line="240" w:lineRule="auto"/>
      <w:ind w:left="850" w:hanging="850"/>
      <w:jc w:val="both"/>
      <w:outlineLvl w:val="2"/>
    </w:pPr>
    <w:rPr>
      <w:rFonts w:ascii="Arial" w:eastAsia="Times New Roman" w:hAnsi="Arial" w:cs="Arial"/>
      <w:b/>
      <w:bCs/>
      <w:i/>
      <w:kern w:val="0"/>
      <w:sz w:val="26"/>
      <w:szCs w:val="26"/>
      <w:lang w:val="en-GB" w:eastAsia="en-GB"/>
      <w14:ligatures w14:val="none"/>
    </w:rPr>
  </w:style>
  <w:style w:type="paragraph" w:styleId="Heading4">
    <w:name w:val="heading 4"/>
    <w:basedOn w:val="Normal"/>
    <w:next w:val="Normal"/>
    <w:link w:val="Heading4Char"/>
    <w:uiPriority w:val="99"/>
    <w:qFormat/>
    <w:rsid w:val="00C55629"/>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kern w:val="0"/>
      <w:sz w:val="24"/>
      <w:szCs w:val="28"/>
      <w:lang w:val="en-GB" w:eastAsia="de-D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sid w:val="00A91CF6"/>
    <w:rPr>
      <w:color w:val="0000FF"/>
      <w:shd w:val="clear" w:color="auto" w:fill="auto"/>
    </w:rPr>
  </w:style>
  <w:style w:type="paragraph" w:styleId="Header">
    <w:name w:val="header"/>
    <w:basedOn w:val="Normal"/>
    <w:link w:val="HeaderChar"/>
    <w:uiPriority w:val="99"/>
    <w:unhideWhenUsed/>
    <w:rsid w:val="00A91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CF6"/>
  </w:style>
  <w:style w:type="paragraph" w:styleId="Footer">
    <w:name w:val="footer"/>
    <w:basedOn w:val="Normal"/>
    <w:link w:val="FooterChar"/>
    <w:uiPriority w:val="99"/>
    <w:unhideWhenUsed/>
    <w:rsid w:val="00A91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CF6"/>
  </w:style>
  <w:style w:type="paragraph" w:customStyle="1" w:styleId="Pagedecouverture">
    <w:name w:val="Page de couverture"/>
    <w:basedOn w:val="Normal"/>
    <w:next w:val="Normal"/>
    <w:uiPriority w:val="99"/>
    <w:rsid w:val="00A91CF6"/>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A91CF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91CF6"/>
    <w:rPr>
      <w:rFonts w:ascii="Times New Roman" w:hAnsi="Times New Roman" w:cs="Times New Roman"/>
      <w:sz w:val="24"/>
    </w:rPr>
  </w:style>
  <w:style w:type="paragraph" w:customStyle="1" w:styleId="FooterSensitivity">
    <w:name w:val="Footer Sensitivity"/>
    <w:basedOn w:val="Normal"/>
    <w:link w:val="FooterSensitivityChar"/>
    <w:rsid w:val="00A91CF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91CF6"/>
    <w:rPr>
      <w:rFonts w:ascii="Times New Roman" w:hAnsi="Times New Roman" w:cs="Times New Roman"/>
      <w:b/>
      <w:sz w:val="32"/>
    </w:rPr>
  </w:style>
  <w:style w:type="paragraph" w:customStyle="1" w:styleId="HeaderCoverPage">
    <w:name w:val="Header Cover Page"/>
    <w:basedOn w:val="Normal"/>
    <w:link w:val="HeaderCoverPageChar"/>
    <w:rsid w:val="00A91CF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91CF6"/>
    <w:rPr>
      <w:rFonts w:ascii="Times New Roman" w:hAnsi="Times New Roman" w:cs="Times New Roman"/>
      <w:sz w:val="24"/>
    </w:rPr>
  </w:style>
  <w:style w:type="paragraph" w:customStyle="1" w:styleId="HeaderSensitivity">
    <w:name w:val="Header Sensitivity"/>
    <w:basedOn w:val="Normal"/>
    <w:link w:val="HeaderSensitivityChar"/>
    <w:rsid w:val="00A91CF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91CF6"/>
    <w:rPr>
      <w:rFonts w:ascii="Times New Roman" w:hAnsi="Times New Roman" w:cs="Times New Roman"/>
      <w:b/>
      <w:sz w:val="32"/>
    </w:rPr>
  </w:style>
  <w:style w:type="paragraph" w:customStyle="1" w:styleId="HeaderSensitivityRight">
    <w:name w:val="Header Sensitivity Right"/>
    <w:basedOn w:val="Normal"/>
    <w:link w:val="HeaderSensitivityRightChar"/>
    <w:rsid w:val="00A91CF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91CF6"/>
    <w:rPr>
      <w:rFonts w:ascii="Times New Roman" w:hAnsi="Times New Roman" w:cs="Times New Roman"/>
      <w:sz w:val="28"/>
    </w:rPr>
  </w:style>
  <w:style w:type="character" w:customStyle="1" w:styleId="Heading1Char">
    <w:name w:val="Heading 1 Char"/>
    <w:basedOn w:val="DefaultParagraphFont"/>
    <w:link w:val="Heading1"/>
    <w:uiPriority w:val="99"/>
    <w:rsid w:val="00C55629"/>
    <w:rPr>
      <w:rFonts w:ascii="Arial" w:eastAsia="Times New Roman" w:hAnsi="Arial" w:cs="Arial"/>
      <w:b/>
      <w:bCs/>
      <w:kern w:val="32"/>
      <w:sz w:val="32"/>
      <w:szCs w:val="32"/>
      <w:lang w:val="en-GB" w:eastAsia="en-GB"/>
      <w14:ligatures w14:val="none"/>
    </w:rPr>
  </w:style>
  <w:style w:type="character" w:customStyle="1" w:styleId="Heading2Char">
    <w:name w:val="Heading 2 Char"/>
    <w:basedOn w:val="DefaultParagraphFont"/>
    <w:link w:val="Heading2"/>
    <w:uiPriority w:val="99"/>
    <w:rsid w:val="00C55629"/>
    <w:rPr>
      <w:rFonts w:ascii="Arial" w:eastAsia="Times New Roman" w:hAnsi="Arial" w:cs="Arial"/>
      <w:b/>
      <w:bCs/>
      <w:i/>
      <w:iCs/>
      <w:kern w:val="0"/>
      <w:sz w:val="28"/>
      <w:szCs w:val="28"/>
      <w:lang w:val="en-GB" w:eastAsia="en-GB"/>
      <w14:ligatures w14:val="none"/>
    </w:rPr>
  </w:style>
  <w:style w:type="character" w:customStyle="1" w:styleId="Heading3Char">
    <w:name w:val="Heading 3 Char"/>
    <w:basedOn w:val="DefaultParagraphFont"/>
    <w:link w:val="Heading3"/>
    <w:uiPriority w:val="99"/>
    <w:rsid w:val="00C55629"/>
    <w:rPr>
      <w:rFonts w:ascii="Arial" w:eastAsia="Times New Roman" w:hAnsi="Arial" w:cs="Arial"/>
      <w:b/>
      <w:bCs/>
      <w:i/>
      <w:kern w:val="0"/>
      <w:sz w:val="26"/>
      <w:szCs w:val="26"/>
      <w:lang w:val="en-GB" w:eastAsia="en-GB"/>
      <w14:ligatures w14:val="none"/>
    </w:rPr>
  </w:style>
  <w:style w:type="character" w:customStyle="1" w:styleId="Heading4Char">
    <w:name w:val="Heading 4 Char"/>
    <w:basedOn w:val="DefaultParagraphFont"/>
    <w:link w:val="Heading4"/>
    <w:uiPriority w:val="99"/>
    <w:rsid w:val="00C55629"/>
    <w:rPr>
      <w:rFonts w:ascii="Times New Roman" w:eastAsia="Times New Roman" w:hAnsi="Times New Roman" w:cs="Times New Roman"/>
      <w:b/>
      <w:bCs/>
      <w:kern w:val="0"/>
      <w:sz w:val="24"/>
      <w:szCs w:val="28"/>
      <w:lang w:val="en-GB" w:eastAsia="de-DE"/>
      <w14:ligatures w14:val="none"/>
    </w:rPr>
  </w:style>
  <w:style w:type="numbering" w:customStyle="1" w:styleId="NoList1">
    <w:name w:val="No List1"/>
    <w:next w:val="NoList"/>
    <w:uiPriority w:val="99"/>
    <w:semiHidden/>
    <w:unhideWhenUsed/>
    <w:rsid w:val="00C55629"/>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uiPriority w:val="99"/>
    <w:qFormat/>
    <w:rsid w:val="00C55629"/>
    <w:pPr>
      <w:spacing w:after="0" w:line="240" w:lineRule="auto"/>
      <w:ind w:left="720" w:hanging="720"/>
      <w:jc w:val="both"/>
    </w:pPr>
    <w:rPr>
      <w:rFonts w:ascii="Times New Roman" w:eastAsia="Times New Roman" w:hAnsi="Times New Roman" w:cs="Times New Roman"/>
      <w:kern w:val="0"/>
      <w:sz w:val="20"/>
      <w:szCs w:val="20"/>
      <w:lang w:val="de-DE" w:eastAsia="de-DE"/>
      <w14:ligatures w14:val="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sid w:val="00C55629"/>
    <w:rPr>
      <w:rFonts w:ascii="Times New Roman" w:eastAsia="Times New Roman" w:hAnsi="Times New Roman" w:cs="Times New Roman"/>
      <w:kern w:val="0"/>
      <w:sz w:val="20"/>
      <w:szCs w:val="20"/>
      <w:lang w:val="de-DE" w:eastAsia="de-DE"/>
      <w14:ligatures w14:val="none"/>
    </w:rPr>
  </w:style>
  <w:style w:type="paragraph" w:styleId="TOC1">
    <w:name w:val="toc 1"/>
    <w:basedOn w:val="Normal"/>
    <w:next w:val="Normal"/>
    <w:uiPriority w:val="39"/>
    <w:rsid w:val="00C55629"/>
    <w:pPr>
      <w:spacing w:before="120" w:after="120" w:line="240" w:lineRule="auto"/>
    </w:pPr>
    <w:rPr>
      <w:rFonts w:ascii="Times New Roman" w:eastAsia="Times New Roman" w:hAnsi="Times New Roman" w:cs="Times New Roman"/>
      <w:b/>
      <w:bCs/>
      <w:caps/>
      <w:kern w:val="0"/>
      <w:sz w:val="20"/>
      <w:szCs w:val="20"/>
      <w:lang w:val="en-GB" w:eastAsia="en-GB"/>
      <w14:ligatures w14:val="non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uiPriority w:val="99"/>
    <w:qFormat/>
    <w:rsid w:val="00C55629"/>
    <w:rPr>
      <w:rFonts w:cs="Times New Roman"/>
      <w:vertAlign w:val="superscript"/>
    </w:rPr>
  </w:style>
  <w:style w:type="paragraph" w:customStyle="1" w:styleId="Text1">
    <w:name w:val="Text 1"/>
    <w:basedOn w:val="Normal"/>
    <w:qFormat/>
    <w:rsid w:val="00C55629"/>
    <w:pPr>
      <w:spacing w:before="120" w:after="120" w:line="240" w:lineRule="auto"/>
      <w:ind w:left="850"/>
      <w:jc w:val="both"/>
    </w:pPr>
    <w:rPr>
      <w:rFonts w:ascii="Times New Roman" w:eastAsia="Times New Roman" w:hAnsi="Times New Roman" w:cs="Times New Roman"/>
      <w:kern w:val="0"/>
      <w:sz w:val="24"/>
      <w:szCs w:val="24"/>
      <w:lang w:val="en-GB" w:eastAsia="de-DE"/>
      <w14:ligatures w14:val="none"/>
    </w:rPr>
  </w:style>
  <w:style w:type="paragraph" w:customStyle="1" w:styleId="Tiret0">
    <w:name w:val="Tiret 0"/>
    <w:basedOn w:val="Normal"/>
    <w:uiPriority w:val="99"/>
    <w:rsid w:val="00C55629"/>
    <w:p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ManualHeading1">
    <w:name w:val="Manual Heading 1"/>
    <w:basedOn w:val="Normal"/>
    <w:next w:val="Text1"/>
    <w:rsid w:val="00C55629"/>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kern w:val="0"/>
      <w:sz w:val="24"/>
      <w:szCs w:val="24"/>
      <w:lang w:val="en-GB" w:eastAsia="de-DE"/>
      <w14:ligatures w14:val="none"/>
    </w:rPr>
  </w:style>
  <w:style w:type="paragraph" w:customStyle="1" w:styleId="ManualHeading2">
    <w:name w:val="Manual Heading 2"/>
    <w:basedOn w:val="Normal"/>
    <w:next w:val="Normal"/>
    <w:rsid w:val="00C55629"/>
    <w:pPr>
      <w:keepNext/>
      <w:numPr>
        <w:numId w:val="5"/>
      </w:numPr>
      <w:spacing w:before="360" w:after="120" w:line="240" w:lineRule="auto"/>
      <w:jc w:val="both"/>
      <w:outlineLvl w:val="1"/>
    </w:pPr>
    <w:rPr>
      <w:rFonts w:ascii="Times New Roman" w:eastAsia="Times New Roman" w:hAnsi="Times New Roman" w:cs="Times New Roman"/>
      <w:b/>
      <w:noProof/>
      <w:kern w:val="0"/>
      <w:sz w:val="24"/>
      <w:szCs w:val="24"/>
      <w:lang w:val="en-GB"/>
      <w14:ligatures w14:val="none"/>
    </w:rPr>
  </w:style>
  <w:style w:type="paragraph" w:customStyle="1" w:styleId="ListDash">
    <w:name w:val="List Dash"/>
    <w:basedOn w:val="Normal"/>
    <w:link w:val="ListDashChar"/>
    <w:uiPriority w:val="99"/>
    <w:rsid w:val="00C55629"/>
    <w:pPr>
      <w:spacing w:before="120" w:after="120" w:line="240" w:lineRule="auto"/>
      <w:jc w:val="both"/>
    </w:pPr>
    <w:rPr>
      <w:rFonts w:ascii="Times New Roman" w:eastAsia="Times New Roman" w:hAnsi="Times New Roman" w:cs="Times New Roman"/>
      <w:kern w:val="0"/>
      <w:sz w:val="24"/>
      <w:szCs w:val="20"/>
      <w:lang w:val="de-DE" w:eastAsia="de-DE"/>
      <w14:ligatures w14:val="none"/>
    </w:rPr>
  </w:style>
  <w:style w:type="paragraph" w:styleId="TOCHeading">
    <w:name w:val="TOC Heading"/>
    <w:basedOn w:val="Normal"/>
    <w:next w:val="Normal"/>
    <w:uiPriority w:val="99"/>
    <w:qFormat/>
    <w:rsid w:val="00C55629"/>
    <w:pPr>
      <w:spacing w:before="120" w:after="240" w:line="240" w:lineRule="auto"/>
      <w:jc w:val="center"/>
    </w:pPr>
    <w:rPr>
      <w:rFonts w:ascii="Times New Roman" w:eastAsia="Times New Roman" w:hAnsi="Times New Roman" w:cs="Times New Roman"/>
      <w:b/>
      <w:kern w:val="0"/>
      <w:sz w:val="28"/>
      <w:szCs w:val="24"/>
      <w:lang w:val="en-GB" w:eastAsia="de-DE"/>
      <w14:ligatures w14:val="none"/>
    </w:rPr>
  </w:style>
  <w:style w:type="paragraph" w:customStyle="1" w:styleId="Prliminairetitre">
    <w:name w:val="Préliminaire titre"/>
    <w:basedOn w:val="Normal"/>
    <w:next w:val="Normal"/>
    <w:uiPriority w:val="99"/>
    <w:rsid w:val="00C55629"/>
    <w:pPr>
      <w:spacing w:before="360" w:after="360" w:line="240" w:lineRule="auto"/>
      <w:jc w:val="center"/>
    </w:pPr>
    <w:rPr>
      <w:rFonts w:ascii="Times New Roman" w:eastAsia="Times New Roman" w:hAnsi="Times New Roman" w:cs="Times New Roman"/>
      <w:b/>
      <w:kern w:val="0"/>
      <w:sz w:val="24"/>
      <w:szCs w:val="24"/>
      <w:lang w:val="en-GB" w:eastAsia="de-DE"/>
      <w14:ligatures w14:val="none"/>
    </w:rPr>
  </w:style>
  <w:style w:type="paragraph" w:customStyle="1" w:styleId="Prliminairetype">
    <w:name w:val="Préliminaire type"/>
    <w:basedOn w:val="Normal"/>
    <w:next w:val="Normal"/>
    <w:uiPriority w:val="99"/>
    <w:rsid w:val="00C55629"/>
    <w:pPr>
      <w:spacing w:before="360" w:after="0" w:line="240" w:lineRule="auto"/>
      <w:jc w:val="center"/>
    </w:pPr>
    <w:rPr>
      <w:rFonts w:ascii="Times New Roman" w:eastAsia="Times New Roman" w:hAnsi="Times New Roman" w:cs="Times New Roman"/>
      <w:b/>
      <w:kern w:val="0"/>
      <w:sz w:val="24"/>
      <w:szCs w:val="24"/>
      <w:lang w:val="en-GB" w:eastAsia="de-DE"/>
      <w14:ligatures w14:val="none"/>
    </w:rPr>
  </w:style>
  <w:style w:type="character" w:styleId="Hyperlink">
    <w:name w:val="Hyperlink"/>
    <w:basedOn w:val="DefaultParagraphFont"/>
    <w:uiPriority w:val="99"/>
    <w:rsid w:val="00C55629"/>
    <w:rPr>
      <w:rFonts w:cs="Times New Roman"/>
      <w:color w:val="0000FF"/>
      <w:u w:val="single"/>
    </w:rPr>
  </w:style>
  <w:style w:type="paragraph" w:styleId="TOC2">
    <w:name w:val="toc 2"/>
    <w:basedOn w:val="Normal"/>
    <w:next w:val="Normal"/>
    <w:autoRedefine/>
    <w:uiPriority w:val="39"/>
    <w:rsid w:val="00C55629"/>
    <w:pPr>
      <w:tabs>
        <w:tab w:val="left" w:pos="720"/>
        <w:tab w:val="right" w:leader="dot" w:pos="9061"/>
      </w:tabs>
      <w:spacing w:before="20" w:after="20" w:line="240" w:lineRule="auto"/>
      <w:ind w:left="709" w:hanging="469"/>
    </w:pPr>
    <w:rPr>
      <w:rFonts w:ascii="Times New Roman" w:eastAsia="Times New Roman" w:hAnsi="Times New Roman" w:cs="Times New Roman"/>
      <w:smallCaps/>
      <w:kern w:val="0"/>
      <w:sz w:val="20"/>
      <w:szCs w:val="20"/>
      <w:lang w:val="en-GB" w:eastAsia="en-GB"/>
      <w14:ligatures w14:val="none"/>
    </w:rPr>
  </w:style>
  <w:style w:type="paragraph" w:styleId="TOC3">
    <w:name w:val="toc 3"/>
    <w:basedOn w:val="Normal"/>
    <w:next w:val="Normal"/>
    <w:autoRedefine/>
    <w:uiPriority w:val="39"/>
    <w:rsid w:val="00C55629"/>
    <w:pPr>
      <w:tabs>
        <w:tab w:val="left" w:pos="1200"/>
        <w:tab w:val="right" w:leader="dot" w:pos="9061"/>
      </w:tabs>
      <w:spacing w:after="0" w:line="240" w:lineRule="auto"/>
      <w:ind w:left="1276" w:hanging="796"/>
    </w:pPr>
    <w:rPr>
      <w:rFonts w:ascii="Times New Roman" w:eastAsia="Times New Roman" w:hAnsi="Times New Roman" w:cs="Times New Roman"/>
      <w:i/>
      <w:iCs/>
      <w:kern w:val="0"/>
      <w:sz w:val="20"/>
      <w:szCs w:val="20"/>
      <w:lang w:val="en-GB" w:eastAsia="en-GB"/>
      <w14:ligatures w14:val="none"/>
    </w:rPr>
  </w:style>
  <w:style w:type="paragraph" w:styleId="TOC4">
    <w:name w:val="toc 4"/>
    <w:basedOn w:val="Normal"/>
    <w:next w:val="Normal"/>
    <w:autoRedefine/>
    <w:uiPriority w:val="99"/>
    <w:semiHidden/>
    <w:rsid w:val="00C55629"/>
    <w:pPr>
      <w:spacing w:after="0" w:line="240" w:lineRule="auto"/>
      <w:ind w:left="720"/>
    </w:pPr>
    <w:rPr>
      <w:rFonts w:ascii="Times New Roman" w:eastAsia="Times New Roman" w:hAnsi="Times New Roman" w:cs="Times New Roman"/>
      <w:kern w:val="0"/>
      <w:sz w:val="18"/>
      <w:szCs w:val="18"/>
      <w:lang w:val="en-GB" w:eastAsia="en-GB"/>
      <w14:ligatures w14:val="none"/>
    </w:rPr>
  </w:style>
  <w:style w:type="paragraph" w:styleId="TOC5">
    <w:name w:val="toc 5"/>
    <w:basedOn w:val="Normal"/>
    <w:next w:val="Normal"/>
    <w:autoRedefine/>
    <w:uiPriority w:val="99"/>
    <w:semiHidden/>
    <w:rsid w:val="00C55629"/>
    <w:pPr>
      <w:spacing w:after="0" w:line="240" w:lineRule="auto"/>
      <w:ind w:left="960"/>
    </w:pPr>
    <w:rPr>
      <w:rFonts w:ascii="Times New Roman" w:eastAsia="Times New Roman" w:hAnsi="Times New Roman" w:cs="Times New Roman"/>
      <w:kern w:val="0"/>
      <w:sz w:val="18"/>
      <w:szCs w:val="18"/>
      <w:lang w:val="en-GB" w:eastAsia="en-GB"/>
      <w14:ligatures w14:val="none"/>
    </w:rPr>
  </w:style>
  <w:style w:type="paragraph" w:styleId="TOC6">
    <w:name w:val="toc 6"/>
    <w:basedOn w:val="Normal"/>
    <w:next w:val="Normal"/>
    <w:autoRedefine/>
    <w:uiPriority w:val="99"/>
    <w:semiHidden/>
    <w:rsid w:val="00C55629"/>
    <w:pPr>
      <w:spacing w:after="0" w:line="240" w:lineRule="auto"/>
      <w:ind w:left="1200"/>
    </w:pPr>
    <w:rPr>
      <w:rFonts w:ascii="Times New Roman" w:eastAsia="Times New Roman" w:hAnsi="Times New Roman" w:cs="Times New Roman"/>
      <w:kern w:val="0"/>
      <w:sz w:val="18"/>
      <w:szCs w:val="18"/>
      <w:lang w:val="en-GB" w:eastAsia="en-GB"/>
      <w14:ligatures w14:val="none"/>
    </w:rPr>
  </w:style>
  <w:style w:type="paragraph" w:styleId="TOC7">
    <w:name w:val="toc 7"/>
    <w:basedOn w:val="Normal"/>
    <w:next w:val="Normal"/>
    <w:autoRedefine/>
    <w:uiPriority w:val="99"/>
    <w:semiHidden/>
    <w:rsid w:val="00C55629"/>
    <w:pPr>
      <w:spacing w:after="0" w:line="240" w:lineRule="auto"/>
      <w:ind w:left="1440"/>
    </w:pPr>
    <w:rPr>
      <w:rFonts w:ascii="Times New Roman" w:eastAsia="Times New Roman" w:hAnsi="Times New Roman" w:cs="Times New Roman"/>
      <w:kern w:val="0"/>
      <w:sz w:val="18"/>
      <w:szCs w:val="18"/>
      <w:lang w:val="en-GB" w:eastAsia="en-GB"/>
      <w14:ligatures w14:val="none"/>
    </w:rPr>
  </w:style>
  <w:style w:type="paragraph" w:styleId="TOC8">
    <w:name w:val="toc 8"/>
    <w:basedOn w:val="Normal"/>
    <w:next w:val="Normal"/>
    <w:autoRedefine/>
    <w:uiPriority w:val="99"/>
    <w:semiHidden/>
    <w:rsid w:val="00C55629"/>
    <w:pPr>
      <w:spacing w:after="0" w:line="240" w:lineRule="auto"/>
      <w:ind w:left="1680"/>
    </w:pPr>
    <w:rPr>
      <w:rFonts w:ascii="Times New Roman" w:eastAsia="Times New Roman" w:hAnsi="Times New Roman" w:cs="Times New Roman"/>
      <w:kern w:val="0"/>
      <w:sz w:val="18"/>
      <w:szCs w:val="18"/>
      <w:lang w:val="en-GB" w:eastAsia="en-GB"/>
      <w14:ligatures w14:val="none"/>
    </w:rPr>
  </w:style>
  <w:style w:type="paragraph" w:styleId="TOC9">
    <w:name w:val="toc 9"/>
    <w:basedOn w:val="Normal"/>
    <w:next w:val="Normal"/>
    <w:autoRedefine/>
    <w:uiPriority w:val="99"/>
    <w:semiHidden/>
    <w:rsid w:val="00C55629"/>
    <w:pPr>
      <w:spacing w:after="0" w:line="240" w:lineRule="auto"/>
      <w:ind w:left="1920"/>
    </w:pPr>
    <w:rPr>
      <w:rFonts w:ascii="Times New Roman" w:eastAsia="Times New Roman" w:hAnsi="Times New Roman" w:cs="Times New Roman"/>
      <w:kern w:val="0"/>
      <w:sz w:val="18"/>
      <w:szCs w:val="18"/>
      <w:lang w:val="en-GB" w:eastAsia="en-GB"/>
      <w14:ligatures w14:val="none"/>
    </w:rPr>
  </w:style>
  <w:style w:type="paragraph" w:styleId="ListBullet">
    <w:name w:val="List Bullet"/>
    <w:basedOn w:val="Normal"/>
    <w:uiPriority w:val="99"/>
    <w:rsid w:val="00C55629"/>
    <w:pPr>
      <w:numPr>
        <w:numId w:val="4"/>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Dash2">
    <w:name w:val="List Dash 2"/>
    <w:basedOn w:val="Normal"/>
    <w:uiPriority w:val="99"/>
    <w:rsid w:val="00C55629"/>
    <w:pPr>
      <w:tabs>
        <w:tab w:val="num" w:pos="1134"/>
      </w:tabs>
      <w:spacing w:before="120" w:after="120" w:line="240" w:lineRule="auto"/>
      <w:ind w:left="1134" w:hanging="283"/>
      <w:jc w:val="both"/>
    </w:pPr>
    <w:rPr>
      <w:rFonts w:ascii="Times New Roman" w:eastAsia="Times New Roman" w:hAnsi="Times New Roman" w:cs="Times New Roman"/>
      <w:kern w:val="0"/>
      <w:sz w:val="24"/>
      <w:szCs w:val="24"/>
      <w:lang w:val="en-GB" w:eastAsia="de-DE"/>
      <w14:ligatures w14:val="none"/>
    </w:rPr>
  </w:style>
  <w:style w:type="paragraph" w:customStyle="1" w:styleId="ListBullet1">
    <w:name w:val="List Bullet 1"/>
    <w:basedOn w:val="Text1"/>
    <w:uiPriority w:val="99"/>
    <w:rsid w:val="00C55629"/>
    <w:pPr>
      <w:tabs>
        <w:tab w:val="num" w:pos="765"/>
      </w:tabs>
      <w:spacing w:before="0" w:after="240"/>
      <w:ind w:left="765" w:hanging="283"/>
    </w:pPr>
    <w:rPr>
      <w:szCs w:val="20"/>
      <w:lang w:eastAsia="en-US"/>
    </w:rPr>
  </w:style>
  <w:style w:type="paragraph" w:styleId="ListBullet2">
    <w:name w:val="List Bullet 2"/>
    <w:basedOn w:val="Normal"/>
    <w:uiPriority w:val="99"/>
    <w:rsid w:val="00C55629"/>
    <w:pPr>
      <w:numPr>
        <w:numId w:val="6"/>
      </w:numPr>
      <w:spacing w:after="240" w:line="240" w:lineRule="auto"/>
      <w:jc w:val="both"/>
    </w:pPr>
    <w:rPr>
      <w:rFonts w:ascii="Times New Roman" w:eastAsia="Times New Roman" w:hAnsi="Times New Roman" w:cs="Times New Roman"/>
      <w:kern w:val="0"/>
      <w:sz w:val="24"/>
      <w:szCs w:val="20"/>
      <w:lang w:val="en-GB"/>
      <w14:ligatures w14:val="none"/>
    </w:rPr>
  </w:style>
  <w:style w:type="table" w:styleId="TableGrid">
    <w:name w:val="Table Grid"/>
    <w:basedOn w:val="TableNormal"/>
    <w:uiPriority w:val="99"/>
    <w:rsid w:val="00C55629"/>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55629"/>
    <w:rPr>
      <w:rFonts w:cs="Times New Roman"/>
      <w:color w:val="800080"/>
      <w:u w:val="single"/>
    </w:rPr>
  </w:style>
  <w:style w:type="paragraph" w:customStyle="1" w:styleId="Typedudocument">
    <w:name w:val="Type du document"/>
    <w:basedOn w:val="Normal"/>
    <w:next w:val="Titreobjet"/>
    <w:uiPriority w:val="99"/>
    <w:rsid w:val="00C55629"/>
    <w:pPr>
      <w:spacing w:before="360" w:after="0" w:line="240" w:lineRule="auto"/>
      <w:jc w:val="center"/>
    </w:pPr>
    <w:rPr>
      <w:rFonts w:ascii="Times New Roman" w:eastAsia="Times New Roman" w:hAnsi="Times New Roman" w:cs="Times New Roman"/>
      <w:b/>
      <w:kern w:val="0"/>
      <w:sz w:val="24"/>
      <w:szCs w:val="24"/>
      <w:lang w:val="en-GB"/>
      <w14:ligatures w14:val="none"/>
    </w:rPr>
  </w:style>
  <w:style w:type="paragraph" w:customStyle="1" w:styleId="Titreobjet">
    <w:name w:val="Titre objet"/>
    <w:basedOn w:val="Normal"/>
    <w:next w:val="Normal"/>
    <w:rsid w:val="00C55629"/>
    <w:pPr>
      <w:spacing w:before="360" w:after="360" w:line="240" w:lineRule="auto"/>
      <w:jc w:val="center"/>
    </w:pPr>
    <w:rPr>
      <w:rFonts w:ascii="Times New Roman" w:hAnsi="Times New Roman" w:cs="Times New Roman"/>
      <w:b/>
      <w:kern w:val="0"/>
      <w:sz w:val="24"/>
      <w:lang w:val="en-GB"/>
      <w14:ligatures w14:val="none"/>
    </w:rPr>
  </w:style>
  <w:style w:type="character" w:styleId="Emphasis">
    <w:name w:val="Emphasis"/>
    <w:basedOn w:val="DefaultParagraphFont"/>
    <w:uiPriority w:val="20"/>
    <w:qFormat/>
    <w:rsid w:val="00C55629"/>
    <w:rPr>
      <w:rFonts w:cs="Times New Roman"/>
      <w:i/>
    </w:rPr>
  </w:style>
  <w:style w:type="paragraph" w:styleId="NormalWeb">
    <w:name w:val="Normal (Web)"/>
    <w:basedOn w:val="Normal"/>
    <w:uiPriority w:val="99"/>
    <w:rsid w:val="00C5562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Text2">
    <w:name w:val="Text 2"/>
    <w:basedOn w:val="Normal"/>
    <w:uiPriority w:val="99"/>
    <w:rsid w:val="00C55629"/>
    <w:pPr>
      <w:spacing w:before="120" w:after="120" w:line="240" w:lineRule="auto"/>
      <w:ind w:left="850"/>
      <w:jc w:val="both"/>
    </w:pPr>
    <w:rPr>
      <w:rFonts w:ascii="Times New Roman" w:eastAsia="Times New Roman" w:hAnsi="Times New Roman" w:cs="Times New Roman"/>
      <w:kern w:val="0"/>
      <w:sz w:val="24"/>
      <w:szCs w:val="24"/>
      <w:lang w:val="en-GB"/>
      <w14:ligatures w14:val="none"/>
    </w:rPr>
  </w:style>
  <w:style w:type="paragraph" w:styleId="BalloonText">
    <w:name w:val="Balloon Text"/>
    <w:basedOn w:val="Normal"/>
    <w:link w:val="BalloonTextChar"/>
    <w:uiPriority w:val="99"/>
    <w:semiHidden/>
    <w:rsid w:val="00C55629"/>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semiHidden/>
    <w:rsid w:val="00C55629"/>
    <w:rPr>
      <w:rFonts w:ascii="Tahoma" w:eastAsia="Times New Roman" w:hAnsi="Tahoma" w:cs="Tahoma"/>
      <w:kern w:val="0"/>
      <w:sz w:val="16"/>
      <w:szCs w:val="16"/>
      <w:lang w:val="en-GB" w:eastAsia="en-GB"/>
      <w14:ligatures w14:val="none"/>
    </w:rPr>
  </w:style>
  <w:style w:type="paragraph" w:styleId="ListNumber">
    <w:name w:val="List Number"/>
    <w:basedOn w:val="Normal"/>
    <w:uiPriority w:val="99"/>
    <w:rsid w:val="00C55629"/>
    <w:pPr>
      <w:numPr>
        <w:numId w:val="7"/>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2">
    <w:name w:val="List Number (Level 2)"/>
    <w:basedOn w:val="Normal"/>
    <w:uiPriority w:val="99"/>
    <w:rsid w:val="00C55629"/>
    <w:pPr>
      <w:numPr>
        <w:ilvl w:val="1"/>
        <w:numId w:val="7"/>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3">
    <w:name w:val="List Number (Level 3)"/>
    <w:basedOn w:val="Normal"/>
    <w:uiPriority w:val="99"/>
    <w:rsid w:val="00C55629"/>
    <w:pPr>
      <w:numPr>
        <w:ilvl w:val="2"/>
        <w:numId w:val="7"/>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4">
    <w:name w:val="List Number (Level 4)"/>
    <w:basedOn w:val="Normal"/>
    <w:uiPriority w:val="99"/>
    <w:rsid w:val="00C55629"/>
    <w:pPr>
      <w:numPr>
        <w:ilvl w:val="3"/>
        <w:numId w:val="7"/>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character" w:customStyle="1" w:styleId="ListDashChar">
    <w:name w:val="List Dash Char"/>
    <w:link w:val="ListDash"/>
    <w:uiPriority w:val="99"/>
    <w:locked/>
    <w:rsid w:val="00C55629"/>
    <w:rPr>
      <w:rFonts w:ascii="Times New Roman" w:eastAsia="Times New Roman" w:hAnsi="Times New Roman" w:cs="Times New Roman"/>
      <w:kern w:val="0"/>
      <w:sz w:val="24"/>
      <w:szCs w:val="20"/>
      <w:lang w:val="de-DE" w:eastAsia="de-DE"/>
      <w14:ligatures w14:val="none"/>
    </w:rPr>
  </w:style>
  <w:style w:type="paragraph" w:customStyle="1" w:styleId="StyleManualHeading2Italic">
    <w:name w:val="Style Manual Heading 2 + Italic"/>
    <w:basedOn w:val="ManualHeading2"/>
    <w:autoRedefine/>
    <w:uiPriority w:val="99"/>
    <w:rsid w:val="00C55629"/>
    <w:pPr>
      <w:numPr>
        <w:numId w:val="0"/>
      </w:numPr>
      <w:spacing w:before="160" w:after="160"/>
    </w:pPr>
    <w:rPr>
      <w:bCs/>
      <w:i/>
      <w:iCs/>
    </w:rPr>
  </w:style>
  <w:style w:type="paragraph" w:customStyle="1" w:styleId="NormalCentered">
    <w:name w:val="Normal Centered"/>
    <w:basedOn w:val="Normal"/>
    <w:uiPriority w:val="99"/>
    <w:rsid w:val="00C55629"/>
    <w:pPr>
      <w:spacing w:before="120" w:after="120" w:line="240" w:lineRule="auto"/>
      <w:jc w:val="center"/>
    </w:pPr>
    <w:rPr>
      <w:rFonts w:ascii="Times New Roman" w:eastAsia="Times New Roman" w:hAnsi="Times New Roman" w:cs="Times New Roman"/>
      <w:kern w:val="0"/>
      <w:sz w:val="24"/>
      <w:szCs w:val="24"/>
      <w:lang w:val="en-GB" w:eastAsia="de-DE"/>
      <w14:ligatures w14:val="none"/>
    </w:rPr>
  </w:style>
  <w:style w:type="paragraph" w:customStyle="1" w:styleId="NormalRight">
    <w:name w:val="Normal Right"/>
    <w:basedOn w:val="Normal"/>
    <w:uiPriority w:val="99"/>
    <w:rsid w:val="00C55629"/>
    <w:pPr>
      <w:spacing w:before="120" w:after="120" w:line="240" w:lineRule="auto"/>
      <w:jc w:val="right"/>
    </w:pPr>
    <w:rPr>
      <w:rFonts w:ascii="Times New Roman" w:eastAsia="Times New Roman" w:hAnsi="Times New Roman" w:cs="Times New Roman"/>
      <w:kern w:val="0"/>
      <w:sz w:val="24"/>
      <w:szCs w:val="24"/>
      <w:lang w:val="en-GB" w:eastAsia="de-DE"/>
      <w14:ligatures w14:val="none"/>
    </w:rPr>
  </w:style>
  <w:style w:type="paragraph" w:customStyle="1" w:styleId="NormalLeft">
    <w:name w:val="Normal Left"/>
    <w:basedOn w:val="Normal"/>
    <w:uiPriority w:val="99"/>
    <w:rsid w:val="00C55629"/>
    <w:pPr>
      <w:spacing w:before="120" w:after="120" w:line="240" w:lineRule="auto"/>
    </w:pPr>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C55629"/>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Statut">
    <w:name w:val="Statut"/>
    <w:basedOn w:val="Normal"/>
    <w:next w:val="Typedudocument"/>
    <w:uiPriority w:val="99"/>
    <w:rsid w:val="00C55629"/>
    <w:pPr>
      <w:spacing w:before="360" w:after="0" w:line="240" w:lineRule="auto"/>
      <w:jc w:val="center"/>
    </w:pPr>
    <w:rPr>
      <w:rFonts w:ascii="Times New Roman" w:eastAsia="Times New Roman" w:hAnsi="Times New Roman" w:cs="Times New Roman"/>
      <w:kern w:val="0"/>
      <w:sz w:val="24"/>
      <w:lang w:val="en-GB"/>
      <w14:ligatures w14:val="none"/>
    </w:rPr>
  </w:style>
  <w:style w:type="paragraph" w:customStyle="1" w:styleId="Footnoter">
    <w:name w:val="Footnote r"/>
    <w:basedOn w:val="Normal"/>
    <w:uiPriority w:val="99"/>
    <w:rsid w:val="00C55629"/>
    <w:pPr>
      <w:shd w:val="clear" w:color="auto" w:fill="F2F8FB"/>
      <w:spacing w:before="100" w:beforeAutospacing="1" w:after="100" w:afterAutospacing="1" w:line="240" w:lineRule="auto"/>
    </w:pPr>
    <w:rPr>
      <w:rFonts w:ascii="Times New Roman" w:eastAsia="Times New Roman" w:hAnsi="Times New Roman" w:cs="Times New Roman"/>
      <w:kern w:val="0"/>
      <w:sz w:val="24"/>
      <w:lang w:val="en-GB" w:eastAsia="en-GB"/>
      <w14:ligatures w14:val="none"/>
    </w:rPr>
  </w:style>
  <w:style w:type="character" w:customStyle="1" w:styleId="hps">
    <w:name w:val="hps"/>
    <w:uiPriority w:val="99"/>
    <w:rsid w:val="00C55629"/>
  </w:style>
  <w:style w:type="paragraph" w:customStyle="1" w:styleId="Point0number">
    <w:name w:val="Point 0 (number)"/>
    <w:basedOn w:val="Normal"/>
    <w:uiPriority w:val="99"/>
    <w:rsid w:val="00C55629"/>
    <w:pPr>
      <w:numPr>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1number">
    <w:name w:val="Point 1 (number)"/>
    <w:basedOn w:val="Normal"/>
    <w:uiPriority w:val="99"/>
    <w:rsid w:val="00C55629"/>
    <w:pPr>
      <w:numPr>
        <w:ilvl w:val="2"/>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2number">
    <w:name w:val="Point 2 (number)"/>
    <w:basedOn w:val="Normal"/>
    <w:uiPriority w:val="99"/>
    <w:rsid w:val="00C55629"/>
    <w:pPr>
      <w:numPr>
        <w:ilvl w:val="4"/>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3number">
    <w:name w:val="Point 3 (number)"/>
    <w:basedOn w:val="Normal"/>
    <w:uiPriority w:val="99"/>
    <w:rsid w:val="00C55629"/>
    <w:pPr>
      <w:numPr>
        <w:ilvl w:val="6"/>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0letter">
    <w:name w:val="Point 0 (letter)"/>
    <w:basedOn w:val="Normal"/>
    <w:uiPriority w:val="99"/>
    <w:rsid w:val="00C55629"/>
    <w:pPr>
      <w:numPr>
        <w:ilvl w:val="1"/>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1letter">
    <w:name w:val="Point 1 (letter)"/>
    <w:basedOn w:val="Normal"/>
    <w:uiPriority w:val="99"/>
    <w:rsid w:val="00C55629"/>
    <w:pPr>
      <w:numPr>
        <w:ilvl w:val="3"/>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2letter">
    <w:name w:val="Point 2 (letter)"/>
    <w:basedOn w:val="Normal"/>
    <w:uiPriority w:val="99"/>
    <w:rsid w:val="00C55629"/>
    <w:pPr>
      <w:numPr>
        <w:ilvl w:val="5"/>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3letter">
    <w:name w:val="Point 3 (letter)"/>
    <w:basedOn w:val="Normal"/>
    <w:uiPriority w:val="99"/>
    <w:rsid w:val="00C55629"/>
    <w:pPr>
      <w:numPr>
        <w:ilvl w:val="7"/>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Point4letter">
    <w:name w:val="Point 4 (letter)"/>
    <w:basedOn w:val="Normal"/>
    <w:uiPriority w:val="99"/>
    <w:rsid w:val="00C55629"/>
    <w:pPr>
      <w:numPr>
        <w:ilvl w:val="8"/>
        <w:numId w:val="8"/>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customStyle="1" w:styleId="Tiret2">
    <w:name w:val="Tiret 2"/>
    <w:basedOn w:val="Normal"/>
    <w:uiPriority w:val="99"/>
    <w:rsid w:val="00C55629"/>
    <w:pPr>
      <w:numPr>
        <w:numId w:val="9"/>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rsid w:val="00C55629"/>
    <w:pPr>
      <w:spacing w:after="200" w:line="276" w:lineRule="auto"/>
      <w:ind w:left="720"/>
      <w:contextualSpacing/>
    </w:pPr>
    <w:rPr>
      <w:rFonts w:ascii="Calibri" w:eastAsia="MS Mincho" w:hAnsi="Calibri" w:cs="Times New Roman"/>
      <w:kern w:val="0"/>
      <w:szCs w:val="20"/>
      <w:lang w:val="de-DE" w:eastAsia="de-DE"/>
      <w14:ligatures w14:val="non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C55629"/>
    <w:rPr>
      <w:rFonts w:ascii="Calibri" w:eastAsia="MS Mincho" w:hAnsi="Calibri" w:cs="Times New Roman"/>
      <w:kern w:val="0"/>
      <w:szCs w:val="20"/>
      <w:lang w:val="de-DE" w:eastAsia="de-DE"/>
      <w14:ligatures w14:val="none"/>
    </w:rPr>
  </w:style>
  <w:style w:type="character" w:styleId="CommentReference">
    <w:name w:val="annotation reference"/>
    <w:basedOn w:val="DefaultParagraphFont"/>
    <w:uiPriority w:val="99"/>
    <w:rsid w:val="00C55629"/>
    <w:rPr>
      <w:rFonts w:cs="Times New Roman"/>
      <w:sz w:val="16"/>
    </w:rPr>
  </w:style>
  <w:style w:type="paragraph" w:styleId="CommentText">
    <w:name w:val="annotation text"/>
    <w:basedOn w:val="Normal"/>
    <w:link w:val="CommentTextChar"/>
    <w:uiPriority w:val="99"/>
    <w:rsid w:val="00C55629"/>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CommentTextChar">
    <w:name w:val="Comment Text Char"/>
    <w:basedOn w:val="DefaultParagraphFont"/>
    <w:link w:val="CommentText"/>
    <w:uiPriority w:val="99"/>
    <w:rsid w:val="00C55629"/>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rsid w:val="00C55629"/>
    <w:rPr>
      <w:b/>
      <w:bCs/>
      <w:lang w:val="de-DE" w:eastAsia="de-DE"/>
    </w:rPr>
  </w:style>
  <w:style w:type="character" w:customStyle="1" w:styleId="CommentSubjectChar">
    <w:name w:val="Comment Subject Char"/>
    <w:basedOn w:val="CommentTextChar"/>
    <w:link w:val="CommentSubject"/>
    <w:uiPriority w:val="99"/>
    <w:rsid w:val="00C55629"/>
    <w:rPr>
      <w:rFonts w:ascii="Times New Roman" w:eastAsia="Times New Roman" w:hAnsi="Times New Roman" w:cs="Times New Roman"/>
      <w:b/>
      <w:bCs/>
      <w:kern w:val="0"/>
      <w:sz w:val="20"/>
      <w:szCs w:val="20"/>
      <w:lang w:val="de-DE" w:eastAsia="de-DE"/>
      <w14:ligatures w14:val="none"/>
    </w:rPr>
  </w:style>
  <w:style w:type="paragraph" w:styleId="ListNumber5">
    <w:name w:val="List Number 5"/>
    <w:basedOn w:val="Normal"/>
    <w:uiPriority w:val="99"/>
    <w:rsid w:val="00C55629"/>
    <w:pPr>
      <w:numPr>
        <w:numId w:val="1"/>
      </w:numPr>
      <w:tabs>
        <w:tab w:val="clear" w:pos="360"/>
        <w:tab w:val="num" w:pos="1492"/>
      </w:tabs>
      <w:spacing w:after="0" w:line="240" w:lineRule="auto"/>
      <w:ind w:left="1492"/>
      <w:contextualSpacing/>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99"/>
    <w:qFormat/>
    <w:rsid w:val="00C55629"/>
    <w:rPr>
      <w:rFonts w:cs="Times New Roman"/>
      <w:b/>
      <w:bCs/>
    </w:rPr>
  </w:style>
  <w:style w:type="paragraph" w:styleId="ListBullet3">
    <w:name w:val="List Bullet 3"/>
    <w:basedOn w:val="Normal"/>
    <w:uiPriority w:val="99"/>
    <w:rsid w:val="00C55629"/>
    <w:pPr>
      <w:numPr>
        <w:numId w:val="2"/>
      </w:numPr>
      <w:tabs>
        <w:tab w:val="clear" w:pos="643"/>
        <w:tab w:val="num" w:pos="926"/>
      </w:tabs>
      <w:spacing w:before="120" w:after="120" w:line="240" w:lineRule="auto"/>
      <w:ind w:left="926"/>
      <w:contextualSpacing/>
      <w:jc w:val="both"/>
    </w:pPr>
    <w:rPr>
      <w:rFonts w:ascii="Times New Roman" w:eastAsia="Times New Roman" w:hAnsi="Times New Roman" w:cs="Times New Roman"/>
      <w:kern w:val="0"/>
      <w:sz w:val="24"/>
      <w:lang w:val="en-GB" w:eastAsia="en-GB"/>
      <w14:ligatures w14:val="none"/>
    </w:rPr>
  </w:style>
  <w:style w:type="paragraph" w:customStyle="1" w:styleId="Default">
    <w:name w:val="Default"/>
    <w:rsid w:val="00C5562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ManualHeading3">
    <w:name w:val="Manual Heading 3"/>
    <w:basedOn w:val="Normal"/>
    <w:next w:val="Normal"/>
    <w:uiPriority w:val="99"/>
    <w:rsid w:val="00C55629"/>
    <w:pPr>
      <w:keepNext/>
      <w:tabs>
        <w:tab w:val="left" w:pos="850"/>
      </w:tabs>
      <w:spacing w:before="120" w:after="120" w:line="240" w:lineRule="auto"/>
      <w:ind w:left="850" w:hanging="850"/>
      <w:jc w:val="both"/>
      <w:outlineLvl w:val="2"/>
    </w:pPr>
    <w:rPr>
      <w:rFonts w:ascii="Times New Roman" w:eastAsia="Times New Roman" w:hAnsi="Times New Roman" w:cs="Times New Roman"/>
      <w:i/>
      <w:kern w:val="0"/>
      <w:sz w:val="24"/>
      <w:szCs w:val="24"/>
      <w:lang w:val="en-GB"/>
      <w14:ligatures w14:val="none"/>
    </w:rPr>
  </w:style>
  <w:style w:type="paragraph" w:customStyle="1" w:styleId="Style1">
    <w:name w:val="Style1"/>
    <w:basedOn w:val="ManualHeading1"/>
    <w:autoRedefine/>
    <w:qFormat/>
    <w:rsid w:val="00C55629"/>
    <w:pPr>
      <w:ind w:left="720" w:hanging="360"/>
    </w:pPr>
    <w:rPr>
      <w:noProof/>
    </w:rPr>
  </w:style>
  <w:style w:type="paragraph" w:customStyle="1" w:styleId="Style2">
    <w:name w:val="Style2"/>
    <w:basedOn w:val="ManualHeading2"/>
    <w:autoRedefine/>
    <w:qFormat/>
    <w:rsid w:val="00C55629"/>
    <w:pPr>
      <w:numPr>
        <w:ilvl w:val="1"/>
        <w:numId w:val="12"/>
      </w:numPr>
    </w:pPr>
  </w:style>
  <w:style w:type="paragraph" w:customStyle="1" w:styleId="Style3">
    <w:name w:val="Style3"/>
    <w:basedOn w:val="ManualHeading1"/>
    <w:autoRedefine/>
    <w:qFormat/>
    <w:rsid w:val="00C55629"/>
    <w:pPr>
      <w:numPr>
        <w:numId w:val="11"/>
      </w:numPr>
    </w:pPr>
    <w:rPr>
      <w:noProof/>
    </w:rPr>
  </w:style>
  <w:style w:type="paragraph" w:customStyle="1" w:styleId="CM1">
    <w:name w:val="CM1"/>
    <w:basedOn w:val="Default"/>
    <w:next w:val="Default"/>
    <w:uiPriority w:val="99"/>
    <w:rsid w:val="00C55629"/>
    <w:rPr>
      <w:rFonts w:ascii="KOJOD P+ Adv T T 5843c 571" w:hAnsi="KOJOD P+ Adv T T 5843c 571"/>
      <w:color w:val="auto"/>
      <w:lang w:eastAsia="de-DE"/>
    </w:rPr>
  </w:style>
  <w:style w:type="paragraph" w:customStyle="1" w:styleId="CM3">
    <w:name w:val="CM3"/>
    <w:basedOn w:val="Default"/>
    <w:next w:val="Default"/>
    <w:uiPriority w:val="99"/>
    <w:rsid w:val="00C55629"/>
    <w:rPr>
      <w:rFonts w:ascii="KOJOD P+ Adv T T 5843c 571" w:hAnsi="KOJOD P+ Adv T T 5843c 571"/>
      <w:color w:val="auto"/>
      <w:lang w:eastAsia="de-DE"/>
    </w:rPr>
  </w:style>
  <w:style w:type="table" w:customStyle="1" w:styleId="TableGrid1">
    <w:name w:val="Table Grid1"/>
    <w:basedOn w:val="TableNormal"/>
    <w:next w:val="TableGrid"/>
    <w:uiPriority w:val="59"/>
    <w:rsid w:val="00C55629"/>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rsid w:val="00C55629"/>
  </w:style>
  <w:style w:type="paragraph" w:customStyle="1" w:styleId="Declassification">
    <w:name w:val="Declassification"/>
    <w:basedOn w:val="Normal"/>
    <w:next w:val="Normal"/>
    <w:rsid w:val="00C55629"/>
    <w:pPr>
      <w:spacing w:after="0" w:line="240" w:lineRule="auto"/>
      <w:jc w:val="both"/>
    </w:pPr>
    <w:rPr>
      <w:rFonts w:ascii="Times New Roman" w:hAnsi="Times New Roman" w:cs="Times New Roman"/>
      <w:kern w:val="0"/>
      <w:sz w:val="24"/>
      <w:lang w:val="en-GB"/>
      <w14:ligatures w14:val="none"/>
    </w:rPr>
  </w:style>
  <w:style w:type="paragraph" w:customStyle="1" w:styleId="HeaderLandscape">
    <w:name w:val="HeaderLandscape"/>
    <w:basedOn w:val="Normal"/>
    <w:rsid w:val="00C55629"/>
    <w:pPr>
      <w:tabs>
        <w:tab w:val="center" w:pos="7285"/>
        <w:tab w:val="right" w:pos="14003"/>
      </w:tabs>
      <w:spacing w:after="120" w:line="240" w:lineRule="auto"/>
      <w:jc w:val="both"/>
    </w:pPr>
    <w:rPr>
      <w:rFonts w:ascii="Times New Roman" w:hAnsi="Times New Roman" w:cs="Times New Roman"/>
      <w:kern w:val="0"/>
      <w:sz w:val="24"/>
      <w:lang w:val="en-GB"/>
      <w14:ligatures w14:val="none"/>
    </w:rPr>
  </w:style>
  <w:style w:type="paragraph" w:customStyle="1" w:styleId="FooterLandscape">
    <w:name w:val="FooterLandscape"/>
    <w:basedOn w:val="Normal"/>
    <w:rsid w:val="00C55629"/>
    <w:pPr>
      <w:tabs>
        <w:tab w:val="center" w:pos="7285"/>
        <w:tab w:val="center" w:pos="10913"/>
        <w:tab w:val="right" w:pos="15137"/>
      </w:tabs>
      <w:spacing w:before="360" w:after="0" w:line="240" w:lineRule="auto"/>
      <w:ind w:left="-567" w:right="-567"/>
    </w:pPr>
    <w:rPr>
      <w:rFonts w:ascii="Times New Roman" w:hAnsi="Times New Roman" w:cs="Times New Roman"/>
      <w:kern w:val="0"/>
      <w:sz w:val="24"/>
      <w:lang w:val="en-GB"/>
      <w14:ligatures w14:val="none"/>
    </w:rPr>
  </w:style>
  <w:style w:type="character" w:customStyle="1" w:styleId="st">
    <w:name w:val="st"/>
    <w:basedOn w:val="DefaultParagraphFont"/>
    <w:rsid w:val="00C55629"/>
  </w:style>
  <w:style w:type="character" w:customStyle="1" w:styleId="acopre">
    <w:name w:val="acopre"/>
    <w:basedOn w:val="DefaultParagraphFont"/>
    <w:rsid w:val="00C55629"/>
  </w:style>
  <w:style w:type="table" w:customStyle="1" w:styleId="GridTable1Light-Accent11">
    <w:name w:val="Grid Table 1 Light - Accent 11"/>
    <w:basedOn w:val="TableNormal"/>
    <w:uiPriority w:val="46"/>
    <w:rsid w:val="00C55629"/>
    <w:pPr>
      <w:spacing w:after="0" w:line="240" w:lineRule="auto"/>
    </w:pPr>
    <w:rPr>
      <w:kern w:val="0"/>
      <w:lang w:val="en-GB"/>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C55629"/>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EndnoteTextChar">
    <w:name w:val="Endnote Text Char"/>
    <w:basedOn w:val="DefaultParagraphFont"/>
    <w:link w:val="EndnoteText"/>
    <w:uiPriority w:val="99"/>
    <w:semiHidden/>
    <w:rsid w:val="00C55629"/>
    <w:rPr>
      <w:rFonts w:ascii="Times New Roman" w:eastAsia="Times New Roman" w:hAnsi="Times New Roman" w:cs="Times New Roman"/>
      <w:kern w:val="0"/>
      <w:sz w:val="20"/>
      <w:szCs w:val="20"/>
      <w:lang w:val="en-GB" w:eastAsia="en-GB"/>
      <w14:ligatures w14:val="none"/>
    </w:rPr>
  </w:style>
  <w:style w:type="character" w:styleId="EndnoteReference">
    <w:name w:val="endnote reference"/>
    <w:basedOn w:val="DefaultParagraphFont"/>
    <w:uiPriority w:val="99"/>
    <w:semiHidden/>
    <w:unhideWhenUsed/>
    <w:rsid w:val="00C55629"/>
    <w:rPr>
      <w:vertAlign w:val="superscript"/>
    </w:rPr>
  </w:style>
  <w:style w:type="paragraph" w:customStyle="1" w:styleId="msonormal0">
    <w:name w:val="msonormal"/>
    <w:basedOn w:val="Normal"/>
    <w:rsid w:val="00C5562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font5">
    <w:name w:val="font5"/>
    <w:basedOn w:val="Normal"/>
    <w:rsid w:val="00C55629"/>
    <w:pPr>
      <w:spacing w:before="100" w:beforeAutospacing="1" w:after="100" w:afterAutospacing="1" w:line="240" w:lineRule="auto"/>
    </w:pPr>
    <w:rPr>
      <w:rFonts w:ascii="Tahoma" w:eastAsia="Times New Roman" w:hAnsi="Tahoma" w:cs="Tahoma"/>
      <w:color w:val="000000"/>
      <w:kern w:val="0"/>
      <w:sz w:val="18"/>
      <w:szCs w:val="18"/>
      <w:lang w:eastAsia="en-IE"/>
      <w14:ligatures w14:val="none"/>
    </w:rPr>
  </w:style>
  <w:style w:type="paragraph" w:customStyle="1" w:styleId="font6">
    <w:name w:val="font6"/>
    <w:basedOn w:val="Normal"/>
    <w:rsid w:val="00C55629"/>
    <w:pPr>
      <w:spacing w:before="100" w:beforeAutospacing="1" w:after="100" w:afterAutospacing="1" w:line="240" w:lineRule="auto"/>
    </w:pPr>
    <w:rPr>
      <w:rFonts w:ascii="Tahoma" w:eastAsia="Times New Roman" w:hAnsi="Tahoma" w:cs="Tahoma"/>
      <w:b/>
      <w:bCs/>
      <w:color w:val="000000"/>
      <w:kern w:val="0"/>
      <w:sz w:val="18"/>
      <w:szCs w:val="18"/>
      <w:lang w:eastAsia="en-IE"/>
      <w14:ligatures w14:val="none"/>
    </w:rPr>
  </w:style>
  <w:style w:type="paragraph" w:customStyle="1" w:styleId="xl65">
    <w:name w:val="xl65"/>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66">
    <w:name w:val="xl66"/>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67">
    <w:name w:val="xl67"/>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68">
    <w:name w:val="xl68"/>
    <w:basedOn w:val="Normal"/>
    <w:rsid w:val="00C55629"/>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69">
    <w:name w:val="xl69"/>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70">
    <w:name w:val="xl70"/>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71">
    <w:name w:val="xl71"/>
    <w:basedOn w:val="Normal"/>
    <w:rsid w:val="00C55629"/>
    <w:pPr>
      <w:pBdr>
        <w:left w:val="single" w:sz="8" w:space="0" w:color="auto"/>
        <w:bottom w:val="single" w:sz="8" w:space="0" w:color="auto"/>
      </w:pBdr>
      <w:shd w:val="clear" w:color="000000" w:fill="F2F2F2"/>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72">
    <w:name w:val="xl72"/>
    <w:basedOn w:val="Normal"/>
    <w:rsid w:val="00C55629"/>
    <w:pPr>
      <w:pBdr>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73">
    <w:name w:val="xl73"/>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74">
    <w:name w:val="xl74"/>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75">
    <w:name w:val="xl75"/>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76">
    <w:name w:val="xl76"/>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77">
    <w:name w:val="xl77"/>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78">
    <w:name w:val="xl78"/>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79">
    <w:name w:val="xl79"/>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80">
    <w:name w:val="xl80"/>
    <w:basedOn w:val="Normal"/>
    <w:rsid w:val="00C55629"/>
    <w:pPr>
      <w:pBdr>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81">
    <w:name w:val="xl81"/>
    <w:basedOn w:val="Normal"/>
    <w:rsid w:val="00C55629"/>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color w:val="000000"/>
      <w:kern w:val="0"/>
      <w:sz w:val="16"/>
      <w:szCs w:val="16"/>
      <w:lang w:eastAsia="en-IE"/>
      <w14:ligatures w14:val="none"/>
    </w:rPr>
  </w:style>
  <w:style w:type="paragraph" w:customStyle="1" w:styleId="xl82">
    <w:name w:val="xl82"/>
    <w:basedOn w:val="Normal"/>
    <w:rsid w:val="00C55629"/>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color w:val="000000"/>
      <w:kern w:val="0"/>
      <w:sz w:val="16"/>
      <w:szCs w:val="16"/>
      <w:lang w:eastAsia="en-IE"/>
      <w14:ligatures w14:val="none"/>
    </w:rPr>
  </w:style>
  <w:style w:type="paragraph" w:customStyle="1" w:styleId="xl83">
    <w:name w:val="xl83"/>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84">
    <w:name w:val="xl84"/>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85">
    <w:name w:val="xl85"/>
    <w:basedOn w:val="Normal"/>
    <w:rsid w:val="00C55629"/>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86">
    <w:name w:val="xl86"/>
    <w:basedOn w:val="Normal"/>
    <w:rsid w:val="00C55629"/>
    <w:pPr>
      <w:spacing w:before="100" w:beforeAutospacing="1" w:after="100" w:afterAutospacing="1" w:line="240" w:lineRule="auto"/>
    </w:pPr>
    <w:rPr>
      <w:rFonts w:ascii="Times New Roman" w:eastAsia="Times New Roman" w:hAnsi="Times New Roman" w:cs="Times New Roman"/>
      <w:color w:val="FF0000"/>
      <w:kern w:val="0"/>
      <w:sz w:val="24"/>
      <w:szCs w:val="24"/>
      <w:lang w:eastAsia="en-IE"/>
      <w14:ligatures w14:val="none"/>
    </w:rPr>
  </w:style>
  <w:style w:type="paragraph" w:customStyle="1" w:styleId="xl87">
    <w:name w:val="xl87"/>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88">
    <w:name w:val="xl88"/>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89">
    <w:name w:val="xl89"/>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90">
    <w:name w:val="xl90"/>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91">
    <w:name w:val="xl91"/>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92">
    <w:name w:val="xl92"/>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93">
    <w:name w:val="xl93"/>
    <w:basedOn w:val="Normal"/>
    <w:rsid w:val="00C55629"/>
    <w:pPr>
      <w:pBdr>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94">
    <w:name w:val="xl94"/>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95">
    <w:name w:val="xl95"/>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96">
    <w:name w:val="xl96"/>
    <w:basedOn w:val="Normal"/>
    <w:rsid w:val="00C55629"/>
    <w:pPr>
      <w:pBdr>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97">
    <w:name w:val="xl97"/>
    <w:basedOn w:val="Normal"/>
    <w:rsid w:val="00C5562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l98">
    <w:name w:val="xl98"/>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99">
    <w:name w:val="xl99"/>
    <w:basedOn w:val="Normal"/>
    <w:rsid w:val="00C556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0">
    <w:name w:val="xl100"/>
    <w:basedOn w:val="Normal"/>
    <w:rsid w:val="00C556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1">
    <w:name w:val="xl101"/>
    <w:basedOn w:val="Normal"/>
    <w:rsid w:val="00C556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2">
    <w:name w:val="xl102"/>
    <w:basedOn w:val="Normal"/>
    <w:rsid w:val="00C55629"/>
    <w:pPr>
      <w:pBdr>
        <w:left w:val="single" w:sz="8" w:space="0" w:color="auto"/>
        <w:bottom w:val="single" w:sz="8" w:space="0" w:color="auto"/>
      </w:pBdr>
      <w:shd w:val="clear" w:color="000000" w:fill="F2F2F2"/>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03">
    <w:name w:val="xl103"/>
    <w:basedOn w:val="Normal"/>
    <w:rsid w:val="00C55629"/>
    <w:pPr>
      <w:pBdr>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16"/>
      <w:szCs w:val="16"/>
      <w:lang w:eastAsia="en-IE"/>
      <w14:ligatures w14:val="none"/>
    </w:rPr>
  </w:style>
  <w:style w:type="paragraph" w:customStyle="1" w:styleId="xl104">
    <w:name w:val="xl104"/>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5">
    <w:name w:val="xl105"/>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6">
    <w:name w:val="xl106"/>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07">
    <w:name w:val="xl107"/>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08">
    <w:name w:val="xl108"/>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09">
    <w:name w:val="xl109"/>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10">
    <w:name w:val="xl110"/>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11">
    <w:name w:val="xl111"/>
    <w:basedOn w:val="Normal"/>
    <w:rsid w:val="00C55629"/>
    <w:pPr>
      <w:pBdr>
        <w:left w:val="single" w:sz="8" w:space="0" w:color="auto"/>
        <w:bottom w:val="single" w:sz="8"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12">
    <w:name w:val="xl112"/>
    <w:basedOn w:val="Normal"/>
    <w:rsid w:val="00C55629"/>
    <w:pPr>
      <w:pBdr>
        <w:bottom w:val="single" w:sz="8" w:space="0" w:color="auto"/>
        <w:right w:val="single" w:sz="8"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13">
    <w:name w:val="xl113"/>
    <w:basedOn w:val="Normal"/>
    <w:rsid w:val="00C556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n-IE"/>
      <w14:ligatures w14:val="none"/>
    </w:rPr>
  </w:style>
  <w:style w:type="paragraph" w:customStyle="1" w:styleId="xl114">
    <w:name w:val="xl114"/>
    <w:basedOn w:val="Normal"/>
    <w:rsid w:val="00C556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en-IE"/>
      <w14:ligatures w14:val="none"/>
    </w:rPr>
  </w:style>
  <w:style w:type="paragraph" w:customStyle="1" w:styleId="xl115">
    <w:name w:val="xl115"/>
    <w:basedOn w:val="Normal"/>
    <w:rsid w:val="00C55629"/>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116">
    <w:name w:val="xl116"/>
    <w:basedOn w:val="Normal"/>
    <w:rsid w:val="00C55629"/>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117">
    <w:name w:val="xl117"/>
    <w:basedOn w:val="Normal"/>
    <w:rsid w:val="00C556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18">
    <w:name w:val="xl118"/>
    <w:basedOn w:val="Normal"/>
    <w:rsid w:val="00C556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19">
    <w:name w:val="xl119"/>
    <w:basedOn w:val="Normal"/>
    <w:rsid w:val="00C5562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20">
    <w:name w:val="xl120"/>
    <w:basedOn w:val="Normal"/>
    <w:rsid w:val="00C5562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21">
    <w:name w:val="xl121"/>
    <w:basedOn w:val="Normal"/>
    <w:rsid w:val="00C5562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22">
    <w:name w:val="xl122"/>
    <w:basedOn w:val="Normal"/>
    <w:rsid w:val="00C5562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23">
    <w:name w:val="xl123"/>
    <w:basedOn w:val="Normal"/>
    <w:rsid w:val="00C55629"/>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24">
    <w:name w:val="xl124"/>
    <w:basedOn w:val="Normal"/>
    <w:rsid w:val="00C55629"/>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25">
    <w:name w:val="xl125"/>
    <w:basedOn w:val="Normal"/>
    <w:rsid w:val="00C5562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26">
    <w:name w:val="xl126"/>
    <w:basedOn w:val="Normal"/>
    <w:rsid w:val="00C5562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27">
    <w:name w:val="xl127"/>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128">
    <w:name w:val="xl128"/>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129">
    <w:name w:val="xl129"/>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30">
    <w:name w:val="xl130"/>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131">
    <w:name w:val="xl131"/>
    <w:basedOn w:val="Normal"/>
    <w:rsid w:val="00C556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32">
    <w:name w:val="xl132"/>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33">
    <w:name w:val="xl133"/>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134">
    <w:name w:val="xl134"/>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35">
    <w:name w:val="xl135"/>
    <w:basedOn w:val="Normal"/>
    <w:rsid w:val="00C5562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6"/>
      <w:szCs w:val="16"/>
      <w:lang w:eastAsia="en-IE"/>
      <w14:ligatures w14:val="none"/>
    </w:rPr>
  </w:style>
  <w:style w:type="paragraph" w:customStyle="1" w:styleId="xl136">
    <w:name w:val="xl136"/>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37">
    <w:name w:val="xl137"/>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138">
    <w:name w:val="xl138"/>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39">
    <w:name w:val="xl139"/>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140">
    <w:name w:val="xl140"/>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41">
    <w:name w:val="xl141"/>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eastAsia="en-IE"/>
      <w14:ligatures w14:val="none"/>
    </w:rPr>
  </w:style>
  <w:style w:type="paragraph" w:customStyle="1" w:styleId="xl142">
    <w:name w:val="xl142"/>
    <w:basedOn w:val="Normal"/>
    <w:rsid w:val="00C55629"/>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color w:val="000000"/>
      <w:kern w:val="0"/>
      <w:sz w:val="16"/>
      <w:szCs w:val="16"/>
      <w:lang w:eastAsia="en-IE"/>
      <w14:ligatures w14:val="none"/>
    </w:rPr>
  </w:style>
  <w:style w:type="paragraph" w:customStyle="1" w:styleId="xl143">
    <w:name w:val="xl143"/>
    <w:basedOn w:val="Normal"/>
    <w:rsid w:val="00C55629"/>
    <w:pPr>
      <w:pBdr>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kern w:val="0"/>
      <w:sz w:val="16"/>
      <w:szCs w:val="16"/>
      <w:lang w:eastAsia="en-IE"/>
      <w14:ligatures w14:val="none"/>
    </w:rPr>
  </w:style>
  <w:style w:type="paragraph" w:customStyle="1" w:styleId="xl144">
    <w:name w:val="xl144"/>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i/>
      <w:iCs/>
      <w:kern w:val="0"/>
      <w:sz w:val="16"/>
      <w:szCs w:val="16"/>
      <w:lang w:eastAsia="en-IE"/>
      <w14:ligatures w14:val="none"/>
    </w:rPr>
  </w:style>
  <w:style w:type="paragraph" w:customStyle="1" w:styleId="xl145">
    <w:name w:val="xl145"/>
    <w:basedOn w:val="Normal"/>
    <w:rsid w:val="00C55629"/>
    <w:pPr>
      <w:pBdr>
        <w:bottom w:val="single" w:sz="8"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kern w:val="0"/>
      <w:sz w:val="16"/>
      <w:szCs w:val="16"/>
      <w:lang w:eastAsia="en-IE"/>
      <w14:ligatures w14:val="none"/>
    </w:rPr>
  </w:style>
  <w:style w:type="paragraph" w:customStyle="1" w:styleId="xl146">
    <w:name w:val="xl146"/>
    <w:basedOn w:val="Normal"/>
    <w:rsid w:val="00C55629"/>
    <w:pPr>
      <w:pBdr>
        <w:top w:val="single" w:sz="8" w:space="0" w:color="auto"/>
        <w:left w:val="single" w:sz="8"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47">
    <w:name w:val="xl147"/>
    <w:basedOn w:val="Normal"/>
    <w:rsid w:val="00C55629"/>
    <w:pPr>
      <w:pBdr>
        <w:top w:val="single" w:sz="8" w:space="0" w:color="auto"/>
        <w:right w:val="single" w:sz="8"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cs="Times New Roman"/>
      <w:kern w:val="0"/>
      <w:sz w:val="16"/>
      <w:szCs w:val="16"/>
      <w:lang w:eastAsia="en-IE"/>
      <w14:ligatures w14:val="none"/>
    </w:rPr>
  </w:style>
  <w:style w:type="paragraph" w:customStyle="1" w:styleId="xl148">
    <w:name w:val="xl148"/>
    <w:basedOn w:val="Normal"/>
    <w:rsid w:val="00C556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149">
    <w:name w:val="xl149"/>
    <w:basedOn w:val="Normal"/>
    <w:rsid w:val="00C556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n-IE"/>
      <w14:ligatures w14:val="none"/>
    </w:rPr>
  </w:style>
  <w:style w:type="paragraph" w:customStyle="1" w:styleId="xl63">
    <w:name w:val="xl63"/>
    <w:basedOn w:val="Normal"/>
    <w:rsid w:val="00C55629"/>
    <w:pPr>
      <w:pBdr>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16"/>
      <w:szCs w:val="16"/>
      <w:lang w:eastAsia="en-IE"/>
      <w14:ligatures w14:val="none"/>
    </w:rPr>
  </w:style>
  <w:style w:type="paragraph" w:customStyle="1" w:styleId="xl64">
    <w:name w:val="xl64"/>
    <w:basedOn w:val="Normal"/>
    <w:rsid w:val="00C55629"/>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16"/>
      <w:szCs w:val="16"/>
      <w:lang w:eastAsia="en-IE"/>
      <w14:ligatures w14:val="none"/>
    </w:rPr>
  </w:style>
  <w:style w:type="character" w:customStyle="1" w:styleId="Mention1">
    <w:name w:val="Mention1"/>
    <w:basedOn w:val="DefaultParagraphFont"/>
    <w:uiPriority w:val="99"/>
    <w:unhideWhenUsed/>
    <w:rsid w:val="00C55629"/>
    <w:rPr>
      <w:color w:val="2B579A"/>
      <w:shd w:val="clear" w:color="auto" w:fill="E6E6E6"/>
    </w:rPr>
  </w:style>
  <w:style w:type="character" w:customStyle="1" w:styleId="normaltextrun">
    <w:name w:val="normaltextrun"/>
    <w:basedOn w:val="DefaultParagraphFont"/>
    <w:rsid w:val="00C55629"/>
  </w:style>
  <w:style w:type="character" w:customStyle="1" w:styleId="eop">
    <w:name w:val="eop"/>
    <w:basedOn w:val="DefaultParagraphFont"/>
    <w:rsid w:val="00C55629"/>
  </w:style>
  <w:style w:type="character" w:customStyle="1" w:styleId="Mention">
    <w:name w:val="Mention"/>
    <w:basedOn w:val="DefaultParagraphFont"/>
    <w:uiPriority w:val="99"/>
    <w:unhideWhenUsed/>
    <w:rsid w:val="00C55629"/>
    <w:rPr>
      <w:color w:val="2B579A"/>
      <w:shd w:val="clear" w:color="auto" w:fill="E1DFDD"/>
    </w:rPr>
  </w:style>
  <w:style w:type="paragraph" w:customStyle="1" w:styleId="expos">
    <w:name w:val="exposé"/>
    <w:basedOn w:val="Normal"/>
    <w:rsid w:val="00792A09"/>
    <w:pPr>
      <w:spacing w:after="0" w:line="240" w:lineRule="auto"/>
      <w:jc w:val="both"/>
    </w:pPr>
    <w:rPr>
      <w:rFonts w:ascii="Times New Roman" w:eastAsia="Times New Roman" w:hAnsi="Times New Roman" w:cs="Times New Roman"/>
      <w:noProof/>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658E-9FDD-4AB8-924F-3220764C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9281</Words>
  <Characters>52908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AL1 2025</vt:lpstr>
    </vt:vector>
  </TitlesOfParts>
  <Manager/>
  <Company/>
  <LinksUpToDate>false</LinksUpToDate>
  <CharactersWithSpaces>62065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AL1 2025</dc:title>
  <dc:subject/>
  <dc:creator/>
  <cp:keywords/>
  <dc:description/>
  <cp:lastModifiedBy>EC CoDe</cp:lastModifiedBy>
  <cp:revision>10</cp:revision>
  <dcterms:created xsi:type="dcterms:W3CDTF">2024-10-03T19:13:00Z</dcterms:created>
  <dcterms:modified xsi:type="dcterms:W3CDTF">2024-10-08T12:01:00Z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CP-032</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2024-09-26T14:33:54Z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5c583f3c-7c62-4762-ae75-2fe76de8d09f</vt:lpwstr>
  </property>
  <property fmtid="{D5CDD505-2E9C-101B-9397-08002B2CF9AE}" pid="15" name="MSIP_Label_6bd9ddd1-4d20-43f6-abfa-fc3c07406f94_ContentBits">
    <vt:lpwstr>0</vt:lpwstr>
  </property>
</Properties>
</file>