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00F22" w14:textId="0A894D17" w:rsidR="002C0325" w:rsidRDefault="00623D1D" w:rsidP="00623D1D">
      <w:pPr>
        <w:pStyle w:val="Pagedecouverture"/>
        <w:rPr>
          <w:noProof/>
        </w:rPr>
      </w:pPr>
      <w:bookmarkStart w:id="0" w:name="LW_BM_COVERPAGE"/>
      <w:r>
        <w:rPr>
          <w:noProof/>
        </w:rPr>
        <w:pict w14:anchorId="4695B7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0A4C3728-B03B-4F3E-A7B5-8B3CCBB6907A" style="width:455.25pt;height:336.75pt">
            <v:imagedata r:id="rId8" o:title=""/>
          </v:shape>
        </w:pict>
      </w:r>
    </w:p>
    <w:bookmarkEnd w:id="0"/>
    <w:p w14:paraId="1BCE3F28" w14:textId="77777777" w:rsidR="002C0325" w:rsidRDefault="002C0325" w:rsidP="002C0325">
      <w:pPr>
        <w:rPr>
          <w:noProof/>
        </w:rPr>
        <w:sectPr w:rsidR="002C0325" w:rsidSect="00623D1D">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119D2674" w14:textId="77777777" w:rsidR="002C0325" w:rsidRDefault="002C0325" w:rsidP="002C0325">
      <w:pPr>
        <w:jc w:val="center"/>
        <w:rPr>
          <w:rFonts w:ascii="Times New Roman" w:hAnsi="Times New Roman"/>
          <w:b/>
          <w:bCs/>
          <w:noProof/>
          <w:sz w:val="28"/>
          <w:szCs w:val="28"/>
        </w:rPr>
      </w:pPr>
      <w:bookmarkStart w:id="1" w:name="_GoBack"/>
      <w:bookmarkEnd w:id="1"/>
      <w:r w:rsidRPr="005B363F">
        <w:rPr>
          <w:rFonts w:ascii="Times New Roman" w:hAnsi="Times New Roman"/>
          <w:b/>
          <w:bCs/>
          <w:noProof/>
          <w:sz w:val="28"/>
          <w:szCs w:val="28"/>
        </w:rPr>
        <w:lastRenderedPageBreak/>
        <w:t>Funding to promote, protect and enforce fundamental rights</w:t>
      </w:r>
    </w:p>
    <w:p w14:paraId="54D8DF7F" w14:textId="77777777" w:rsidR="002C0325" w:rsidRPr="00C8514A" w:rsidRDefault="002C0325" w:rsidP="002C0325">
      <w:pPr>
        <w:jc w:val="center"/>
        <w:rPr>
          <w:noProof/>
        </w:rPr>
      </w:pPr>
      <w:r w:rsidRPr="00D1775C">
        <w:rPr>
          <w:rFonts w:ascii="Times New Roman" w:eastAsia="Times New Roman" w:hAnsi="Times New Roman"/>
          <w:b/>
          <w:bCs/>
          <w:noProof/>
          <w:sz w:val="24"/>
          <w:szCs w:val="24"/>
        </w:rPr>
        <w:t>202</w:t>
      </w:r>
      <w:r>
        <w:rPr>
          <w:rFonts w:ascii="Times New Roman" w:eastAsia="Times New Roman" w:hAnsi="Times New Roman"/>
          <w:b/>
          <w:bCs/>
          <w:noProof/>
          <w:sz w:val="24"/>
          <w:szCs w:val="24"/>
        </w:rPr>
        <w:t>4</w:t>
      </w:r>
      <w:r w:rsidRPr="00D1775C">
        <w:rPr>
          <w:rFonts w:ascii="Times New Roman" w:eastAsia="Times New Roman" w:hAnsi="Times New Roman"/>
          <w:b/>
          <w:bCs/>
          <w:noProof/>
          <w:sz w:val="24"/>
          <w:szCs w:val="24"/>
        </w:rPr>
        <w:t xml:space="preserve"> </w:t>
      </w:r>
      <w:r w:rsidRPr="00D1775C">
        <w:rPr>
          <w:rFonts w:ascii="Times New Roman" w:hAnsi="Times New Roman"/>
          <w:b/>
          <w:bCs/>
          <w:noProof/>
          <w:sz w:val="24"/>
          <w:szCs w:val="24"/>
        </w:rPr>
        <w:t>Annual report on the application of the</w:t>
      </w:r>
      <w:r w:rsidRPr="00D1775C">
        <w:rPr>
          <w:noProof/>
          <w:sz w:val="20"/>
          <w:szCs w:val="20"/>
        </w:rPr>
        <w:br/>
      </w:r>
      <w:r w:rsidRPr="00D1775C">
        <w:rPr>
          <w:rFonts w:ascii="Times New Roman" w:hAnsi="Times New Roman"/>
          <w:b/>
          <w:bCs/>
          <w:noProof/>
          <w:sz w:val="24"/>
          <w:szCs w:val="24"/>
        </w:rPr>
        <w:t>EU Charter of Fundamental Rights</w:t>
      </w:r>
    </w:p>
    <w:p w14:paraId="1F02DD2F" w14:textId="77777777" w:rsidR="002C0325" w:rsidRPr="00D1775C" w:rsidRDefault="002C0325" w:rsidP="002C0325">
      <w:pPr>
        <w:rPr>
          <w:noProof/>
        </w:rPr>
      </w:pPr>
    </w:p>
    <w:p w14:paraId="4BEC29F1" w14:textId="77777777" w:rsidR="002C0325" w:rsidRDefault="002C0325" w:rsidP="002C0325">
      <w:pPr>
        <w:pStyle w:val="Heading1"/>
        <w:numPr>
          <w:ilvl w:val="0"/>
          <w:numId w:val="0"/>
        </w:numPr>
        <w:ind w:left="567" w:hanging="567"/>
        <w:rPr>
          <w:noProof/>
        </w:rPr>
      </w:pPr>
    </w:p>
    <w:p w14:paraId="3E11E289" w14:textId="77777777" w:rsidR="002C0325" w:rsidRPr="00A16CAD" w:rsidRDefault="002C0325" w:rsidP="002C0325">
      <w:pPr>
        <w:pStyle w:val="TOCHeading"/>
        <w:keepNext/>
        <w:keepLines/>
        <w:suppressAutoHyphens/>
        <w:autoSpaceDN w:val="0"/>
        <w:contextualSpacing w:val="0"/>
        <w:jc w:val="center"/>
        <w:outlineLvl w:val="9"/>
        <w:rPr>
          <w:rFonts w:eastAsia="Times New Roman"/>
          <w:b w:val="0"/>
          <w:noProof/>
          <w:color w:val="auto"/>
          <w:sz w:val="24"/>
          <w:lang w:val="en-GB"/>
        </w:rPr>
      </w:pPr>
      <w:r w:rsidRPr="00A16CAD">
        <w:rPr>
          <w:rFonts w:eastAsia="Times New Roman"/>
          <w:b w:val="0"/>
          <w:noProof/>
          <w:color w:val="auto"/>
          <w:sz w:val="24"/>
          <w:lang w:val="en-GB"/>
        </w:rPr>
        <w:t>Table of contents</w:t>
      </w:r>
    </w:p>
    <w:p w14:paraId="4F2C6F65" w14:textId="77777777" w:rsidR="002C0325" w:rsidRPr="00D1775C" w:rsidRDefault="002C0325" w:rsidP="002C0325">
      <w:pPr>
        <w:rPr>
          <w:rFonts w:ascii="Times New Roman" w:hAnsi="Times New Roman"/>
          <w:noProof/>
          <w:sz w:val="24"/>
          <w:szCs w:val="24"/>
        </w:rPr>
      </w:pPr>
    </w:p>
    <w:p w14:paraId="0D1C13B5" w14:textId="7BE1B219" w:rsidR="005B0DD9" w:rsidRDefault="002C0325">
      <w:pPr>
        <w:pStyle w:val="TOC1"/>
        <w:rPr>
          <w:rFonts w:asciiTheme="minorHAnsi" w:eastAsiaTheme="minorEastAsia" w:hAnsiTheme="minorHAnsi" w:cstheme="minorBidi"/>
          <w:b w:val="0"/>
          <w:noProof/>
          <w:kern w:val="2"/>
          <w:lang w:val="en-IE" w:eastAsia="en-IE"/>
          <w14:ligatures w14:val="standardContextual"/>
        </w:rPr>
      </w:pPr>
      <w:r>
        <w:rPr>
          <w:bCs/>
          <w:noProof/>
        </w:rPr>
        <w:fldChar w:fldCharType="begin"/>
      </w:r>
      <w:r>
        <w:rPr>
          <w:bCs/>
          <w:noProof/>
        </w:rPr>
        <w:instrText xml:space="preserve"> TOC \o "1-3" \h \z \u </w:instrText>
      </w:r>
      <w:r>
        <w:rPr>
          <w:bCs/>
          <w:noProof/>
        </w:rPr>
        <w:fldChar w:fldCharType="separate"/>
      </w:r>
      <w:hyperlink w:anchor="_Toc178607502" w:history="1">
        <w:r w:rsidR="005B0DD9" w:rsidRPr="005F3E8E">
          <w:rPr>
            <w:rStyle w:val="Hyperlink"/>
            <w:noProof/>
          </w:rPr>
          <w:t>1.</w:t>
        </w:r>
        <w:r w:rsidR="005B0DD9">
          <w:rPr>
            <w:rFonts w:asciiTheme="minorHAnsi" w:eastAsiaTheme="minorEastAsia" w:hAnsiTheme="minorHAnsi" w:cstheme="minorBidi"/>
            <w:b w:val="0"/>
            <w:noProof/>
            <w:kern w:val="2"/>
            <w:lang w:val="en-IE" w:eastAsia="en-IE"/>
            <w14:ligatures w14:val="standardContextual"/>
          </w:rPr>
          <w:tab/>
        </w:r>
        <w:r w:rsidR="005B0DD9" w:rsidRPr="005F3E8E">
          <w:rPr>
            <w:rStyle w:val="Hyperlink"/>
            <w:noProof/>
          </w:rPr>
          <w:t>Introduction</w:t>
        </w:r>
        <w:r w:rsidR="005B0DD9">
          <w:rPr>
            <w:noProof/>
            <w:webHidden/>
          </w:rPr>
          <w:tab/>
        </w:r>
        <w:r w:rsidR="005B0DD9">
          <w:rPr>
            <w:noProof/>
            <w:webHidden/>
          </w:rPr>
          <w:fldChar w:fldCharType="begin"/>
        </w:r>
        <w:r w:rsidR="005B0DD9">
          <w:rPr>
            <w:noProof/>
            <w:webHidden/>
          </w:rPr>
          <w:instrText xml:space="preserve"> PAGEREF _Toc178607502 \h </w:instrText>
        </w:r>
        <w:r w:rsidR="005B0DD9">
          <w:rPr>
            <w:noProof/>
            <w:webHidden/>
          </w:rPr>
        </w:r>
        <w:r w:rsidR="005B0DD9">
          <w:rPr>
            <w:noProof/>
            <w:webHidden/>
          </w:rPr>
          <w:fldChar w:fldCharType="separate"/>
        </w:r>
        <w:r w:rsidR="005B0DD9">
          <w:rPr>
            <w:noProof/>
            <w:webHidden/>
          </w:rPr>
          <w:t>1</w:t>
        </w:r>
        <w:r w:rsidR="005B0DD9">
          <w:rPr>
            <w:noProof/>
            <w:webHidden/>
          </w:rPr>
          <w:fldChar w:fldCharType="end"/>
        </w:r>
      </w:hyperlink>
    </w:p>
    <w:p w14:paraId="092CCCAA" w14:textId="74D6D6DD" w:rsidR="005B0DD9" w:rsidRDefault="00623D1D">
      <w:pPr>
        <w:pStyle w:val="TOC1"/>
        <w:rPr>
          <w:rFonts w:asciiTheme="minorHAnsi" w:eastAsiaTheme="minorEastAsia" w:hAnsiTheme="minorHAnsi" w:cstheme="minorBidi"/>
          <w:b w:val="0"/>
          <w:noProof/>
          <w:kern w:val="2"/>
          <w:lang w:val="en-IE" w:eastAsia="en-IE"/>
          <w14:ligatures w14:val="standardContextual"/>
        </w:rPr>
      </w:pPr>
      <w:hyperlink w:anchor="_Toc178607503" w:history="1">
        <w:r w:rsidR="005B0DD9" w:rsidRPr="005F3E8E">
          <w:rPr>
            <w:rStyle w:val="Hyperlink"/>
            <w:noProof/>
          </w:rPr>
          <w:t>2.</w:t>
        </w:r>
        <w:r w:rsidR="005B0DD9">
          <w:rPr>
            <w:rFonts w:asciiTheme="minorHAnsi" w:eastAsiaTheme="minorEastAsia" w:hAnsiTheme="minorHAnsi" w:cstheme="minorBidi"/>
            <w:b w:val="0"/>
            <w:noProof/>
            <w:kern w:val="2"/>
            <w:lang w:val="en-IE" w:eastAsia="en-IE"/>
            <w14:ligatures w14:val="standardContextual"/>
          </w:rPr>
          <w:tab/>
        </w:r>
        <w:r w:rsidR="005B0DD9" w:rsidRPr="005F3E8E">
          <w:rPr>
            <w:rStyle w:val="Hyperlink"/>
            <w:noProof/>
          </w:rPr>
          <w:t>Promotion and protection of fundamental rights through the CERV programme</w:t>
        </w:r>
        <w:r w:rsidR="005B0DD9">
          <w:rPr>
            <w:noProof/>
            <w:webHidden/>
          </w:rPr>
          <w:tab/>
        </w:r>
        <w:r w:rsidR="005B0DD9">
          <w:rPr>
            <w:noProof/>
            <w:webHidden/>
          </w:rPr>
          <w:fldChar w:fldCharType="begin"/>
        </w:r>
        <w:r w:rsidR="005B0DD9">
          <w:rPr>
            <w:noProof/>
            <w:webHidden/>
          </w:rPr>
          <w:instrText xml:space="preserve"> PAGEREF _Toc178607503 \h </w:instrText>
        </w:r>
        <w:r w:rsidR="005B0DD9">
          <w:rPr>
            <w:noProof/>
            <w:webHidden/>
          </w:rPr>
        </w:r>
        <w:r w:rsidR="005B0DD9">
          <w:rPr>
            <w:noProof/>
            <w:webHidden/>
          </w:rPr>
          <w:fldChar w:fldCharType="separate"/>
        </w:r>
        <w:r w:rsidR="005B0DD9">
          <w:rPr>
            <w:noProof/>
            <w:webHidden/>
          </w:rPr>
          <w:t>5</w:t>
        </w:r>
        <w:r w:rsidR="005B0DD9">
          <w:rPr>
            <w:noProof/>
            <w:webHidden/>
          </w:rPr>
          <w:fldChar w:fldCharType="end"/>
        </w:r>
      </w:hyperlink>
    </w:p>
    <w:p w14:paraId="16B45B4B" w14:textId="1A8DCCFF" w:rsidR="005B0DD9" w:rsidRDefault="00623D1D">
      <w:pPr>
        <w:pStyle w:val="TOC1"/>
        <w:rPr>
          <w:rFonts w:asciiTheme="minorHAnsi" w:eastAsiaTheme="minorEastAsia" w:hAnsiTheme="minorHAnsi" w:cstheme="minorBidi"/>
          <w:b w:val="0"/>
          <w:noProof/>
          <w:kern w:val="2"/>
          <w:lang w:val="en-IE" w:eastAsia="en-IE"/>
          <w14:ligatures w14:val="standardContextual"/>
        </w:rPr>
      </w:pPr>
      <w:hyperlink w:anchor="_Toc178607504" w:history="1">
        <w:r w:rsidR="005B0DD9" w:rsidRPr="005F3E8E">
          <w:rPr>
            <w:rStyle w:val="Hyperlink"/>
            <w:noProof/>
          </w:rPr>
          <w:t>3.</w:t>
        </w:r>
        <w:r w:rsidR="005B0DD9">
          <w:rPr>
            <w:rFonts w:asciiTheme="minorHAnsi" w:eastAsiaTheme="minorEastAsia" w:hAnsiTheme="minorHAnsi" w:cstheme="minorBidi"/>
            <w:b w:val="0"/>
            <w:noProof/>
            <w:kern w:val="2"/>
            <w:lang w:val="en-IE" w:eastAsia="en-IE"/>
            <w14:ligatures w14:val="standardContextual"/>
          </w:rPr>
          <w:tab/>
        </w:r>
        <w:r w:rsidR="005B0DD9" w:rsidRPr="005F3E8E">
          <w:rPr>
            <w:rStyle w:val="Hyperlink"/>
            <w:noProof/>
          </w:rPr>
          <w:t>Promotion and protection of fundamental rights through other EU funding programmes</w:t>
        </w:r>
        <w:r w:rsidR="005B0DD9">
          <w:rPr>
            <w:noProof/>
            <w:webHidden/>
          </w:rPr>
          <w:tab/>
        </w:r>
        <w:r w:rsidR="005B0DD9">
          <w:rPr>
            <w:noProof/>
            <w:webHidden/>
          </w:rPr>
          <w:fldChar w:fldCharType="begin"/>
        </w:r>
        <w:r w:rsidR="005B0DD9">
          <w:rPr>
            <w:noProof/>
            <w:webHidden/>
          </w:rPr>
          <w:instrText xml:space="preserve"> PAGEREF _Toc178607504 \h </w:instrText>
        </w:r>
        <w:r w:rsidR="005B0DD9">
          <w:rPr>
            <w:noProof/>
            <w:webHidden/>
          </w:rPr>
        </w:r>
        <w:r w:rsidR="005B0DD9">
          <w:rPr>
            <w:noProof/>
            <w:webHidden/>
          </w:rPr>
          <w:fldChar w:fldCharType="separate"/>
        </w:r>
        <w:r w:rsidR="005B0DD9">
          <w:rPr>
            <w:noProof/>
            <w:webHidden/>
          </w:rPr>
          <w:t>9</w:t>
        </w:r>
        <w:r w:rsidR="005B0DD9">
          <w:rPr>
            <w:noProof/>
            <w:webHidden/>
          </w:rPr>
          <w:fldChar w:fldCharType="end"/>
        </w:r>
      </w:hyperlink>
    </w:p>
    <w:p w14:paraId="201F154E" w14:textId="07D0029B" w:rsidR="005B0DD9" w:rsidRDefault="00623D1D">
      <w:pPr>
        <w:pStyle w:val="TOC1"/>
        <w:rPr>
          <w:rFonts w:asciiTheme="minorHAnsi" w:eastAsiaTheme="minorEastAsia" w:hAnsiTheme="minorHAnsi" w:cstheme="minorBidi"/>
          <w:b w:val="0"/>
          <w:noProof/>
          <w:kern w:val="2"/>
          <w:lang w:val="en-IE" w:eastAsia="en-IE"/>
          <w14:ligatures w14:val="standardContextual"/>
        </w:rPr>
      </w:pPr>
      <w:hyperlink w:anchor="_Toc178607505" w:history="1">
        <w:r w:rsidR="005B0DD9" w:rsidRPr="005F3E8E">
          <w:rPr>
            <w:rStyle w:val="Hyperlink"/>
            <w:noProof/>
          </w:rPr>
          <w:t>4.</w:t>
        </w:r>
        <w:r w:rsidR="005B0DD9">
          <w:rPr>
            <w:rFonts w:asciiTheme="minorHAnsi" w:eastAsiaTheme="minorEastAsia" w:hAnsiTheme="minorHAnsi" w:cstheme="minorBidi"/>
            <w:b w:val="0"/>
            <w:noProof/>
            <w:kern w:val="2"/>
            <w:lang w:val="en-IE" w:eastAsia="en-IE"/>
            <w14:ligatures w14:val="standardContextual"/>
          </w:rPr>
          <w:tab/>
        </w:r>
        <w:r w:rsidR="005B0DD9" w:rsidRPr="005F3E8E">
          <w:rPr>
            <w:rStyle w:val="Hyperlink"/>
            <w:noProof/>
          </w:rPr>
          <w:t>Funding for fundamental rights in the Member States</w:t>
        </w:r>
        <w:r w:rsidR="005B0DD9">
          <w:rPr>
            <w:noProof/>
            <w:webHidden/>
          </w:rPr>
          <w:tab/>
        </w:r>
        <w:r w:rsidR="005B0DD9">
          <w:rPr>
            <w:noProof/>
            <w:webHidden/>
          </w:rPr>
          <w:fldChar w:fldCharType="begin"/>
        </w:r>
        <w:r w:rsidR="005B0DD9">
          <w:rPr>
            <w:noProof/>
            <w:webHidden/>
          </w:rPr>
          <w:instrText xml:space="preserve"> PAGEREF _Toc178607505 \h </w:instrText>
        </w:r>
        <w:r w:rsidR="005B0DD9">
          <w:rPr>
            <w:noProof/>
            <w:webHidden/>
          </w:rPr>
        </w:r>
        <w:r w:rsidR="005B0DD9">
          <w:rPr>
            <w:noProof/>
            <w:webHidden/>
          </w:rPr>
          <w:fldChar w:fldCharType="separate"/>
        </w:r>
        <w:r w:rsidR="005B0DD9">
          <w:rPr>
            <w:noProof/>
            <w:webHidden/>
          </w:rPr>
          <w:t>26</w:t>
        </w:r>
        <w:r w:rsidR="005B0DD9">
          <w:rPr>
            <w:noProof/>
            <w:webHidden/>
          </w:rPr>
          <w:fldChar w:fldCharType="end"/>
        </w:r>
      </w:hyperlink>
    </w:p>
    <w:p w14:paraId="638108A2" w14:textId="5FA4096A" w:rsidR="005B0DD9" w:rsidRDefault="00623D1D">
      <w:pPr>
        <w:pStyle w:val="TOC1"/>
        <w:rPr>
          <w:rFonts w:asciiTheme="minorHAnsi" w:eastAsiaTheme="minorEastAsia" w:hAnsiTheme="minorHAnsi" w:cstheme="minorBidi"/>
          <w:b w:val="0"/>
          <w:noProof/>
          <w:kern w:val="2"/>
          <w:lang w:val="en-IE" w:eastAsia="en-IE"/>
          <w14:ligatures w14:val="standardContextual"/>
        </w:rPr>
      </w:pPr>
      <w:hyperlink w:anchor="_Toc178607506" w:history="1">
        <w:r w:rsidR="005B0DD9" w:rsidRPr="005F3E8E">
          <w:rPr>
            <w:rStyle w:val="Hyperlink"/>
            <w:bCs/>
            <w:noProof/>
          </w:rPr>
          <w:t>5.</w:t>
        </w:r>
        <w:r w:rsidR="005B0DD9">
          <w:rPr>
            <w:rFonts w:asciiTheme="minorHAnsi" w:eastAsiaTheme="minorEastAsia" w:hAnsiTheme="minorHAnsi" w:cstheme="minorBidi"/>
            <w:b w:val="0"/>
            <w:noProof/>
            <w:kern w:val="2"/>
            <w:lang w:val="en-IE" w:eastAsia="en-IE"/>
            <w14:ligatures w14:val="standardContextual"/>
          </w:rPr>
          <w:tab/>
        </w:r>
        <w:r w:rsidR="005B0DD9" w:rsidRPr="005F3E8E">
          <w:rPr>
            <w:rStyle w:val="Hyperlink"/>
            <w:bCs/>
            <w:noProof/>
          </w:rPr>
          <w:t>Cooperation between the EU and other public and private donors</w:t>
        </w:r>
        <w:r w:rsidR="005B0DD9">
          <w:rPr>
            <w:noProof/>
            <w:webHidden/>
          </w:rPr>
          <w:tab/>
        </w:r>
        <w:r w:rsidR="005B0DD9">
          <w:rPr>
            <w:noProof/>
            <w:webHidden/>
          </w:rPr>
          <w:fldChar w:fldCharType="begin"/>
        </w:r>
        <w:r w:rsidR="005B0DD9">
          <w:rPr>
            <w:noProof/>
            <w:webHidden/>
          </w:rPr>
          <w:instrText xml:space="preserve"> PAGEREF _Toc178607506 \h </w:instrText>
        </w:r>
        <w:r w:rsidR="005B0DD9">
          <w:rPr>
            <w:noProof/>
            <w:webHidden/>
          </w:rPr>
        </w:r>
        <w:r w:rsidR="005B0DD9">
          <w:rPr>
            <w:noProof/>
            <w:webHidden/>
          </w:rPr>
          <w:fldChar w:fldCharType="separate"/>
        </w:r>
        <w:r w:rsidR="005B0DD9">
          <w:rPr>
            <w:noProof/>
            <w:webHidden/>
          </w:rPr>
          <w:t>32</w:t>
        </w:r>
        <w:r w:rsidR="005B0DD9">
          <w:rPr>
            <w:noProof/>
            <w:webHidden/>
          </w:rPr>
          <w:fldChar w:fldCharType="end"/>
        </w:r>
      </w:hyperlink>
    </w:p>
    <w:p w14:paraId="68350AA3" w14:textId="74309B31" w:rsidR="005B0DD9" w:rsidRDefault="00623D1D">
      <w:pPr>
        <w:pStyle w:val="TOC1"/>
        <w:rPr>
          <w:rFonts w:asciiTheme="minorHAnsi" w:eastAsiaTheme="minorEastAsia" w:hAnsiTheme="minorHAnsi" w:cstheme="minorBidi"/>
          <w:b w:val="0"/>
          <w:noProof/>
          <w:kern w:val="2"/>
          <w:lang w:val="en-IE" w:eastAsia="en-IE"/>
          <w14:ligatures w14:val="standardContextual"/>
        </w:rPr>
      </w:pPr>
      <w:hyperlink w:anchor="_Toc178607507" w:history="1">
        <w:r w:rsidR="005B0DD9" w:rsidRPr="005F3E8E">
          <w:rPr>
            <w:rStyle w:val="Hyperlink"/>
            <w:noProof/>
          </w:rPr>
          <w:t>6.</w:t>
        </w:r>
        <w:r w:rsidR="005B0DD9">
          <w:rPr>
            <w:rFonts w:asciiTheme="minorHAnsi" w:eastAsiaTheme="minorEastAsia" w:hAnsiTheme="minorHAnsi" w:cstheme="minorBidi"/>
            <w:b w:val="0"/>
            <w:noProof/>
            <w:kern w:val="2"/>
            <w:lang w:val="en-IE" w:eastAsia="en-IE"/>
            <w14:ligatures w14:val="standardContextual"/>
          </w:rPr>
          <w:tab/>
        </w:r>
        <w:r w:rsidR="005B0DD9" w:rsidRPr="005F3E8E">
          <w:rPr>
            <w:rStyle w:val="Hyperlink"/>
            <w:noProof/>
          </w:rPr>
          <w:t>Conclusion</w:t>
        </w:r>
        <w:r w:rsidR="005B0DD9">
          <w:rPr>
            <w:noProof/>
            <w:webHidden/>
          </w:rPr>
          <w:tab/>
        </w:r>
        <w:r w:rsidR="005B0DD9">
          <w:rPr>
            <w:noProof/>
            <w:webHidden/>
          </w:rPr>
          <w:fldChar w:fldCharType="begin"/>
        </w:r>
        <w:r w:rsidR="005B0DD9">
          <w:rPr>
            <w:noProof/>
            <w:webHidden/>
          </w:rPr>
          <w:instrText xml:space="preserve"> PAGEREF _Toc178607507 \h </w:instrText>
        </w:r>
        <w:r w:rsidR="005B0DD9">
          <w:rPr>
            <w:noProof/>
            <w:webHidden/>
          </w:rPr>
        </w:r>
        <w:r w:rsidR="005B0DD9">
          <w:rPr>
            <w:noProof/>
            <w:webHidden/>
          </w:rPr>
          <w:fldChar w:fldCharType="separate"/>
        </w:r>
        <w:r w:rsidR="005B0DD9">
          <w:rPr>
            <w:noProof/>
            <w:webHidden/>
          </w:rPr>
          <w:t>37</w:t>
        </w:r>
        <w:r w:rsidR="005B0DD9">
          <w:rPr>
            <w:noProof/>
            <w:webHidden/>
          </w:rPr>
          <w:fldChar w:fldCharType="end"/>
        </w:r>
      </w:hyperlink>
    </w:p>
    <w:p w14:paraId="1F02097A" w14:textId="55E5FC9C" w:rsidR="002C0325" w:rsidRPr="004907CC" w:rsidRDefault="002C0325" w:rsidP="002C0325">
      <w:pPr>
        <w:rPr>
          <w:rFonts w:ascii="Times New Roman" w:hAnsi="Times New Roman"/>
          <w:noProof/>
        </w:rPr>
      </w:pPr>
      <w:r>
        <w:rPr>
          <w:rFonts w:ascii="Times New Roman" w:hAnsi="Times New Roman" w:cs="Times New Roman"/>
          <w:bCs/>
          <w:noProof/>
          <w:lang w:val="en-GB"/>
        </w:rPr>
        <w:fldChar w:fldCharType="end"/>
      </w:r>
    </w:p>
    <w:p w14:paraId="749E8289" w14:textId="29A6568D" w:rsidR="007F3805" w:rsidRDefault="007F3805" w:rsidP="002C0325">
      <w:pPr>
        <w:rPr>
          <w:rFonts w:ascii="Times New Roman" w:hAnsi="Times New Roman"/>
          <w:noProof/>
        </w:rPr>
        <w:sectPr w:rsidR="007F3805" w:rsidSect="00DB5AF8">
          <w:headerReference w:type="even" r:id="rId15"/>
          <w:headerReference w:type="default" r:id="rId16"/>
          <w:footerReference w:type="even" r:id="rId17"/>
          <w:footerReference w:type="default" r:id="rId18"/>
          <w:headerReference w:type="first" r:id="rId19"/>
          <w:footerReference w:type="first" r:id="rId20"/>
          <w:pgSz w:w="11906" w:h="16838" w:code="9"/>
          <w:pgMar w:top="1134" w:right="1417" w:bottom="1134" w:left="1417" w:header="709" w:footer="709" w:gutter="0"/>
          <w:pgNumType w:start="0"/>
          <w:cols w:space="720"/>
          <w:docGrid w:linePitch="360"/>
        </w:sectPr>
      </w:pPr>
    </w:p>
    <w:p w14:paraId="2C32564D" w14:textId="77777777" w:rsidR="002C0325" w:rsidRDefault="002C0325" w:rsidP="002C0325">
      <w:pPr>
        <w:rPr>
          <w:rFonts w:ascii="Times New Roman" w:hAnsi="Times New Roman"/>
          <w:noProof/>
        </w:rPr>
      </w:pPr>
    </w:p>
    <w:p w14:paraId="22259EAB" w14:textId="77777777" w:rsidR="002C0325" w:rsidRPr="004907CC" w:rsidRDefault="002C0325" w:rsidP="002C0325">
      <w:pPr>
        <w:pStyle w:val="Heading1"/>
        <w:rPr>
          <w:noProof/>
        </w:rPr>
      </w:pPr>
      <w:bookmarkStart w:id="2" w:name="_Toc152175533"/>
      <w:bookmarkStart w:id="3" w:name="_Toc152175534"/>
      <w:bookmarkStart w:id="4" w:name="_Toc178607502"/>
      <w:bookmarkEnd w:id="2"/>
      <w:bookmarkEnd w:id="3"/>
      <w:r w:rsidRPr="004907CC">
        <w:rPr>
          <w:noProof/>
        </w:rPr>
        <w:t>Introduction</w:t>
      </w:r>
      <w:bookmarkEnd w:id="4"/>
    </w:p>
    <w:p w14:paraId="1844BFAB" w14:textId="77777777" w:rsidR="002C0325" w:rsidRPr="00D1775C" w:rsidRDefault="002C0325" w:rsidP="002C0325">
      <w:pPr>
        <w:jc w:val="both"/>
        <w:rPr>
          <w:rFonts w:ascii="Times New Roman" w:hAnsi="Times New Roman"/>
          <w:noProof/>
          <w:sz w:val="24"/>
          <w:szCs w:val="24"/>
        </w:rPr>
      </w:pPr>
      <w:bookmarkStart w:id="5" w:name="_Hlk145520945"/>
      <w:r w:rsidRPr="00DD2FB2">
        <w:rPr>
          <w:rFonts w:ascii="Times New Roman" w:hAnsi="Times New Roman"/>
          <w:noProof/>
          <w:sz w:val="24"/>
          <w:szCs w:val="24"/>
        </w:rPr>
        <w:t xml:space="preserve">The Charter of Fundamental Rights of the European Union (the Charter) </w:t>
      </w:r>
      <w:r>
        <w:rPr>
          <w:rFonts w:ascii="Times New Roman" w:hAnsi="Times New Roman"/>
          <w:noProof/>
          <w:sz w:val="24"/>
          <w:szCs w:val="24"/>
        </w:rPr>
        <w:t xml:space="preserve">brings together the fundamental rights to which everyone in the European Union is entitled. </w:t>
      </w:r>
      <w:r w:rsidDel="00A70893">
        <w:rPr>
          <w:rFonts w:ascii="Times New Roman" w:hAnsi="Times New Roman"/>
          <w:noProof/>
          <w:sz w:val="24"/>
          <w:szCs w:val="24"/>
        </w:rPr>
        <w:t>With the 25</w:t>
      </w:r>
      <w:r w:rsidRPr="0033421B" w:rsidDel="00A70893">
        <w:rPr>
          <w:rFonts w:ascii="Times New Roman" w:hAnsi="Times New Roman"/>
          <w:noProof/>
          <w:sz w:val="24"/>
          <w:szCs w:val="24"/>
          <w:vertAlign w:val="superscript"/>
        </w:rPr>
        <w:t>th</w:t>
      </w:r>
      <w:r w:rsidDel="00A70893">
        <w:rPr>
          <w:rFonts w:ascii="Times New Roman" w:hAnsi="Times New Roman"/>
          <w:noProof/>
          <w:sz w:val="24"/>
          <w:szCs w:val="24"/>
        </w:rPr>
        <w:t xml:space="preserve"> anniversary of its proclamation drawing closer</w:t>
      </w:r>
      <w:r>
        <w:rPr>
          <w:rFonts w:ascii="Times New Roman" w:hAnsi="Times New Roman"/>
          <w:noProof/>
          <w:sz w:val="24"/>
          <w:szCs w:val="24"/>
        </w:rPr>
        <w:t xml:space="preserve"> </w:t>
      </w:r>
      <w:r w:rsidDel="00A70893">
        <w:rPr>
          <w:rFonts w:ascii="Times New Roman" w:hAnsi="Times New Roman"/>
          <w:noProof/>
          <w:sz w:val="24"/>
          <w:szCs w:val="24"/>
        </w:rPr>
        <w:t>in 2025, the rights</w:t>
      </w:r>
      <w:r>
        <w:rPr>
          <w:rFonts w:ascii="Times New Roman" w:hAnsi="Times New Roman"/>
          <w:noProof/>
          <w:sz w:val="24"/>
          <w:szCs w:val="24"/>
        </w:rPr>
        <w:t>, freedoms and principles</w:t>
      </w:r>
      <w:r w:rsidDel="00A70893">
        <w:rPr>
          <w:rFonts w:ascii="Times New Roman" w:hAnsi="Times New Roman"/>
          <w:noProof/>
          <w:sz w:val="24"/>
          <w:szCs w:val="24"/>
        </w:rPr>
        <w:t xml:space="preserve"> </w:t>
      </w:r>
      <w:r>
        <w:rPr>
          <w:rFonts w:ascii="Times New Roman" w:hAnsi="Times New Roman"/>
          <w:noProof/>
          <w:sz w:val="24"/>
          <w:szCs w:val="24"/>
        </w:rPr>
        <w:t>of</w:t>
      </w:r>
      <w:r w:rsidDel="00A70893">
        <w:rPr>
          <w:rFonts w:ascii="Times New Roman" w:hAnsi="Times New Roman"/>
          <w:noProof/>
          <w:sz w:val="24"/>
          <w:szCs w:val="24"/>
        </w:rPr>
        <w:t xml:space="preserve"> the Charter remain as important as ever. </w:t>
      </w:r>
    </w:p>
    <w:tbl>
      <w:tblPr>
        <w:tblW w:w="9576" w:type="dxa"/>
        <w:tblCellMar>
          <w:left w:w="10" w:type="dxa"/>
          <w:right w:w="10" w:type="dxa"/>
        </w:tblCellMar>
        <w:tblLook w:val="04A0" w:firstRow="1" w:lastRow="0" w:firstColumn="1" w:lastColumn="0" w:noHBand="0" w:noVBand="1"/>
      </w:tblPr>
      <w:tblGrid>
        <w:gridCol w:w="9576"/>
      </w:tblGrid>
      <w:tr w:rsidR="002C0325" w:rsidRPr="00D1775C" w14:paraId="1D9BA4EF" w14:textId="77777777" w:rsidTr="00352B78">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9C9C8" w14:textId="77777777" w:rsidR="002C0325" w:rsidRPr="005B3555" w:rsidRDefault="002C0325" w:rsidP="00352B78">
            <w:pPr>
              <w:spacing w:after="120" w:line="240" w:lineRule="auto"/>
              <w:jc w:val="both"/>
              <w:rPr>
                <w:noProof/>
              </w:rPr>
            </w:pPr>
            <w:r w:rsidRPr="00D1775C">
              <w:rPr>
                <w:rFonts w:ascii="Times New Roman" w:hAnsi="Times New Roman"/>
                <w:i/>
                <w:iCs/>
                <w:noProof/>
                <w:sz w:val="24"/>
                <w:szCs w:val="24"/>
              </w:rPr>
              <w:t>When does the Charter apply?</w:t>
            </w:r>
          </w:p>
          <w:p w14:paraId="7B3EBC25" w14:textId="77777777" w:rsidR="002C0325" w:rsidRPr="005B3555" w:rsidRDefault="002C0325" w:rsidP="00352B78">
            <w:pPr>
              <w:spacing w:after="120" w:line="240" w:lineRule="auto"/>
              <w:jc w:val="both"/>
              <w:rPr>
                <w:noProof/>
              </w:rPr>
            </w:pPr>
            <w:r w:rsidRPr="00D1775C">
              <w:rPr>
                <w:rFonts w:ascii="Times New Roman" w:hAnsi="Times New Roman"/>
                <w:noProof/>
                <w:sz w:val="24"/>
                <w:szCs w:val="24"/>
              </w:rPr>
              <w:t xml:space="preserve">Since 2009, the Charter has the same legal </w:t>
            </w:r>
            <w:r>
              <w:rPr>
                <w:rFonts w:ascii="Times New Roman" w:hAnsi="Times New Roman"/>
                <w:noProof/>
                <w:sz w:val="24"/>
                <w:szCs w:val="24"/>
              </w:rPr>
              <w:t>value</w:t>
            </w:r>
            <w:r w:rsidRPr="00D1775C">
              <w:rPr>
                <w:rFonts w:ascii="Times New Roman" w:hAnsi="Times New Roman"/>
                <w:noProof/>
                <w:sz w:val="24"/>
                <w:szCs w:val="24"/>
              </w:rPr>
              <w:t xml:space="preserve"> as the Treaties, the EU law on which EU legislation </w:t>
            </w:r>
            <w:r>
              <w:rPr>
                <w:rFonts w:ascii="Times New Roman" w:hAnsi="Times New Roman"/>
                <w:noProof/>
                <w:sz w:val="24"/>
                <w:szCs w:val="24"/>
              </w:rPr>
              <w:t>and policies are</w:t>
            </w:r>
            <w:r w:rsidRPr="00D1775C">
              <w:rPr>
                <w:rFonts w:ascii="Times New Roman" w:hAnsi="Times New Roman"/>
                <w:noProof/>
                <w:sz w:val="24"/>
                <w:szCs w:val="24"/>
              </w:rPr>
              <w:t xml:space="preserve"> based</w:t>
            </w:r>
            <w:r w:rsidRPr="00D1775C">
              <w:rPr>
                <w:rStyle w:val="FootnoteReference"/>
                <w:noProof/>
              </w:rPr>
              <w:footnoteReference w:id="1"/>
            </w:r>
            <w:r w:rsidRPr="00D1775C">
              <w:rPr>
                <w:rFonts w:ascii="Times New Roman" w:hAnsi="Times New Roman"/>
                <w:noProof/>
                <w:sz w:val="24"/>
                <w:szCs w:val="24"/>
              </w:rPr>
              <w:t>. EU institutions</w:t>
            </w:r>
            <w:r>
              <w:rPr>
                <w:rFonts w:ascii="Times New Roman" w:hAnsi="Times New Roman"/>
                <w:noProof/>
                <w:sz w:val="24"/>
                <w:szCs w:val="24"/>
              </w:rPr>
              <w:t>,</w:t>
            </w:r>
            <w:r w:rsidRPr="00D1775C">
              <w:rPr>
                <w:rFonts w:ascii="Times New Roman" w:hAnsi="Times New Roman"/>
                <w:noProof/>
                <w:sz w:val="24"/>
                <w:szCs w:val="24"/>
              </w:rPr>
              <w:t xml:space="preserve"> </w:t>
            </w:r>
            <w:r w:rsidRPr="0033421B">
              <w:rPr>
                <w:rFonts w:ascii="Times New Roman" w:hAnsi="Times New Roman"/>
                <w:noProof/>
                <w:sz w:val="24"/>
                <w:szCs w:val="24"/>
              </w:rPr>
              <w:t>bodies, offices and agencies</w:t>
            </w:r>
            <w:r w:rsidRPr="00D1775C">
              <w:rPr>
                <w:rFonts w:ascii="Times New Roman" w:hAnsi="Times New Roman"/>
                <w:noProof/>
                <w:sz w:val="24"/>
                <w:szCs w:val="24"/>
              </w:rPr>
              <w:t xml:space="preserve"> must comply with it in all their activities, </w:t>
            </w:r>
            <w:r>
              <w:rPr>
                <w:rFonts w:ascii="Times New Roman" w:hAnsi="Times New Roman"/>
                <w:noProof/>
                <w:sz w:val="24"/>
                <w:szCs w:val="24"/>
              </w:rPr>
              <w:t>as must the</w:t>
            </w:r>
            <w:r w:rsidRPr="00D1775C">
              <w:rPr>
                <w:rFonts w:ascii="Times New Roman" w:hAnsi="Times New Roman"/>
                <w:noProof/>
                <w:sz w:val="24"/>
                <w:szCs w:val="24"/>
              </w:rPr>
              <w:t xml:space="preserve"> Member States when they implement EU law</w:t>
            </w:r>
            <w:r w:rsidRPr="00D1775C">
              <w:rPr>
                <w:rStyle w:val="FootnoteReference"/>
                <w:noProof/>
              </w:rPr>
              <w:footnoteReference w:id="2"/>
            </w:r>
            <w:r w:rsidRPr="00D1775C">
              <w:rPr>
                <w:rFonts w:ascii="Times New Roman" w:hAnsi="Times New Roman"/>
                <w:noProof/>
                <w:sz w:val="24"/>
                <w:szCs w:val="24"/>
              </w:rPr>
              <w:t>.</w:t>
            </w:r>
          </w:p>
          <w:p w14:paraId="30C4C404" w14:textId="77777777" w:rsidR="002C0325" w:rsidRPr="00D1775C" w:rsidRDefault="002C0325" w:rsidP="00352B78">
            <w:pPr>
              <w:spacing w:after="120" w:line="240" w:lineRule="auto"/>
              <w:jc w:val="both"/>
              <w:rPr>
                <w:rFonts w:ascii="Times New Roman" w:hAnsi="Times New Roman"/>
                <w:noProof/>
                <w:sz w:val="24"/>
                <w:szCs w:val="24"/>
              </w:rPr>
            </w:pPr>
            <w:bookmarkStart w:id="6" w:name="_Hlk139969934"/>
            <w:r w:rsidRPr="00D1775C">
              <w:rPr>
                <w:rFonts w:ascii="Times New Roman" w:hAnsi="Times New Roman"/>
                <w:noProof/>
                <w:sz w:val="24"/>
                <w:szCs w:val="24"/>
              </w:rPr>
              <w:t xml:space="preserve">Member States implement EU law </w:t>
            </w:r>
            <w:r>
              <w:rPr>
                <w:rFonts w:ascii="Times New Roman" w:hAnsi="Times New Roman"/>
                <w:noProof/>
                <w:sz w:val="24"/>
                <w:szCs w:val="24"/>
              </w:rPr>
              <w:t xml:space="preserve">notably </w:t>
            </w:r>
            <w:r w:rsidRPr="00D1775C">
              <w:rPr>
                <w:rFonts w:ascii="Times New Roman" w:hAnsi="Times New Roman"/>
                <w:noProof/>
                <w:sz w:val="24"/>
                <w:szCs w:val="24"/>
              </w:rPr>
              <w:t>when they:</w:t>
            </w:r>
          </w:p>
          <w:p w14:paraId="07A08893" w14:textId="77777777" w:rsidR="002C0325" w:rsidRPr="00D1775C" w:rsidRDefault="002C0325" w:rsidP="00352B78">
            <w:pPr>
              <w:spacing w:after="120" w:line="240" w:lineRule="auto"/>
              <w:jc w:val="both"/>
              <w:rPr>
                <w:rFonts w:ascii="Times New Roman" w:hAnsi="Times New Roman"/>
                <w:noProof/>
                <w:sz w:val="24"/>
                <w:szCs w:val="24"/>
              </w:rPr>
            </w:pPr>
            <w:r w:rsidRPr="00D1775C">
              <w:rPr>
                <w:rFonts w:ascii="Times New Roman" w:hAnsi="Times New Roman"/>
                <w:noProof/>
                <w:sz w:val="24"/>
                <w:szCs w:val="24"/>
              </w:rPr>
              <w:t>- give effect to EU legislation by adopting national implementing measures;</w:t>
            </w:r>
          </w:p>
          <w:p w14:paraId="34A42EF1" w14:textId="77777777" w:rsidR="002C0325" w:rsidRPr="005B3555" w:rsidRDefault="002C0325" w:rsidP="00352B78">
            <w:pPr>
              <w:spacing w:after="120" w:line="240" w:lineRule="auto"/>
              <w:jc w:val="both"/>
              <w:rPr>
                <w:noProof/>
              </w:rPr>
            </w:pPr>
            <w:r w:rsidRPr="00D1775C">
              <w:rPr>
                <w:rFonts w:ascii="Times New Roman" w:hAnsi="Times New Roman"/>
                <w:noProof/>
                <w:sz w:val="24"/>
                <w:szCs w:val="24"/>
              </w:rPr>
              <w:t>- adopt legislation where EU law imposes specific obligations, or allows for a derogation</w:t>
            </w:r>
            <w:r w:rsidRPr="00D1775C">
              <w:rPr>
                <w:rStyle w:val="FootnoteReference"/>
                <w:noProof/>
              </w:rPr>
              <w:footnoteReference w:id="3"/>
            </w:r>
            <w:r w:rsidRPr="00D1775C">
              <w:rPr>
                <w:rFonts w:ascii="Times New Roman" w:hAnsi="Times New Roman"/>
                <w:noProof/>
                <w:sz w:val="24"/>
                <w:szCs w:val="24"/>
              </w:rPr>
              <w:t xml:space="preserve">; </w:t>
            </w:r>
          </w:p>
          <w:p w14:paraId="19A9AE97" w14:textId="77777777" w:rsidR="002C0325" w:rsidRPr="00D1775C" w:rsidRDefault="002C0325" w:rsidP="00352B78">
            <w:pPr>
              <w:spacing w:after="120" w:line="240" w:lineRule="auto"/>
              <w:jc w:val="both"/>
              <w:rPr>
                <w:rFonts w:ascii="Times New Roman" w:hAnsi="Times New Roman"/>
                <w:noProof/>
                <w:sz w:val="24"/>
                <w:szCs w:val="24"/>
              </w:rPr>
            </w:pPr>
            <w:r w:rsidRPr="00D1775C">
              <w:rPr>
                <w:rFonts w:ascii="Times New Roman" w:hAnsi="Times New Roman"/>
                <w:noProof/>
                <w:sz w:val="24"/>
                <w:szCs w:val="24"/>
              </w:rPr>
              <w:t xml:space="preserve">- implement EU funding programmes in line with the EU funding rules. </w:t>
            </w:r>
            <w:bookmarkEnd w:id="6"/>
          </w:p>
        </w:tc>
      </w:tr>
    </w:tbl>
    <w:p w14:paraId="771322A3" w14:textId="77777777" w:rsidR="002C0325" w:rsidRDefault="002C0325" w:rsidP="002C0325">
      <w:pPr>
        <w:spacing w:before="240" w:line="276" w:lineRule="auto"/>
        <w:jc w:val="both"/>
        <w:rPr>
          <w:rFonts w:ascii="Times New Roman" w:hAnsi="Times New Roman"/>
          <w:noProof/>
          <w:sz w:val="24"/>
          <w:szCs w:val="24"/>
        </w:rPr>
      </w:pPr>
      <w:r>
        <w:rPr>
          <w:rFonts w:ascii="Times New Roman" w:hAnsi="Times New Roman"/>
          <w:noProof/>
          <w:sz w:val="24"/>
          <w:szCs w:val="24"/>
        </w:rPr>
        <w:t xml:space="preserve">In its </w:t>
      </w:r>
      <w:r w:rsidRPr="00D1775C">
        <w:rPr>
          <w:rFonts w:ascii="Times New Roman" w:hAnsi="Times New Roman"/>
          <w:noProof/>
          <w:sz w:val="24"/>
          <w:szCs w:val="24"/>
        </w:rPr>
        <w:t>2020 Strategy to strengthen the application of the Charter of Fundamental Rights in the EU (the Charter strategy)</w:t>
      </w:r>
      <w:r w:rsidRPr="00D1775C">
        <w:rPr>
          <w:rStyle w:val="FootnoteReference"/>
          <w:noProof/>
        </w:rPr>
        <w:footnoteReference w:id="4"/>
      </w:r>
      <w:r w:rsidRPr="00D1775C">
        <w:rPr>
          <w:rFonts w:ascii="Times New Roman" w:hAnsi="Times New Roman"/>
          <w:noProof/>
          <w:sz w:val="24"/>
          <w:szCs w:val="24"/>
        </w:rPr>
        <w:t>,</w:t>
      </w:r>
      <w:r>
        <w:rPr>
          <w:rFonts w:ascii="Times New Roman" w:hAnsi="Times New Roman"/>
          <w:noProof/>
          <w:sz w:val="24"/>
          <w:szCs w:val="24"/>
        </w:rPr>
        <w:t xml:space="preserve"> the European Commission set out measures to enhance the use of the Charter</w:t>
      </w:r>
      <w:r w:rsidDel="005009C4">
        <w:rPr>
          <w:rStyle w:val="FootnoteReference"/>
          <w:noProof/>
        </w:rPr>
        <w:footnoteReference w:id="5"/>
      </w:r>
      <w:r>
        <w:rPr>
          <w:rFonts w:ascii="Times New Roman" w:hAnsi="Times New Roman"/>
          <w:noProof/>
          <w:sz w:val="24"/>
          <w:szCs w:val="24"/>
        </w:rPr>
        <w:t xml:space="preserve"> to support the application of fundamental rights across EU policies. One way for the Commission to showcase the Charter’s application is by presenting </w:t>
      </w:r>
      <w:r w:rsidRPr="00D1775C">
        <w:rPr>
          <w:rFonts w:ascii="Times New Roman" w:hAnsi="Times New Roman"/>
          <w:noProof/>
          <w:sz w:val="24"/>
          <w:szCs w:val="24"/>
        </w:rPr>
        <w:t xml:space="preserve">thematic </w:t>
      </w:r>
      <w:r>
        <w:rPr>
          <w:rFonts w:ascii="Times New Roman" w:hAnsi="Times New Roman"/>
          <w:noProof/>
          <w:sz w:val="24"/>
          <w:szCs w:val="24"/>
        </w:rPr>
        <w:t xml:space="preserve">annual </w:t>
      </w:r>
      <w:r w:rsidRPr="00D1775C">
        <w:rPr>
          <w:rFonts w:ascii="Times New Roman" w:hAnsi="Times New Roman"/>
          <w:noProof/>
          <w:sz w:val="24"/>
          <w:szCs w:val="24"/>
        </w:rPr>
        <w:t>reports</w:t>
      </w:r>
      <w:r>
        <w:rPr>
          <w:rFonts w:ascii="Times New Roman" w:hAnsi="Times New Roman"/>
          <w:noProof/>
          <w:sz w:val="24"/>
          <w:szCs w:val="24"/>
        </w:rPr>
        <w:t xml:space="preserve"> </w:t>
      </w:r>
      <w:r w:rsidRPr="00D1775C">
        <w:rPr>
          <w:rFonts w:ascii="Times New Roman" w:hAnsi="Times New Roman"/>
          <w:noProof/>
          <w:sz w:val="24"/>
          <w:szCs w:val="24"/>
        </w:rPr>
        <w:t>on the application of the Charter</w:t>
      </w:r>
      <w:r w:rsidRPr="00D1775C">
        <w:rPr>
          <w:rStyle w:val="FootnoteReference"/>
          <w:noProof/>
        </w:rPr>
        <w:footnoteReference w:id="6"/>
      </w:r>
      <w:r w:rsidRPr="00D1775C">
        <w:rPr>
          <w:rFonts w:ascii="Times New Roman" w:hAnsi="Times New Roman"/>
          <w:noProof/>
          <w:sz w:val="24"/>
          <w:szCs w:val="24"/>
        </w:rPr>
        <w:t xml:space="preserve">. </w:t>
      </w:r>
      <w:r>
        <w:rPr>
          <w:rFonts w:ascii="Times New Roman" w:hAnsi="Times New Roman"/>
          <w:noProof/>
          <w:sz w:val="24"/>
          <w:szCs w:val="24"/>
        </w:rPr>
        <w:t>T</w:t>
      </w:r>
      <w:r w:rsidRPr="00D1775C">
        <w:rPr>
          <w:rFonts w:ascii="Times New Roman" w:hAnsi="Times New Roman"/>
          <w:noProof/>
          <w:sz w:val="24"/>
          <w:szCs w:val="24"/>
        </w:rPr>
        <w:t xml:space="preserve">his year’s Charter report </w:t>
      </w:r>
      <w:r>
        <w:rPr>
          <w:rFonts w:ascii="Times New Roman" w:hAnsi="Times New Roman"/>
          <w:noProof/>
          <w:sz w:val="24"/>
          <w:szCs w:val="24"/>
        </w:rPr>
        <w:t xml:space="preserve">is dedicated to </w:t>
      </w:r>
      <w:r w:rsidRPr="00DE01A2">
        <w:rPr>
          <w:rFonts w:ascii="Times New Roman" w:hAnsi="Times New Roman"/>
          <w:b/>
          <w:bCs/>
          <w:noProof/>
          <w:sz w:val="24"/>
          <w:szCs w:val="24"/>
        </w:rPr>
        <w:t>funding to promote, protect and enforce fundamental rights</w:t>
      </w:r>
      <w:r w:rsidRPr="00D1775C">
        <w:rPr>
          <w:rFonts w:ascii="Times New Roman" w:hAnsi="Times New Roman"/>
          <w:noProof/>
          <w:sz w:val="24"/>
          <w:szCs w:val="24"/>
        </w:rPr>
        <w:t xml:space="preserve">. </w:t>
      </w:r>
    </w:p>
    <w:tbl>
      <w:tblPr>
        <w:tblW w:w="9576" w:type="dxa"/>
        <w:tblCellMar>
          <w:left w:w="10" w:type="dxa"/>
          <w:right w:w="10" w:type="dxa"/>
        </w:tblCellMar>
        <w:tblLook w:val="04A0" w:firstRow="1" w:lastRow="0" w:firstColumn="1" w:lastColumn="0" w:noHBand="0" w:noVBand="1"/>
      </w:tblPr>
      <w:tblGrid>
        <w:gridCol w:w="9576"/>
      </w:tblGrid>
      <w:tr w:rsidR="002C0325" w:rsidRPr="00D1775C" w14:paraId="012B8F3F" w14:textId="77777777" w:rsidTr="00352B78">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24C1CC" w14:textId="77777777" w:rsidR="002C0325" w:rsidRPr="00D1775C" w:rsidRDefault="002C0325" w:rsidP="00352B78">
            <w:pPr>
              <w:spacing w:after="120" w:line="240" w:lineRule="auto"/>
              <w:jc w:val="both"/>
              <w:rPr>
                <w:rFonts w:ascii="Times New Roman" w:hAnsi="Times New Roman"/>
                <w:noProof/>
                <w:sz w:val="24"/>
                <w:szCs w:val="24"/>
              </w:rPr>
            </w:pPr>
            <w:r>
              <w:rPr>
                <w:rFonts w:ascii="Times New Roman" w:hAnsi="Times New Roman"/>
                <w:i/>
                <w:iCs/>
                <w:noProof/>
                <w:sz w:val="24"/>
                <w:szCs w:val="24"/>
              </w:rPr>
              <w:t xml:space="preserve">Applicability of fundamental rights in EU funding. </w:t>
            </w:r>
            <w:r>
              <w:rPr>
                <w:rFonts w:ascii="Times New Roman" w:hAnsi="Times New Roman"/>
                <w:noProof/>
                <w:sz w:val="24"/>
                <w:szCs w:val="24"/>
              </w:rPr>
              <w:t xml:space="preserve">Over the years, the Court of Justice of the European Union (CJEU) has clarified the relationship between EU funding and the application of the Charter. According to the CJEU, Member States are considered to be </w:t>
            </w:r>
            <w:r w:rsidRPr="00F307A7">
              <w:rPr>
                <w:rFonts w:ascii="Times New Roman" w:hAnsi="Times New Roman"/>
                <w:noProof/>
                <w:sz w:val="24"/>
                <w:szCs w:val="24"/>
              </w:rPr>
              <w:t>‘implementing Union law’</w:t>
            </w:r>
            <w:r>
              <w:rPr>
                <w:rFonts w:ascii="Times New Roman" w:hAnsi="Times New Roman"/>
                <w:noProof/>
                <w:sz w:val="24"/>
                <w:szCs w:val="24"/>
              </w:rPr>
              <w:t xml:space="preserve"> and obliged to </w:t>
            </w:r>
            <w:r w:rsidRPr="003D359A">
              <w:rPr>
                <w:rFonts w:ascii="Times New Roman" w:hAnsi="Times New Roman"/>
                <w:noProof/>
                <w:sz w:val="24"/>
                <w:szCs w:val="24"/>
              </w:rPr>
              <w:t>respect the rights and promote the application of the Charter</w:t>
            </w:r>
            <w:r>
              <w:rPr>
                <w:rFonts w:ascii="Times New Roman" w:hAnsi="Times New Roman"/>
                <w:noProof/>
                <w:sz w:val="24"/>
                <w:szCs w:val="24"/>
              </w:rPr>
              <w:t xml:space="preserve"> </w:t>
            </w:r>
            <w:r w:rsidRPr="00636545">
              <w:rPr>
                <w:rFonts w:ascii="Times New Roman" w:hAnsi="Times New Roman"/>
                <w:noProof/>
                <w:sz w:val="24"/>
                <w:szCs w:val="24"/>
              </w:rPr>
              <w:t xml:space="preserve">when EU law </w:t>
            </w:r>
            <w:r>
              <w:rPr>
                <w:rFonts w:ascii="Times New Roman" w:hAnsi="Times New Roman"/>
                <w:noProof/>
                <w:sz w:val="24"/>
                <w:szCs w:val="24"/>
              </w:rPr>
              <w:t>on</w:t>
            </w:r>
            <w:r w:rsidRPr="00636545">
              <w:rPr>
                <w:rFonts w:ascii="Times New Roman" w:hAnsi="Times New Roman"/>
                <w:noProof/>
                <w:sz w:val="24"/>
                <w:szCs w:val="24"/>
              </w:rPr>
              <w:t xml:space="preserve"> funding is</w:t>
            </w:r>
            <w:r>
              <w:rPr>
                <w:rFonts w:ascii="Times New Roman" w:hAnsi="Times New Roman"/>
                <w:noProof/>
                <w:sz w:val="24"/>
                <w:szCs w:val="24"/>
              </w:rPr>
              <w:t xml:space="preserve"> being</w:t>
            </w:r>
            <w:r w:rsidRPr="00636545">
              <w:rPr>
                <w:rFonts w:ascii="Times New Roman" w:hAnsi="Times New Roman"/>
                <w:noProof/>
                <w:sz w:val="24"/>
                <w:szCs w:val="24"/>
              </w:rPr>
              <w:t xml:space="preserve"> implemented</w:t>
            </w:r>
            <w:r>
              <w:rPr>
                <w:rStyle w:val="FootnoteReference"/>
                <w:noProof/>
              </w:rPr>
              <w:footnoteReference w:id="7"/>
            </w:r>
            <w:r w:rsidRPr="00636545">
              <w:rPr>
                <w:rFonts w:ascii="Times New Roman" w:hAnsi="Times New Roman"/>
                <w:noProof/>
                <w:sz w:val="24"/>
                <w:szCs w:val="24"/>
              </w:rPr>
              <w:t xml:space="preserve">. This includes, </w:t>
            </w:r>
            <w:r>
              <w:rPr>
                <w:rFonts w:ascii="Times New Roman" w:hAnsi="Times New Roman"/>
                <w:noProof/>
                <w:sz w:val="24"/>
                <w:szCs w:val="24"/>
              </w:rPr>
              <w:t>in particular</w:t>
            </w:r>
            <w:r w:rsidRPr="00636545">
              <w:rPr>
                <w:rFonts w:ascii="Times New Roman" w:hAnsi="Times New Roman"/>
                <w:noProof/>
                <w:sz w:val="24"/>
                <w:szCs w:val="24"/>
              </w:rPr>
              <w:t>, the drawing up of programming documents, the setting up of the management, monitoring and control systems</w:t>
            </w:r>
            <w:r>
              <w:rPr>
                <w:rFonts w:ascii="Times New Roman" w:hAnsi="Times New Roman"/>
                <w:noProof/>
                <w:sz w:val="24"/>
                <w:szCs w:val="24"/>
              </w:rPr>
              <w:t>,</w:t>
            </w:r>
            <w:r w:rsidRPr="00636545">
              <w:rPr>
                <w:rFonts w:ascii="Times New Roman" w:hAnsi="Times New Roman"/>
                <w:noProof/>
                <w:sz w:val="24"/>
                <w:szCs w:val="24"/>
              </w:rPr>
              <w:t xml:space="preserve"> </w:t>
            </w:r>
            <w:r>
              <w:rPr>
                <w:rFonts w:ascii="Times New Roman" w:hAnsi="Times New Roman"/>
                <w:noProof/>
                <w:sz w:val="24"/>
                <w:szCs w:val="24"/>
              </w:rPr>
              <w:t>programme</w:t>
            </w:r>
            <w:r w:rsidRPr="00636545">
              <w:rPr>
                <w:rFonts w:ascii="Times New Roman" w:hAnsi="Times New Roman"/>
                <w:noProof/>
                <w:sz w:val="24"/>
                <w:szCs w:val="24"/>
              </w:rPr>
              <w:t xml:space="preserve"> implementation</w:t>
            </w:r>
            <w:r>
              <w:rPr>
                <w:rFonts w:ascii="Times New Roman" w:hAnsi="Times New Roman"/>
                <w:noProof/>
                <w:sz w:val="24"/>
                <w:szCs w:val="24"/>
              </w:rPr>
              <w:t>,</w:t>
            </w:r>
            <w:r w:rsidRPr="00636545">
              <w:rPr>
                <w:rFonts w:ascii="Times New Roman" w:hAnsi="Times New Roman"/>
                <w:noProof/>
                <w:sz w:val="24"/>
                <w:szCs w:val="24"/>
              </w:rPr>
              <w:t xml:space="preserve"> and the carrying out of </w:t>
            </w:r>
            <w:r>
              <w:rPr>
                <w:rFonts w:ascii="Times New Roman" w:hAnsi="Times New Roman"/>
                <w:noProof/>
                <w:sz w:val="24"/>
                <w:szCs w:val="24"/>
              </w:rPr>
              <w:t xml:space="preserve">the </w:t>
            </w:r>
            <w:r w:rsidRPr="00636545">
              <w:rPr>
                <w:rFonts w:ascii="Times New Roman" w:hAnsi="Times New Roman"/>
                <w:noProof/>
                <w:sz w:val="24"/>
                <w:szCs w:val="24"/>
              </w:rPr>
              <w:t>concrete actions outlined in a project description</w:t>
            </w:r>
            <w:r>
              <w:rPr>
                <w:rStyle w:val="FootnoteReference"/>
                <w:noProof/>
              </w:rPr>
              <w:footnoteReference w:id="8"/>
            </w:r>
            <w:r w:rsidRPr="00636545">
              <w:rPr>
                <w:rFonts w:ascii="Times New Roman" w:hAnsi="Times New Roman"/>
                <w:noProof/>
                <w:sz w:val="24"/>
                <w:szCs w:val="24"/>
              </w:rPr>
              <w:t>.</w:t>
            </w:r>
            <w:r>
              <w:rPr>
                <w:rFonts w:ascii="Times New Roman" w:hAnsi="Times New Roman"/>
                <w:noProof/>
                <w:sz w:val="24"/>
                <w:szCs w:val="24"/>
              </w:rPr>
              <w:t xml:space="preserve"> </w:t>
            </w:r>
            <w:r w:rsidRPr="00636545">
              <w:rPr>
                <w:rFonts w:ascii="Times New Roman" w:hAnsi="Times New Roman"/>
                <w:noProof/>
                <w:sz w:val="24"/>
                <w:szCs w:val="24"/>
              </w:rPr>
              <w:t xml:space="preserve">In addition to </w:t>
            </w:r>
            <w:r>
              <w:rPr>
                <w:rFonts w:ascii="Times New Roman" w:hAnsi="Times New Roman"/>
                <w:noProof/>
                <w:sz w:val="24"/>
                <w:szCs w:val="24"/>
              </w:rPr>
              <w:t xml:space="preserve">national </w:t>
            </w:r>
            <w:r w:rsidRPr="00636545">
              <w:rPr>
                <w:rFonts w:ascii="Times New Roman" w:hAnsi="Times New Roman"/>
                <w:noProof/>
                <w:sz w:val="24"/>
                <w:szCs w:val="24"/>
              </w:rPr>
              <w:t xml:space="preserve">managing authorities and intermediate bodies, </w:t>
            </w:r>
            <w:r>
              <w:rPr>
                <w:rFonts w:ascii="Times New Roman" w:hAnsi="Times New Roman"/>
                <w:noProof/>
                <w:sz w:val="24"/>
                <w:szCs w:val="24"/>
              </w:rPr>
              <w:t>certain</w:t>
            </w:r>
            <w:r w:rsidRPr="00636545">
              <w:rPr>
                <w:rFonts w:ascii="Times New Roman" w:hAnsi="Times New Roman"/>
                <w:noProof/>
                <w:sz w:val="24"/>
                <w:szCs w:val="24"/>
              </w:rPr>
              <w:t xml:space="preserve"> </w:t>
            </w:r>
            <w:r>
              <w:rPr>
                <w:rFonts w:ascii="Times New Roman" w:hAnsi="Times New Roman"/>
                <w:noProof/>
                <w:sz w:val="24"/>
                <w:szCs w:val="24"/>
              </w:rPr>
              <w:t xml:space="preserve">project </w:t>
            </w:r>
            <w:r w:rsidRPr="00636545">
              <w:rPr>
                <w:rFonts w:ascii="Times New Roman" w:hAnsi="Times New Roman"/>
                <w:noProof/>
                <w:sz w:val="24"/>
                <w:szCs w:val="24"/>
              </w:rPr>
              <w:t xml:space="preserve">beneficiaries may be considered </w:t>
            </w:r>
            <w:r>
              <w:rPr>
                <w:rFonts w:ascii="Times New Roman" w:hAnsi="Times New Roman"/>
                <w:noProof/>
                <w:sz w:val="24"/>
                <w:szCs w:val="24"/>
              </w:rPr>
              <w:t xml:space="preserve">to be </w:t>
            </w:r>
            <w:r w:rsidRPr="00636545">
              <w:rPr>
                <w:rFonts w:ascii="Times New Roman" w:hAnsi="Times New Roman"/>
                <w:noProof/>
                <w:sz w:val="24"/>
                <w:szCs w:val="24"/>
              </w:rPr>
              <w:t xml:space="preserve">implementing EU law and </w:t>
            </w:r>
            <w:r>
              <w:rPr>
                <w:rFonts w:ascii="Times New Roman" w:hAnsi="Times New Roman"/>
                <w:noProof/>
                <w:sz w:val="24"/>
                <w:szCs w:val="24"/>
              </w:rPr>
              <w:t xml:space="preserve">be </w:t>
            </w:r>
            <w:r w:rsidRPr="00636545">
              <w:rPr>
                <w:rFonts w:ascii="Times New Roman" w:hAnsi="Times New Roman"/>
                <w:noProof/>
                <w:sz w:val="24"/>
                <w:szCs w:val="24"/>
              </w:rPr>
              <w:t>bound by the Charter</w:t>
            </w:r>
            <w:r>
              <w:rPr>
                <w:rStyle w:val="FootnoteReference"/>
                <w:noProof/>
              </w:rPr>
              <w:footnoteReference w:id="9"/>
            </w:r>
            <w:r w:rsidRPr="00636545">
              <w:rPr>
                <w:rFonts w:ascii="Times New Roman" w:hAnsi="Times New Roman"/>
                <w:noProof/>
                <w:sz w:val="24"/>
                <w:szCs w:val="24"/>
              </w:rPr>
              <w:t>.</w:t>
            </w:r>
          </w:p>
        </w:tc>
      </w:tr>
    </w:tbl>
    <w:p w14:paraId="7F231915" w14:textId="77777777" w:rsidR="002C0325" w:rsidRPr="00D1775C" w:rsidRDefault="002C0325" w:rsidP="002C0325">
      <w:pPr>
        <w:spacing w:before="240" w:line="276" w:lineRule="auto"/>
        <w:jc w:val="both"/>
        <w:rPr>
          <w:rFonts w:ascii="Times New Roman" w:hAnsi="Times New Roman"/>
          <w:noProof/>
          <w:sz w:val="24"/>
          <w:szCs w:val="24"/>
        </w:rPr>
      </w:pPr>
      <w:r>
        <w:rPr>
          <w:rFonts w:ascii="Times New Roman" w:hAnsi="Times New Roman"/>
          <w:noProof/>
          <w:sz w:val="24"/>
          <w:szCs w:val="24"/>
        </w:rPr>
        <w:t xml:space="preserve">Dedicated </w:t>
      </w:r>
      <w:r w:rsidRPr="00C52C21">
        <w:rPr>
          <w:rFonts w:ascii="Times New Roman" w:hAnsi="Times New Roman"/>
          <w:noProof/>
          <w:sz w:val="24"/>
          <w:szCs w:val="24"/>
        </w:rPr>
        <w:t xml:space="preserve">funding </w:t>
      </w:r>
      <w:r>
        <w:rPr>
          <w:rFonts w:ascii="Times New Roman" w:hAnsi="Times New Roman"/>
          <w:noProof/>
          <w:sz w:val="24"/>
          <w:szCs w:val="24"/>
        </w:rPr>
        <w:t>plays a central role in</w:t>
      </w:r>
      <w:r w:rsidRPr="00C52C21">
        <w:rPr>
          <w:rFonts w:ascii="Times New Roman" w:hAnsi="Times New Roman"/>
          <w:noProof/>
          <w:sz w:val="24"/>
          <w:szCs w:val="24"/>
        </w:rPr>
        <w:t xml:space="preserve"> supporting the implementation of </w:t>
      </w:r>
      <w:r>
        <w:rPr>
          <w:rFonts w:ascii="Times New Roman" w:hAnsi="Times New Roman"/>
          <w:noProof/>
          <w:sz w:val="24"/>
          <w:szCs w:val="24"/>
        </w:rPr>
        <w:t xml:space="preserve">the </w:t>
      </w:r>
      <w:r w:rsidRPr="00C52C21">
        <w:rPr>
          <w:rFonts w:ascii="Times New Roman" w:hAnsi="Times New Roman"/>
          <w:noProof/>
          <w:sz w:val="24"/>
          <w:szCs w:val="24"/>
        </w:rPr>
        <w:t>EU</w:t>
      </w:r>
      <w:r>
        <w:rPr>
          <w:rFonts w:ascii="Times New Roman" w:hAnsi="Times New Roman"/>
          <w:noProof/>
          <w:sz w:val="24"/>
          <w:szCs w:val="24"/>
        </w:rPr>
        <w:t>’s fundamental rights</w:t>
      </w:r>
      <w:r w:rsidRPr="00C52C21">
        <w:rPr>
          <w:rFonts w:ascii="Times New Roman" w:hAnsi="Times New Roman"/>
          <w:noProof/>
          <w:sz w:val="24"/>
          <w:szCs w:val="24"/>
        </w:rPr>
        <w:t xml:space="preserve"> policies in the Member States</w:t>
      </w:r>
      <w:r>
        <w:rPr>
          <w:rStyle w:val="FootnoteReference"/>
          <w:noProof/>
        </w:rPr>
        <w:footnoteReference w:id="10"/>
      </w:r>
      <w:r w:rsidRPr="00C52C21">
        <w:rPr>
          <w:rFonts w:ascii="Times New Roman" w:hAnsi="Times New Roman"/>
          <w:noProof/>
          <w:sz w:val="24"/>
          <w:szCs w:val="24"/>
        </w:rPr>
        <w:t>.</w:t>
      </w:r>
      <w:r>
        <w:rPr>
          <w:rFonts w:ascii="Times New Roman" w:hAnsi="Times New Roman"/>
          <w:noProof/>
          <w:sz w:val="24"/>
          <w:szCs w:val="24"/>
        </w:rPr>
        <w:t xml:space="preserve"> The Commission has recognised in particular the need to support</w:t>
      </w:r>
      <w:r w:rsidRPr="00B766A7">
        <w:rPr>
          <w:rFonts w:ascii="Times New Roman" w:hAnsi="Times New Roman"/>
          <w:noProof/>
          <w:sz w:val="24"/>
          <w:szCs w:val="24"/>
        </w:rPr>
        <w:t xml:space="preserve"> </w:t>
      </w:r>
      <w:r>
        <w:rPr>
          <w:rFonts w:ascii="Times New Roman" w:hAnsi="Times New Roman"/>
          <w:noProof/>
          <w:sz w:val="24"/>
          <w:szCs w:val="24"/>
        </w:rPr>
        <w:t xml:space="preserve">the </w:t>
      </w:r>
      <w:r w:rsidRPr="00B766A7">
        <w:rPr>
          <w:rFonts w:ascii="Times New Roman" w:hAnsi="Times New Roman"/>
          <w:noProof/>
          <w:sz w:val="24"/>
          <w:szCs w:val="24"/>
        </w:rPr>
        <w:t>civil society</w:t>
      </w:r>
      <w:r>
        <w:rPr>
          <w:rFonts w:ascii="Times New Roman" w:hAnsi="Times New Roman"/>
          <w:noProof/>
          <w:sz w:val="24"/>
          <w:szCs w:val="24"/>
        </w:rPr>
        <w:t xml:space="preserve">, human rights defenders, national, regional and local authorities, legislators, judges and other </w:t>
      </w:r>
      <w:r w:rsidRPr="00B766A7">
        <w:rPr>
          <w:rFonts w:ascii="Times New Roman" w:hAnsi="Times New Roman"/>
          <w:noProof/>
          <w:sz w:val="24"/>
          <w:szCs w:val="24"/>
        </w:rPr>
        <w:t>justice practitioners</w:t>
      </w:r>
      <w:r>
        <w:rPr>
          <w:rFonts w:ascii="Times New Roman" w:hAnsi="Times New Roman"/>
          <w:noProof/>
          <w:sz w:val="24"/>
          <w:szCs w:val="24"/>
        </w:rPr>
        <w:t xml:space="preserve"> and others in applying fundamental rights. The Commission has recalled the </w:t>
      </w:r>
      <w:r w:rsidRPr="00B766A7">
        <w:rPr>
          <w:rFonts w:ascii="Times New Roman" w:hAnsi="Times New Roman"/>
          <w:noProof/>
          <w:sz w:val="24"/>
          <w:szCs w:val="24"/>
        </w:rPr>
        <w:t xml:space="preserve">difficulties </w:t>
      </w:r>
      <w:r>
        <w:rPr>
          <w:rFonts w:ascii="Times New Roman" w:hAnsi="Times New Roman"/>
          <w:noProof/>
          <w:sz w:val="24"/>
          <w:szCs w:val="24"/>
        </w:rPr>
        <w:t>reported by civil society organisations (CSOs) and human rights defenders</w:t>
      </w:r>
      <w:r>
        <w:rPr>
          <w:rStyle w:val="FootnoteReference"/>
          <w:noProof/>
        </w:rPr>
        <w:footnoteReference w:id="11"/>
      </w:r>
      <w:r>
        <w:rPr>
          <w:rFonts w:ascii="Times New Roman" w:hAnsi="Times New Roman"/>
          <w:noProof/>
          <w:sz w:val="24"/>
          <w:szCs w:val="24"/>
        </w:rPr>
        <w:t xml:space="preserve"> </w:t>
      </w:r>
      <w:r w:rsidRPr="00B766A7">
        <w:rPr>
          <w:rFonts w:ascii="Times New Roman" w:hAnsi="Times New Roman"/>
          <w:noProof/>
          <w:sz w:val="24"/>
          <w:szCs w:val="24"/>
        </w:rPr>
        <w:t>in accessing funding</w:t>
      </w:r>
      <w:r>
        <w:rPr>
          <w:rFonts w:ascii="Times New Roman" w:hAnsi="Times New Roman"/>
          <w:noProof/>
          <w:sz w:val="24"/>
          <w:szCs w:val="24"/>
        </w:rPr>
        <w:t xml:space="preserve">, and has taken steps to support an enabling environment for CSOs. In its </w:t>
      </w:r>
      <w:r w:rsidRPr="006F2E96">
        <w:rPr>
          <w:rFonts w:ascii="Times New Roman" w:hAnsi="Times New Roman"/>
          <w:noProof/>
          <w:sz w:val="24"/>
          <w:szCs w:val="24"/>
        </w:rPr>
        <w:t xml:space="preserve">Recommendation on promoting the engagement and effective participation of citizens and civil society organisations in public policy-making </w:t>
      </w:r>
      <w:r w:rsidRPr="00194D27">
        <w:rPr>
          <w:rFonts w:ascii="Times New Roman" w:hAnsi="Times New Roman"/>
          <w:noProof/>
          <w:sz w:val="24"/>
          <w:szCs w:val="24"/>
        </w:rPr>
        <w:t>processes</w:t>
      </w:r>
      <w:r w:rsidRPr="00F27944">
        <w:rPr>
          <w:rStyle w:val="FootnoteReference"/>
          <w:noProof/>
        </w:rPr>
        <w:footnoteReference w:id="12"/>
      </w:r>
      <w:r w:rsidRPr="00194D27">
        <w:rPr>
          <w:rFonts w:ascii="Times New Roman" w:hAnsi="Times New Roman"/>
          <w:noProof/>
          <w:sz w:val="24"/>
          <w:szCs w:val="24"/>
        </w:rPr>
        <w:t>, the</w:t>
      </w:r>
      <w:r>
        <w:rPr>
          <w:rFonts w:ascii="Times New Roman" w:hAnsi="Times New Roman"/>
          <w:noProof/>
          <w:sz w:val="24"/>
          <w:szCs w:val="24"/>
        </w:rPr>
        <w:t xml:space="preserve"> Commission encouraged the Member States to dedicate funding to CSO participation and to strengthen their resilience when facing threats and attacks</w:t>
      </w:r>
      <w:r>
        <w:rPr>
          <w:rStyle w:val="FootnoteReference"/>
          <w:noProof/>
        </w:rPr>
        <w:footnoteReference w:id="13"/>
      </w:r>
      <w:r>
        <w:rPr>
          <w:rFonts w:ascii="Times New Roman" w:hAnsi="Times New Roman"/>
          <w:noProof/>
          <w:sz w:val="24"/>
          <w:szCs w:val="24"/>
        </w:rPr>
        <w:t xml:space="preserve">. The Commission also acknowledged the need for both the </w:t>
      </w:r>
      <w:r w:rsidRPr="00C52C21">
        <w:rPr>
          <w:rFonts w:ascii="Times New Roman" w:hAnsi="Times New Roman"/>
          <w:noProof/>
          <w:sz w:val="24"/>
          <w:szCs w:val="24"/>
        </w:rPr>
        <w:t xml:space="preserve">Member States and the Commission </w:t>
      </w:r>
      <w:r>
        <w:rPr>
          <w:rFonts w:ascii="Times New Roman" w:hAnsi="Times New Roman"/>
          <w:noProof/>
          <w:sz w:val="24"/>
          <w:szCs w:val="24"/>
        </w:rPr>
        <w:t xml:space="preserve">to </w:t>
      </w:r>
      <w:r w:rsidRPr="00C52C21">
        <w:rPr>
          <w:rFonts w:ascii="Times New Roman" w:hAnsi="Times New Roman"/>
          <w:noProof/>
          <w:sz w:val="24"/>
          <w:szCs w:val="24"/>
        </w:rPr>
        <w:t xml:space="preserve">ensure that EU-funded projects comply with EU </w:t>
      </w:r>
      <w:r>
        <w:rPr>
          <w:rFonts w:ascii="Times New Roman" w:hAnsi="Times New Roman"/>
          <w:noProof/>
          <w:sz w:val="24"/>
          <w:szCs w:val="24"/>
        </w:rPr>
        <w:t xml:space="preserve">values and EU </w:t>
      </w:r>
      <w:r w:rsidRPr="00C52C21">
        <w:rPr>
          <w:rFonts w:ascii="Times New Roman" w:hAnsi="Times New Roman"/>
          <w:noProof/>
          <w:sz w:val="24"/>
          <w:szCs w:val="24"/>
        </w:rPr>
        <w:t>law, including the Charter</w:t>
      </w:r>
      <w:r>
        <w:rPr>
          <w:rStyle w:val="FootnoteReference"/>
          <w:noProof/>
        </w:rPr>
        <w:footnoteReference w:id="14"/>
      </w:r>
      <w:r w:rsidRPr="00C52C21">
        <w:rPr>
          <w:rFonts w:ascii="Times New Roman" w:hAnsi="Times New Roman"/>
          <w:noProof/>
          <w:sz w:val="24"/>
          <w:szCs w:val="24"/>
        </w:rPr>
        <w:t>.</w:t>
      </w:r>
    </w:p>
    <w:tbl>
      <w:tblPr>
        <w:tblW w:w="9576" w:type="dxa"/>
        <w:tblCellMar>
          <w:left w:w="10" w:type="dxa"/>
          <w:right w:w="10" w:type="dxa"/>
        </w:tblCellMar>
        <w:tblLook w:val="04A0" w:firstRow="1" w:lastRow="0" w:firstColumn="1" w:lastColumn="0" w:noHBand="0" w:noVBand="1"/>
      </w:tblPr>
      <w:tblGrid>
        <w:gridCol w:w="9576"/>
      </w:tblGrid>
      <w:tr w:rsidR="002C0325" w:rsidRPr="00D1775C" w14:paraId="38581CFE" w14:textId="77777777" w:rsidTr="00352B78">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86397D" w14:textId="77777777" w:rsidR="002C0325" w:rsidRPr="000B6BFA" w:rsidRDefault="002C0325" w:rsidP="00352B78">
            <w:pPr>
              <w:spacing w:after="120" w:line="240" w:lineRule="auto"/>
              <w:jc w:val="both"/>
              <w:rPr>
                <w:rFonts w:ascii="Times New Roman" w:hAnsi="Times New Roman"/>
                <w:noProof/>
                <w:sz w:val="24"/>
                <w:szCs w:val="24"/>
              </w:rPr>
            </w:pPr>
            <w:r>
              <w:rPr>
                <w:rFonts w:ascii="Times New Roman" w:hAnsi="Times New Roman"/>
                <w:i/>
                <w:iCs/>
                <w:noProof/>
                <w:sz w:val="24"/>
                <w:szCs w:val="24"/>
              </w:rPr>
              <w:t xml:space="preserve">2023 European Commission seminar on supporting civil society through funding. </w:t>
            </w:r>
            <w:r w:rsidRPr="000B6BFA">
              <w:rPr>
                <w:rFonts w:ascii="Times New Roman" w:hAnsi="Times New Roman"/>
                <w:noProof/>
                <w:sz w:val="24"/>
                <w:szCs w:val="24"/>
              </w:rPr>
              <w:t xml:space="preserve">In June 2023, the Commission organised a seminar on supporting CSOs through funding. </w:t>
            </w:r>
            <w:r>
              <w:rPr>
                <w:rFonts w:ascii="Times New Roman" w:hAnsi="Times New Roman"/>
                <w:noProof/>
                <w:sz w:val="24"/>
                <w:szCs w:val="24"/>
              </w:rPr>
              <w:t xml:space="preserve">As part of the follow up </w:t>
            </w:r>
            <w:r w:rsidRPr="000B6BFA">
              <w:rPr>
                <w:rFonts w:ascii="Times New Roman" w:hAnsi="Times New Roman"/>
                <w:noProof/>
                <w:sz w:val="24"/>
                <w:szCs w:val="24"/>
              </w:rPr>
              <w:t>on the 2022 Charter report on thriving civic space</w:t>
            </w:r>
            <w:r w:rsidRPr="000B6BFA">
              <w:rPr>
                <w:rStyle w:val="FootnoteReference"/>
                <w:rFonts w:cstheme="minorBidi"/>
                <w:noProof/>
              </w:rPr>
              <w:footnoteReference w:id="15"/>
            </w:r>
            <w:r>
              <w:rPr>
                <w:rFonts w:ascii="Times New Roman" w:hAnsi="Times New Roman"/>
                <w:noProof/>
                <w:sz w:val="24"/>
                <w:szCs w:val="24"/>
              </w:rPr>
              <w:t xml:space="preserve">, the seminar </w:t>
            </w:r>
            <w:r w:rsidRPr="000B6BFA">
              <w:rPr>
                <w:rFonts w:ascii="Times New Roman" w:hAnsi="Times New Roman"/>
                <w:noProof/>
                <w:sz w:val="24"/>
                <w:szCs w:val="24"/>
              </w:rPr>
              <w:t>enabled an exchange between civil society, the Commission and other donors on best funding practices and synergies. Further action suggested by the participants included the continued provision of funding for capacity-building, resilience and protection through EU and national funds. The participants also encouraged a regular donor dialogue to ensure complementarity and diversification of funding, increase its accessibility and flexibility, and to enable mutual learning amongst donors</w:t>
            </w:r>
            <w:r w:rsidRPr="000B6BFA">
              <w:rPr>
                <w:rStyle w:val="FootnoteReference"/>
                <w:rFonts w:cstheme="minorBidi"/>
                <w:noProof/>
              </w:rPr>
              <w:footnoteReference w:id="16"/>
            </w:r>
            <w:r w:rsidRPr="000B6BFA">
              <w:rPr>
                <w:rFonts w:ascii="Times New Roman" w:hAnsi="Times New Roman"/>
                <w:noProof/>
                <w:sz w:val="24"/>
                <w:szCs w:val="24"/>
              </w:rPr>
              <w:t>.</w:t>
            </w:r>
          </w:p>
        </w:tc>
      </w:tr>
    </w:tbl>
    <w:p w14:paraId="275D190A" w14:textId="77777777" w:rsidR="002C0325" w:rsidRDefault="002C0325" w:rsidP="002C0325">
      <w:pPr>
        <w:spacing w:before="240" w:line="276" w:lineRule="auto"/>
        <w:jc w:val="both"/>
        <w:rPr>
          <w:rFonts w:ascii="Times New Roman" w:hAnsi="Times New Roman"/>
          <w:noProof/>
          <w:sz w:val="24"/>
          <w:szCs w:val="24"/>
        </w:rPr>
      </w:pPr>
      <w:r w:rsidRPr="00317169">
        <w:rPr>
          <w:rFonts w:ascii="Times New Roman" w:hAnsi="Times New Roman"/>
          <w:noProof/>
          <w:sz w:val="24"/>
          <w:szCs w:val="24"/>
        </w:rPr>
        <w:t>During this mandate</w:t>
      </w:r>
      <w:r>
        <w:rPr>
          <w:rFonts w:ascii="Times New Roman" w:hAnsi="Times New Roman"/>
          <w:noProof/>
          <w:sz w:val="24"/>
          <w:szCs w:val="24"/>
        </w:rPr>
        <w:t xml:space="preserve"> (2019-2024)</w:t>
      </w:r>
      <w:r w:rsidRPr="00317169">
        <w:rPr>
          <w:rFonts w:ascii="Times New Roman" w:hAnsi="Times New Roman"/>
          <w:noProof/>
          <w:sz w:val="24"/>
          <w:szCs w:val="24"/>
        </w:rPr>
        <w:t xml:space="preserve">, the Commission has strengthened its focus on funding </w:t>
      </w:r>
      <w:r>
        <w:rPr>
          <w:rFonts w:ascii="Times New Roman" w:hAnsi="Times New Roman"/>
          <w:noProof/>
          <w:sz w:val="24"/>
          <w:szCs w:val="24"/>
        </w:rPr>
        <w:t xml:space="preserve">to support </w:t>
      </w:r>
      <w:r w:rsidRPr="00317169">
        <w:rPr>
          <w:rFonts w:ascii="Times New Roman" w:hAnsi="Times New Roman"/>
          <w:noProof/>
          <w:sz w:val="24"/>
          <w:szCs w:val="24"/>
        </w:rPr>
        <w:t>the implementation of EU values and fundamental rights, including by</w:t>
      </w:r>
      <w:r>
        <w:rPr>
          <w:rFonts w:ascii="Times New Roman" w:hAnsi="Times New Roman"/>
          <w:noProof/>
          <w:sz w:val="24"/>
          <w:szCs w:val="24"/>
        </w:rPr>
        <w:t xml:space="preserve"> managing the substantially</w:t>
      </w:r>
      <w:r w:rsidRPr="00317169">
        <w:rPr>
          <w:rFonts w:ascii="Times New Roman" w:hAnsi="Times New Roman"/>
          <w:noProof/>
          <w:sz w:val="24"/>
          <w:szCs w:val="24"/>
        </w:rPr>
        <w:t xml:space="preserve"> increas</w:t>
      </w:r>
      <w:r>
        <w:rPr>
          <w:rFonts w:ascii="Times New Roman" w:hAnsi="Times New Roman"/>
          <w:noProof/>
          <w:sz w:val="24"/>
          <w:szCs w:val="24"/>
        </w:rPr>
        <w:t xml:space="preserve">ed </w:t>
      </w:r>
      <w:r w:rsidRPr="00317169">
        <w:rPr>
          <w:rFonts w:ascii="Times New Roman" w:hAnsi="Times New Roman"/>
          <w:noProof/>
          <w:sz w:val="24"/>
          <w:szCs w:val="24"/>
        </w:rPr>
        <w:t>budget of the Citizens, Equality, Rights and Values (CERV) programme</w:t>
      </w:r>
      <w:r>
        <w:rPr>
          <w:rFonts w:ascii="Times New Roman" w:hAnsi="Times New Roman"/>
          <w:noProof/>
          <w:sz w:val="24"/>
          <w:szCs w:val="24"/>
        </w:rPr>
        <w:t xml:space="preserve">. The Commission has also </w:t>
      </w:r>
      <w:r w:rsidRPr="00317169">
        <w:rPr>
          <w:rFonts w:ascii="Times New Roman" w:hAnsi="Times New Roman"/>
          <w:noProof/>
          <w:sz w:val="24"/>
          <w:szCs w:val="24"/>
        </w:rPr>
        <w:t>establish</w:t>
      </w:r>
      <w:r>
        <w:rPr>
          <w:rFonts w:ascii="Times New Roman" w:hAnsi="Times New Roman"/>
          <w:noProof/>
          <w:sz w:val="24"/>
          <w:szCs w:val="24"/>
        </w:rPr>
        <w:t>ed</w:t>
      </w:r>
      <w:r w:rsidRPr="00317169">
        <w:rPr>
          <w:rFonts w:ascii="Times New Roman" w:hAnsi="Times New Roman"/>
          <w:noProof/>
          <w:sz w:val="24"/>
          <w:szCs w:val="24"/>
        </w:rPr>
        <w:t xml:space="preserve"> </w:t>
      </w:r>
      <w:r w:rsidRPr="007623C7">
        <w:rPr>
          <w:rFonts w:ascii="Times New Roman" w:hAnsi="Times New Roman"/>
          <w:noProof/>
          <w:sz w:val="24"/>
          <w:szCs w:val="24"/>
        </w:rPr>
        <w:t>fundamental rights conditionalities to ensure that EU funding is spent in a</w:t>
      </w:r>
      <w:r>
        <w:rPr>
          <w:rFonts w:ascii="Times New Roman" w:hAnsi="Times New Roman"/>
          <w:noProof/>
          <w:sz w:val="24"/>
          <w:szCs w:val="24"/>
        </w:rPr>
        <w:t xml:space="preserve"> fundamental rights and EU values compliant</w:t>
      </w:r>
      <w:r w:rsidRPr="007623C7">
        <w:rPr>
          <w:rFonts w:ascii="Times New Roman" w:hAnsi="Times New Roman"/>
          <w:noProof/>
          <w:sz w:val="24"/>
          <w:szCs w:val="24"/>
        </w:rPr>
        <w:t xml:space="preserve"> manner. Since the adoption of the current Multiannual Financial Framework</w:t>
      </w:r>
      <w:r>
        <w:rPr>
          <w:rStyle w:val="FootnoteReference"/>
          <w:noProof/>
        </w:rPr>
        <w:footnoteReference w:id="17"/>
      </w:r>
      <w:r w:rsidRPr="007623C7">
        <w:rPr>
          <w:rFonts w:ascii="Times New Roman" w:hAnsi="Times New Roman"/>
          <w:noProof/>
          <w:sz w:val="24"/>
          <w:szCs w:val="24"/>
        </w:rPr>
        <w:t>, several global crises</w:t>
      </w:r>
      <w:r>
        <w:rPr>
          <w:rFonts w:ascii="Times New Roman" w:hAnsi="Times New Roman"/>
          <w:noProof/>
          <w:sz w:val="24"/>
          <w:szCs w:val="24"/>
        </w:rPr>
        <w:t xml:space="preserve"> have highlighted the need to support the actors that c</w:t>
      </w:r>
      <w:r w:rsidRPr="00952433">
        <w:rPr>
          <w:rFonts w:ascii="Times New Roman" w:hAnsi="Times New Roman"/>
          <w:noProof/>
          <w:sz w:val="24"/>
          <w:szCs w:val="24"/>
        </w:rPr>
        <w:t>ontribute</w:t>
      </w:r>
      <w:r>
        <w:rPr>
          <w:rFonts w:ascii="Times New Roman" w:hAnsi="Times New Roman"/>
          <w:noProof/>
          <w:sz w:val="24"/>
          <w:szCs w:val="24"/>
        </w:rPr>
        <w:t xml:space="preserve"> to</w:t>
      </w:r>
      <w:r w:rsidRPr="00952433">
        <w:rPr>
          <w:rFonts w:ascii="Times New Roman" w:hAnsi="Times New Roman"/>
          <w:noProof/>
          <w:sz w:val="24"/>
          <w:szCs w:val="24"/>
        </w:rPr>
        <w:t xml:space="preserve"> </w:t>
      </w:r>
      <w:r>
        <w:rPr>
          <w:rFonts w:ascii="Times New Roman" w:hAnsi="Times New Roman"/>
          <w:noProof/>
          <w:sz w:val="24"/>
          <w:szCs w:val="24"/>
        </w:rPr>
        <w:t>the</w:t>
      </w:r>
      <w:r w:rsidRPr="00952433">
        <w:rPr>
          <w:rFonts w:ascii="Times New Roman" w:hAnsi="Times New Roman"/>
          <w:noProof/>
          <w:sz w:val="24"/>
          <w:szCs w:val="24"/>
        </w:rPr>
        <w:t xml:space="preserve"> implementation and application of </w:t>
      </w:r>
      <w:r>
        <w:rPr>
          <w:rFonts w:ascii="Times New Roman" w:hAnsi="Times New Roman"/>
          <w:noProof/>
          <w:sz w:val="24"/>
          <w:szCs w:val="24"/>
        </w:rPr>
        <w:t xml:space="preserve">the Charter across the EU. </w:t>
      </w:r>
    </w:p>
    <w:p w14:paraId="39964EA1" w14:textId="77777777" w:rsidR="002C0325" w:rsidRDefault="002C0325" w:rsidP="002C0325">
      <w:pPr>
        <w:spacing w:after="0" w:line="276" w:lineRule="auto"/>
        <w:jc w:val="both"/>
        <w:rPr>
          <w:rFonts w:ascii="Times New Roman" w:hAnsi="Times New Roman"/>
          <w:i/>
          <w:iCs/>
          <w:noProof/>
          <w:sz w:val="24"/>
          <w:szCs w:val="24"/>
        </w:rPr>
      </w:pPr>
      <w:r w:rsidRPr="00D1775C">
        <w:rPr>
          <w:rFonts w:ascii="Times New Roman" w:hAnsi="Times New Roman"/>
          <w:noProof/>
          <w:sz w:val="24"/>
          <w:szCs w:val="24"/>
        </w:rPr>
        <w:t xml:space="preserve">This </w:t>
      </w:r>
      <w:r>
        <w:rPr>
          <w:rFonts w:ascii="Times New Roman" w:hAnsi="Times New Roman"/>
          <w:noProof/>
          <w:sz w:val="24"/>
          <w:szCs w:val="24"/>
        </w:rPr>
        <w:t xml:space="preserve">Charter </w:t>
      </w:r>
      <w:r w:rsidRPr="00D1775C">
        <w:rPr>
          <w:rFonts w:ascii="Times New Roman" w:hAnsi="Times New Roman"/>
          <w:noProof/>
          <w:sz w:val="24"/>
          <w:szCs w:val="24"/>
        </w:rPr>
        <w:t xml:space="preserve">report </w:t>
      </w:r>
      <w:r>
        <w:rPr>
          <w:rFonts w:ascii="Times New Roman" w:hAnsi="Times New Roman"/>
          <w:noProof/>
          <w:sz w:val="24"/>
          <w:szCs w:val="24"/>
        </w:rPr>
        <w:t xml:space="preserve">provides an overview of the </w:t>
      </w:r>
      <w:r w:rsidRPr="00D1775C">
        <w:rPr>
          <w:rFonts w:ascii="Times New Roman" w:hAnsi="Times New Roman"/>
          <w:noProof/>
          <w:sz w:val="24"/>
          <w:szCs w:val="24"/>
        </w:rPr>
        <w:t>developments</w:t>
      </w:r>
      <w:r>
        <w:rPr>
          <w:rFonts w:ascii="Times New Roman" w:hAnsi="Times New Roman"/>
          <w:noProof/>
          <w:sz w:val="24"/>
          <w:szCs w:val="24"/>
        </w:rPr>
        <w:t xml:space="preserve"> in the field of fundamental rights-relevant funding. As</w:t>
      </w:r>
      <w:r w:rsidRPr="008A5C13">
        <w:rPr>
          <w:rFonts w:ascii="Times New Roman" w:hAnsi="Times New Roman"/>
          <w:noProof/>
          <w:sz w:val="24"/>
          <w:szCs w:val="24"/>
        </w:rPr>
        <w:t xml:space="preserve"> </w:t>
      </w:r>
      <w:r>
        <w:rPr>
          <w:rFonts w:ascii="Times New Roman" w:hAnsi="Times New Roman"/>
          <w:noProof/>
          <w:sz w:val="24"/>
          <w:szCs w:val="24"/>
        </w:rPr>
        <w:t xml:space="preserve">in previous years, it seeks to </w:t>
      </w:r>
      <w:r w:rsidRPr="00D1775C">
        <w:rPr>
          <w:rFonts w:ascii="Times New Roman" w:hAnsi="Times New Roman"/>
          <w:noProof/>
          <w:sz w:val="24"/>
          <w:szCs w:val="24"/>
        </w:rPr>
        <w:t>provid</w:t>
      </w:r>
      <w:r>
        <w:rPr>
          <w:rFonts w:ascii="Times New Roman" w:hAnsi="Times New Roman"/>
          <w:noProof/>
          <w:sz w:val="24"/>
          <w:szCs w:val="24"/>
        </w:rPr>
        <w:t xml:space="preserve">e </w:t>
      </w:r>
      <w:r w:rsidRPr="00D1775C">
        <w:rPr>
          <w:rFonts w:ascii="Times New Roman" w:hAnsi="Times New Roman"/>
          <w:noProof/>
          <w:sz w:val="24"/>
          <w:szCs w:val="24"/>
        </w:rPr>
        <w:t>a snapshot of th</w:t>
      </w:r>
      <w:r>
        <w:rPr>
          <w:rFonts w:ascii="Times New Roman" w:hAnsi="Times New Roman"/>
          <w:noProof/>
          <w:sz w:val="24"/>
          <w:szCs w:val="24"/>
        </w:rPr>
        <w:t>ose</w:t>
      </w:r>
      <w:r w:rsidRPr="00D1775C">
        <w:rPr>
          <w:rFonts w:ascii="Times New Roman" w:hAnsi="Times New Roman"/>
          <w:noProof/>
          <w:sz w:val="24"/>
          <w:szCs w:val="24"/>
        </w:rPr>
        <w:t xml:space="preserve"> </w:t>
      </w:r>
      <w:r>
        <w:rPr>
          <w:rFonts w:ascii="Times New Roman" w:hAnsi="Times New Roman"/>
          <w:noProof/>
          <w:sz w:val="24"/>
          <w:szCs w:val="24"/>
        </w:rPr>
        <w:t xml:space="preserve">elements the stakeholders have identified as relevant by </w:t>
      </w:r>
      <w:r w:rsidRPr="00D1775C">
        <w:rPr>
          <w:rFonts w:ascii="Times New Roman" w:hAnsi="Times New Roman"/>
          <w:noProof/>
          <w:sz w:val="24"/>
          <w:szCs w:val="24"/>
        </w:rPr>
        <w:t>present</w:t>
      </w:r>
      <w:r>
        <w:rPr>
          <w:rFonts w:ascii="Times New Roman" w:hAnsi="Times New Roman"/>
          <w:noProof/>
          <w:sz w:val="24"/>
          <w:szCs w:val="24"/>
        </w:rPr>
        <w:t>ing</w:t>
      </w:r>
      <w:r w:rsidRPr="00D1775C">
        <w:rPr>
          <w:rFonts w:ascii="Times New Roman" w:hAnsi="Times New Roman"/>
          <w:noProof/>
          <w:sz w:val="24"/>
          <w:szCs w:val="24"/>
        </w:rPr>
        <w:t xml:space="preserve"> </w:t>
      </w:r>
      <w:r w:rsidRPr="003F195E">
        <w:rPr>
          <w:rFonts w:ascii="Times New Roman" w:hAnsi="Times New Roman"/>
          <w:noProof/>
          <w:sz w:val="24"/>
          <w:szCs w:val="24"/>
        </w:rPr>
        <w:t>achievements and challenges. All examples are non-exhaustive and included for illustrative purposes only. The annex lists some of the project</w:t>
      </w:r>
      <w:r>
        <w:rPr>
          <w:rFonts w:ascii="Times New Roman" w:hAnsi="Times New Roman"/>
          <w:noProof/>
          <w:sz w:val="24"/>
          <w:szCs w:val="24"/>
        </w:rPr>
        <w:t>s</w:t>
      </w:r>
      <w:r w:rsidRPr="003F195E">
        <w:rPr>
          <w:rFonts w:ascii="Times New Roman" w:hAnsi="Times New Roman"/>
          <w:noProof/>
          <w:sz w:val="24"/>
          <w:szCs w:val="24"/>
        </w:rPr>
        <w:t xml:space="preserve"> reported by stakeholders</w:t>
      </w:r>
      <w:r>
        <w:rPr>
          <w:rFonts w:ascii="Times New Roman" w:hAnsi="Times New Roman"/>
          <w:noProof/>
          <w:sz w:val="24"/>
          <w:szCs w:val="24"/>
        </w:rPr>
        <w:t xml:space="preserve"> as examples of promotion of the fundamental rights set out in the Charter</w:t>
      </w:r>
      <w:r w:rsidRPr="003F195E">
        <w:rPr>
          <w:rFonts w:ascii="Times New Roman" w:hAnsi="Times New Roman"/>
          <w:noProof/>
          <w:sz w:val="24"/>
          <w:szCs w:val="24"/>
        </w:rPr>
        <w:t>.</w:t>
      </w:r>
      <w:r>
        <w:rPr>
          <w:rFonts w:ascii="Times New Roman" w:hAnsi="Times New Roman"/>
          <w:i/>
          <w:iCs/>
          <w:noProof/>
          <w:sz w:val="24"/>
          <w:szCs w:val="24"/>
        </w:rPr>
        <w:t xml:space="preserve"> </w:t>
      </w:r>
    </w:p>
    <w:p w14:paraId="79EDADDD" w14:textId="77777777" w:rsidR="00990FBB" w:rsidRDefault="00990FBB" w:rsidP="002C0325">
      <w:pPr>
        <w:spacing w:after="0" w:line="276" w:lineRule="auto"/>
        <w:jc w:val="both"/>
        <w:rPr>
          <w:rFonts w:ascii="Times New Roman" w:hAnsi="Times New Roman"/>
          <w:noProof/>
          <w:sz w:val="24"/>
          <w:szCs w:val="24"/>
        </w:rPr>
      </w:pPr>
    </w:p>
    <w:tbl>
      <w:tblPr>
        <w:tblW w:w="9576" w:type="dxa"/>
        <w:tblCellMar>
          <w:left w:w="10" w:type="dxa"/>
          <w:right w:w="10" w:type="dxa"/>
        </w:tblCellMar>
        <w:tblLook w:val="04A0" w:firstRow="1" w:lastRow="0" w:firstColumn="1" w:lastColumn="0" w:noHBand="0" w:noVBand="1"/>
      </w:tblPr>
      <w:tblGrid>
        <w:gridCol w:w="9576"/>
      </w:tblGrid>
      <w:tr w:rsidR="002C0325" w:rsidRPr="00D1775C" w14:paraId="00B0206C" w14:textId="77777777" w:rsidTr="00352B78">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34097" w14:textId="77777777" w:rsidR="002C0325" w:rsidRPr="005B3555" w:rsidRDefault="002C0325" w:rsidP="00352B78">
            <w:pPr>
              <w:spacing w:after="120" w:line="240" w:lineRule="auto"/>
              <w:jc w:val="both"/>
              <w:rPr>
                <w:noProof/>
              </w:rPr>
            </w:pPr>
            <w:r>
              <w:rPr>
                <w:rFonts w:ascii="Times New Roman" w:hAnsi="Times New Roman"/>
                <w:i/>
                <w:iCs/>
                <w:noProof/>
                <w:sz w:val="24"/>
                <w:szCs w:val="24"/>
              </w:rPr>
              <w:t>What material is this report based on</w:t>
            </w:r>
            <w:r w:rsidRPr="00D1775C">
              <w:rPr>
                <w:rFonts w:ascii="Times New Roman" w:hAnsi="Times New Roman"/>
                <w:i/>
                <w:iCs/>
                <w:noProof/>
                <w:sz w:val="24"/>
                <w:szCs w:val="24"/>
              </w:rPr>
              <w:t>?</w:t>
            </w:r>
          </w:p>
          <w:p w14:paraId="52E1D358" w14:textId="77777777" w:rsidR="002C0325" w:rsidRPr="000A11C9" w:rsidRDefault="002C0325" w:rsidP="00352B78">
            <w:pPr>
              <w:spacing w:before="240" w:line="276" w:lineRule="auto"/>
              <w:jc w:val="both"/>
              <w:rPr>
                <w:rFonts w:ascii="Times New Roman" w:hAnsi="Times New Roman"/>
                <w:noProof/>
                <w:sz w:val="24"/>
                <w:szCs w:val="24"/>
              </w:rPr>
            </w:pPr>
            <w:r>
              <w:rPr>
                <w:rFonts w:ascii="Times New Roman" w:hAnsi="Times New Roman"/>
                <w:noProof/>
                <w:sz w:val="24"/>
                <w:szCs w:val="24"/>
              </w:rPr>
              <w:t>The</w:t>
            </w:r>
            <w:r w:rsidRPr="00317169">
              <w:rPr>
                <w:rFonts w:ascii="Times New Roman" w:hAnsi="Times New Roman"/>
                <w:noProof/>
                <w:sz w:val="24"/>
                <w:szCs w:val="24"/>
              </w:rPr>
              <w:t xml:space="preserve"> Commission </w:t>
            </w:r>
            <w:r>
              <w:rPr>
                <w:rFonts w:ascii="Times New Roman" w:hAnsi="Times New Roman"/>
                <w:noProof/>
                <w:sz w:val="24"/>
                <w:szCs w:val="24"/>
              </w:rPr>
              <w:t>has worked</w:t>
            </w:r>
            <w:r w:rsidRPr="00317169">
              <w:rPr>
                <w:rFonts w:ascii="Times New Roman" w:hAnsi="Times New Roman"/>
                <w:noProof/>
                <w:sz w:val="24"/>
                <w:szCs w:val="24"/>
              </w:rPr>
              <w:t xml:space="preserve"> with the EU Agency for Fundamental Rights (FRA) to gather data for the report. </w:t>
            </w:r>
            <w:r>
              <w:rPr>
                <w:rFonts w:ascii="Times New Roman" w:hAnsi="Times New Roman"/>
                <w:noProof/>
                <w:sz w:val="24"/>
                <w:szCs w:val="24"/>
              </w:rPr>
              <w:t>In addition to the material gathered by the Commission and the FRA, this report draws on a qualitative assessment of consultation feedback, including:</w:t>
            </w:r>
          </w:p>
          <w:p w14:paraId="3C75C5CA" w14:textId="77777777" w:rsidR="002C0325" w:rsidRDefault="002C0325" w:rsidP="002C0325">
            <w:pPr>
              <w:pStyle w:val="ListParagraph"/>
              <w:numPr>
                <w:ilvl w:val="0"/>
                <w:numId w:val="7"/>
              </w:numPr>
              <w:suppressAutoHyphens w:val="0"/>
              <w:autoSpaceDN/>
              <w:spacing w:before="240" w:line="276" w:lineRule="auto"/>
              <w:jc w:val="both"/>
              <w:rPr>
                <w:noProof/>
                <w:szCs w:val="24"/>
                <w:lang w:val="en-IE"/>
              </w:rPr>
            </w:pPr>
            <w:r w:rsidRPr="000A11C9">
              <w:rPr>
                <w:noProof/>
                <w:szCs w:val="24"/>
                <w:lang w:val="en-IE"/>
              </w:rPr>
              <w:t>targeted consultations with: (i) Member States and the Charter focal points</w:t>
            </w:r>
            <w:r>
              <w:rPr>
                <w:rStyle w:val="FootnoteReference"/>
                <w:noProof/>
                <w:lang w:val="en-IE"/>
              </w:rPr>
              <w:footnoteReference w:id="18"/>
            </w:r>
            <w:r w:rsidRPr="000A11C9">
              <w:rPr>
                <w:noProof/>
                <w:szCs w:val="24"/>
                <w:lang w:val="en-IE"/>
              </w:rPr>
              <w:t xml:space="preserve">; (ii) international </w:t>
            </w:r>
            <w:r>
              <w:rPr>
                <w:noProof/>
                <w:szCs w:val="24"/>
                <w:lang w:val="en-IE"/>
              </w:rPr>
              <w:t>public and private donors</w:t>
            </w:r>
            <w:r w:rsidRPr="000A11C9">
              <w:rPr>
                <w:noProof/>
                <w:szCs w:val="24"/>
                <w:lang w:val="en-IE"/>
              </w:rPr>
              <w:t>; and (iii) the European Network of National Human Rights Institutions (ENNHRI) and the European Network of Equality Bodies (Equinet) and their members;</w:t>
            </w:r>
          </w:p>
          <w:p w14:paraId="0D31A2AA" w14:textId="77777777" w:rsidR="002C0325" w:rsidRDefault="002C0325" w:rsidP="002C0325">
            <w:pPr>
              <w:pStyle w:val="ListParagraph"/>
              <w:numPr>
                <w:ilvl w:val="0"/>
                <w:numId w:val="7"/>
              </w:numPr>
              <w:suppressAutoHyphens w:val="0"/>
              <w:autoSpaceDN/>
              <w:spacing w:before="240" w:line="276" w:lineRule="auto"/>
              <w:jc w:val="both"/>
              <w:rPr>
                <w:noProof/>
                <w:szCs w:val="24"/>
                <w:lang w:val="en-IE"/>
              </w:rPr>
            </w:pPr>
            <w:r w:rsidRPr="000A11C9">
              <w:rPr>
                <w:noProof/>
                <w:szCs w:val="24"/>
                <w:lang w:val="en-IE"/>
              </w:rPr>
              <w:t>an online consultation through the FRA’s civil society network, the Fundamental Rights platform</w:t>
            </w:r>
            <w:r>
              <w:rPr>
                <w:rStyle w:val="FootnoteReference"/>
                <w:noProof/>
                <w:lang w:val="en-IE"/>
              </w:rPr>
              <w:footnoteReference w:id="19"/>
            </w:r>
            <w:r w:rsidRPr="000A11C9">
              <w:rPr>
                <w:noProof/>
                <w:szCs w:val="24"/>
                <w:lang w:val="en-IE"/>
              </w:rPr>
              <w:t>;</w:t>
            </w:r>
          </w:p>
          <w:p w14:paraId="443A03C9" w14:textId="77777777" w:rsidR="002C0325" w:rsidRPr="00A4032C" w:rsidRDefault="002C0325" w:rsidP="002C0325">
            <w:pPr>
              <w:pStyle w:val="ListParagraph"/>
              <w:numPr>
                <w:ilvl w:val="0"/>
                <w:numId w:val="7"/>
              </w:numPr>
              <w:suppressAutoHyphens w:val="0"/>
              <w:autoSpaceDN/>
              <w:spacing w:before="240" w:line="276" w:lineRule="auto"/>
              <w:jc w:val="both"/>
              <w:rPr>
                <w:noProof/>
                <w:szCs w:val="24"/>
                <w:lang w:val="en-IE"/>
              </w:rPr>
            </w:pPr>
            <w:r>
              <w:rPr>
                <w:noProof/>
                <w:szCs w:val="24"/>
                <w:lang w:val="en-IE"/>
              </w:rPr>
              <w:t xml:space="preserve">stakeholder </w:t>
            </w:r>
            <w:r w:rsidRPr="000A11C9">
              <w:rPr>
                <w:noProof/>
                <w:szCs w:val="24"/>
                <w:lang w:val="en-IE"/>
              </w:rPr>
              <w:t>contributions</w:t>
            </w:r>
            <w:r>
              <w:rPr>
                <w:noProof/>
                <w:szCs w:val="24"/>
                <w:lang w:val="en-IE"/>
              </w:rPr>
              <w:t xml:space="preserve"> received </w:t>
            </w:r>
            <w:r w:rsidRPr="000A11C9">
              <w:rPr>
                <w:noProof/>
                <w:szCs w:val="24"/>
                <w:lang w:val="en-IE"/>
              </w:rPr>
              <w:t xml:space="preserve">for other Commission </w:t>
            </w:r>
            <w:r>
              <w:rPr>
                <w:noProof/>
                <w:szCs w:val="24"/>
                <w:lang w:val="en-IE"/>
              </w:rPr>
              <w:t>activities</w:t>
            </w:r>
            <w:r w:rsidRPr="000A11C9">
              <w:rPr>
                <w:noProof/>
                <w:szCs w:val="24"/>
                <w:lang w:val="en-IE"/>
              </w:rPr>
              <w:t>, such as</w:t>
            </w:r>
            <w:r>
              <w:rPr>
                <w:noProof/>
                <w:szCs w:val="24"/>
                <w:lang w:val="en-IE"/>
              </w:rPr>
              <w:t xml:space="preserve"> in the context of the assessment of the </w:t>
            </w:r>
            <w:r w:rsidRPr="00B56262">
              <w:rPr>
                <w:noProof/>
                <w:szCs w:val="24"/>
                <w:lang w:val="en-IE"/>
              </w:rPr>
              <w:t>‘</w:t>
            </w:r>
            <w:r>
              <w:rPr>
                <w:noProof/>
                <w:szCs w:val="24"/>
                <w:lang w:val="en-IE"/>
              </w:rPr>
              <w:t xml:space="preserve">Horizontal Enabling Condition </w:t>
            </w:r>
            <w:r w:rsidRPr="00B56262">
              <w:rPr>
                <w:noProof/>
                <w:szCs w:val="24"/>
                <w:lang w:val="en-IE"/>
              </w:rPr>
              <w:t>on the effective application of the Charter</w:t>
            </w:r>
            <w:r w:rsidRPr="00B56262" w:rsidDel="00046024">
              <w:rPr>
                <w:noProof/>
                <w:szCs w:val="24"/>
                <w:lang w:val="en-IE"/>
              </w:rPr>
              <w:t xml:space="preserve"> (Charter HEC</w:t>
            </w:r>
            <w:r>
              <w:rPr>
                <w:noProof/>
                <w:szCs w:val="24"/>
                <w:lang w:val="en-IE"/>
              </w:rPr>
              <w:t>)</w:t>
            </w:r>
            <w:r>
              <w:rPr>
                <w:rStyle w:val="FootnoteReference"/>
                <w:noProof/>
                <w:lang w:val="en-IE"/>
              </w:rPr>
              <w:footnoteReference w:id="20"/>
            </w:r>
            <w:r w:rsidRPr="000A11C9">
              <w:rPr>
                <w:noProof/>
                <w:szCs w:val="24"/>
                <w:lang w:val="en-IE"/>
              </w:rPr>
              <w:t>.</w:t>
            </w:r>
          </w:p>
        </w:tc>
      </w:tr>
    </w:tbl>
    <w:p w14:paraId="7FD88002" w14:textId="77777777" w:rsidR="002C0325" w:rsidRDefault="002C0325" w:rsidP="002C0325">
      <w:pPr>
        <w:jc w:val="both"/>
        <w:rPr>
          <w:rFonts w:ascii="Times New Roman" w:hAnsi="Times New Roman"/>
          <w:noProof/>
          <w:sz w:val="24"/>
          <w:szCs w:val="24"/>
        </w:rPr>
      </w:pPr>
    </w:p>
    <w:p w14:paraId="2FB3D672" w14:textId="77777777" w:rsidR="002C0325" w:rsidRPr="00DE01A2" w:rsidRDefault="002C0325" w:rsidP="002C0325">
      <w:pPr>
        <w:jc w:val="both"/>
        <w:rPr>
          <w:rFonts w:ascii="Times New Roman" w:hAnsi="Times New Roman" w:cs="Times New Roman"/>
          <w:noProof/>
          <w:sz w:val="24"/>
          <w:szCs w:val="24"/>
        </w:rPr>
      </w:pPr>
      <w:r>
        <w:rPr>
          <w:rFonts w:ascii="Times New Roman" w:hAnsi="Times New Roman" w:cs="Times New Roman"/>
          <w:noProof/>
          <w:sz w:val="24"/>
          <w:szCs w:val="24"/>
        </w:rPr>
        <w:t>The Charter report is also an opportunity to take stock of the implementation of the Charter strategy. The following advancements can be reported from the past year:</w:t>
      </w:r>
    </w:p>
    <w:tbl>
      <w:tblPr>
        <w:tblW w:w="9350" w:type="dxa"/>
        <w:tblCellMar>
          <w:left w:w="10" w:type="dxa"/>
          <w:right w:w="10" w:type="dxa"/>
        </w:tblCellMar>
        <w:tblLook w:val="04A0" w:firstRow="1" w:lastRow="0" w:firstColumn="1" w:lastColumn="0" w:noHBand="0" w:noVBand="1"/>
      </w:tblPr>
      <w:tblGrid>
        <w:gridCol w:w="9350"/>
      </w:tblGrid>
      <w:tr w:rsidR="002C0325" w:rsidRPr="00D1775C" w14:paraId="2B3D6222" w14:textId="77777777" w:rsidTr="00352B78">
        <w:tc>
          <w:tcPr>
            <w:tcW w:w="9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36B340" w14:textId="77777777" w:rsidR="002C0325" w:rsidRPr="00D1775C" w:rsidRDefault="002C0325" w:rsidP="00352B78">
            <w:pPr>
              <w:spacing w:after="120" w:line="276" w:lineRule="auto"/>
              <w:jc w:val="both"/>
              <w:rPr>
                <w:rFonts w:ascii="Times New Roman" w:hAnsi="Times New Roman"/>
                <w:i/>
                <w:iCs/>
                <w:noProof/>
                <w:sz w:val="24"/>
                <w:szCs w:val="24"/>
              </w:rPr>
            </w:pPr>
            <w:r>
              <w:rPr>
                <w:rFonts w:ascii="Times New Roman" w:hAnsi="Times New Roman"/>
                <w:i/>
                <w:iCs/>
                <w:noProof/>
                <w:sz w:val="24"/>
                <w:szCs w:val="24"/>
              </w:rPr>
              <w:t>How has</w:t>
            </w:r>
            <w:r w:rsidRPr="00D1775C">
              <w:rPr>
                <w:rFonts w:ascii="Times New Roman" w:hAnsi="Times New Roman"/>
                <w:i/>
                <w:iCs/>
                <w:noProof/>
                <w:sz w:val="24"/>
                <w:szCs w:val="24"/>
              </w:rPr>
              <w:t xml:space="preserve"> the Charter strategy </w:t>
            </w:r>
            <w:r>
              <w:rPr>
                <w:rFonts w:ascii="Times New Roman" w:hAnsi="Times New Roman"/>
                <w:i/>
                <w:iCs/>
                <w:noProof/>
                <w:sz w:val="24"/>
                <w:szCs w:val="24"/>
              </w:rPr>
              <w:t>been implemented over the past year?</w:t>
            </w:r>
          </w:p>
          <w:p w14:paraId="4A875DF0" w14:textId="77777777" w:rsidR="002C0325" w:rsidRPr="00CD3F00" w:rsidRDefault="002C0325" w:rsidP="00352B78">
            <w:pPr>
              <w:pStyle w:val="ListParagraph"/>
              <w:numPr>
                <w:ilvl w:val="0"/>
                <w:numId w:val="3"/>
              </w:numPr>
              <w:spacing w:after="120" w:line="276" w:lineRule="auto"/>
              <w:jc w:val="both"/>
              <w:rPr>
                <w:noProof/>
                <w:szCs w:val="24"/>
              </w:rPr>
            </w:pPr>
            <w:r w:rsidRPr="00CD3F00">
              <w:rPr>
                <w:noProof/>
                <w:szCs w:val="24"/>
              </w:rPr>
              <w:t>In December 202</w:t>
            </w:r>
            <w:r>
              <w:rPr>
                <w:noProof/>
                <w:szCs w:val="24"/>
              </w:rPr>
              <w:t>3</w:t>
            </w:r>
            <w:r w:rsidRPr="00CD3F00">
              <w:rPr>
                <w:noProof/>
                <w:szCs w:val="24"/>
              </w:rPr>
              <w:t>, the Commission adopted its 202</w:t>
            </w:r>
            <w:r>
              <w:rPr>
                <w:noProof/>
                <w:szCs w:val="24"/>
              </w:rPr>
              <w:t>3</w:t>
            </w:r>
            <w:r w:rsidRPr="00CD3F00">
              <w:rPr>
                <w:i/>
                <w:iCs/>
                <w:noProof/>
                <w:szCs w:val="24"/>
              </w:rPr>
              <w:t xml:space="preserve"> </w:t>
            </w:r>
            <w:r w:rsidRPr="00CD3F00">
              <w:rPr>
                <w:noProof/>
                <w:szCs w:val="24"/>
              </w:rPr>
              <w:t>Annual report on the application of the Charter</w:t>
            </w:r>
            <w:r w:rsidRPr="00CD3F00">
              <w:rPr>
                <w:i/>
                <w:iCs/>
                <w:noProof/>
                <w:szCs w:val="24"/>
              </w:rPr>
              <w:t>,</w:t>
            </w:r>
            <w:r w:rsidRPr="00CD3F00">
              <w:rPr>
                <w:noProof/>
                <w:szCs w:val="24"/>
              </w:rPr>
              <w:t xml:space="preserve"> dedicated </w:t>
            </w:r>
            <w:r w:rsidRPr="00CD3F00">
              <w:rPr>
                <w:b/>
                <w:bCs/>
                <w:noProof/>
                <w:szCs w:val="24"/>
              </w:rPr>
              <w:t>to</w:t>
            </w:r>
            <w:r w:rsidRPr="00CD3F00">
              <w:rPr>
                <w:b/>
                <w:bCs/>
                <w:i/>
                <w:iCs/>
                <w:noProof/>
                <w:szCs w:val="24"/>
              </w:rPr>
              <w:t xml:space="preserve"> </w:t>
            </w:r>
            <w:r w:rsidRPr="00CD3F00">
              <w:rPr>
                <w:b/>
                <w:bCs/>
                <w:noProof/>
                <w:szCs w:val="24"/>
              </w:rPr>
              <w:t>effective legal protection and access to justice</w:t>
            </w:r>
            <w:r w:rsidRPr="00CD3F00">
              <w:rPr>
                <w:rStyle w:val="FootnoteReference"/>
                <w:noProof/>
              </w:rPr>
              <w:footnoteReference w:id="21"/>
            </w:r>
            <w:r w:rsidRPr="00CD3F00">
              <w:rPr>
                <w:noProof/>
                <w:szCs w:val="24"/>
              </w:rPr>
              <w:t>.</w:t>
            </w:r>
          </w:p>
          <w:p w14:paraId="462BA929" w14:textId="77777777" w:rsidR="002C0325" w:rsidRPr="00CD3F00" w:rsidRDefault="002C0325" w:rsidP="00352B78">
            <w:pPr>
              <w:pStyle w:val="ListParagraph"/>
              <w:numPr>
                <w:ilvl w:val="0"/>
                <w:numId w:val="3"/>
              </w:numPr>
              <w:spacing w:after="120" w:line="276" w:lineRule="auto"/>
              <w:jc w:val="both"/>
              <w:rPr>
                <w:noProof/>
                <w:szCs w:val="24"/>
              </w:rPr>
            </w:pPr>
            <w:r w:rsidRPr="00CD3F00">
              <w:rPr>
                <w:noProof/>
                <w:szCs w:val="24"/>
              </w:rPr>
              <w:t xml:space="preserve">In </w:t>
            </w:r>
            <w:r>
              <w:rPr>
                <w:noProof/>
                <w:szCs w:val="24"/>
              </w:rPr>
              <w:t xml:space="preserve">March </w:t>
            </w:r>
            <w:r w:rsidRPr="00CD3F00">
              <w:rPr>
                <w:noProof/>
                <w:szCs w:val="24"/>
              </w:rPr>
              <w:t>202</w:t>
            </w:r>
            <w:r>
              <w:rPr>
                <w:noProof/>
                <w:szCs w:val="24"/>
              </w:rPr>
              <w:t>4</w:t>
            </w:r>
            <w:r w:rsidRPr="00CD3F00">
              <w:rPr>
                <w:noProof/>
                <w:szCs w:val="24"/>
              </w:rPr>
              <w:t xml:space="preserve">, </w:t>
            </w:r>
            <w:r>
              <w:rPr>
                <w:noProof/>
                <w:szCs w:val="24"/>
              </w:rPr>
              <w:t xml:space="preserve">jointly with the European Economic and Social Committee, it organised a dedicated follow-up seminar to bring together interested stakeholders to share best practices and challenges related to </w:t>
            </w:r>
            <w:r w:rsidRPr="00F22017">
              <w:rPr>
                <w:noProof/>
                <w:szCs w:val="24"/>
              </w:rPr>
              <w:t>effective legal protection and access to justice</w:t>
            </w:r>
            <w:r>
              <w:rPr>
                <w:noProof/>
                <w:szCs w:val="24"/>
              </w:rPr>
              <w:t xml:space="preserve">. </w:t>
            </w:r>
          </w:p>
          <w:p w14:paraId="14057618" w14:textId="4D375725" w:rsidR="002C0325" w:rsidRDefault="002C0325" w:rsidP="00352B78">
            <w:pPr>
              <w:pStyle w:val="ListParagraph"/>
              <w:numPr>
                <w:ilvl w:val="0"/>
                <w:numId w:val="3"/>
              </w:numPr>
              <w:spacing w:after="120" w:line="276" w:lineRule="auto"/>
              <w:contextualSpacing w:val="0"/>
              <w:jc w:val="both"/>
              <w:rPr>
                <w:noProof/>
                <w:szCs w:val="24"/>
              </w:rPr>
            </w:pPr>
            <w:r w:rsidRPr="00CD3F00">
              <w:rPr>
                <w:noProof/>
                <w:szCs w:val="24"/>
              </w:rPr>
              <w:t>2</w:t>
            </w:r>
            <w:r>
              <w:rPr>
                <w:noProof/>
                <w:szCs w:val="24"/>
              </w:rPr>
              <w:t>6</w:t>
            </w:r>
            <w:r w:rsidRPr="00CD3F00">
              <w:rPr>
                <w:noProof/>
                <w:szCs w:val="24"/>
              </w:rPr>
              <w:t xml:space="preserve"> Member States have</w:t>
            </w:r>
            <w:r>
              <w:rPr>
                <w:noProof/>
                <w:szCs w:val="24"/>
              </w:rPr>
              <w:t xml:space="preserve"> </w:t>
            </w:r>
            <w:r w:rsidRPr="00CD3F00">
              <w:rPr>
                <w:noProof/>
                <w:szCs w:val="24"/>
              </w:rPr>
              <w:t xml:space="preserve">nominated a </w:t>
            </w:r>
            <w:r w:rsidRPr="00CD3F00">
              <w:rPr>
                <w:b/>
                <w:bCs/>
                <w:noProof/>
                <w:szCs w:val="24"/>
              </w:rPr>
              <w:t>Charter focal point</w:t>
            </w:r>
            <w:r w:rsidRPr="00CD3F00">
              <w:rPr>
                <w:noProof/>
                <w:szCs w:val="24"/>
              </w:rPr>
              <w:t xml:space="preserve"> to promote the effective application of the Charter in their Member State</w:t>
            </w:r>
            <w:r w:rsidR="00861418">
              <w:rPr>
                <w:rStyle w:val="FootnoteReference"/>
                <w:noProof/>
              </w:rPr>
              <w:footnoteReference w:id="22"/>
            </w:r>
            <w:r w:rsidRPr="00CD3F00">
              <w:rPr>
                <w:noProof/>
                <w:szCs w:val="24"/>
              </w:rPr>
              <w:t>.</w:t>
            </w:r>
            <w:r>
              <w:rPr>
                <w:noProof/>
                <w:szCs w:val="24"/>
              </w:rPr>
              <w:t xml:space="preserve"> The Commission has organised regular meetings with the Charter focal points and shares relevant information with them.</w:t>
            </w:r>
          </w:p>
          <w:p w14:paraId="30903549" w14:textId="77777777" w:rsidR="002C0325" w:rsidRPr="00173C8C" w:rsidRDefault="002C0325" w:rsidP="00352B78">
            <w:pPr>
              <w:pStyle w:val="ListParagraph"/>
              <w:numPr>
                <w:ilvl w:val="0"/>
                <w:numId w:val="3"/>
              </w:numPr>
              <w:spacing w:after="120" w:line="276" w:lineRule="auto"/>
              <w:contextualSpacing w:val="0"/>
              <w:jc w:val="both"/>
              <w:rPr>
                <w:noProof/>
                <w:szCs w:val="24"/>
              </w:rPr>
            </w:pPr>
            <w:r w:rsidRPr="00173C8C">
              <w:rPr>
                <w:noProof/>
                <w:szCs w:val="24"/>
              </w:rPr>
              <w:t xml:space="preserve">The Commission has continued to develop </w:t>
            </w:r>
            <w:r w:rsidRPr="00173C8C">
              <w:rPr>
                <w:b/>
                <w:bCs/>
                <w:noProof/>
                <w:szCs w:val="24"/>
              </w:rPr>
              <w:t>training for EU staff</w:t>
            </w:r>
            <w:r w:rsidRPr="00173C8C">
              <w:rPr>
                <w:i/>
                <w:iCs/>
                <w:noProof/>
                <w:szCs w:val="24"/>
              </w:rPr>
              <w:t xml:space="preserve"> </w:t>
            </w:r>
            <w:r w:rsidRPr="00173C8C">
              <w:rPr>
                <w:b/>
                <w:bCs/>
                <w:noProof/>
                <w:szCs w:val="24"/>
              </w:rPr>
              <w:t>on applying the Charter</w:t>
            </w:r>
            <w:r w:rsidRPr="00173C8C">
              <w:rPr>
                <w:noProof/>
                <w:szCs w:val="24"/>
              </w:rPr>
              <w:t xml:space="preserve"> in impact assessments. </w:t>
            </w:r>
            <w:bookmarkStart w:id="8" w:name="_Hlk139977752"/>
            <w:r w:rsidRPr="00173C8C">
              <w:rPr>
                <w:noProof/>
                <w:szCs w:val="24"/>
              </w:rPr>
              <w:t>It provides a</w:t>
            </w:r>
            <w:r>
              <w:rPr>
                <w:noProof/>
                <w:szCs w:val="24"/>
              </w:rPr>
              <w:t xml:space="preserve"> continuous</w:t>
            </w:r>
            <w:r w:rsidRPr="00173C8C">
              <w:rPr>
                <w:noProof/>
                <w:szCs w:val="24"/>
              </w:rPr>
              <w:t xml:space="preserve"> internal training course on </w:t>
            </w:r>
            <w:r>
              <w:rPr>
                <w:noProof/>
                <w:szCs w:val="24"/>
              </w:rPr>
              <w:t>t</w:t>
            </w:r>
            <w:r w:rsidRPr="00173C8C">
              <w:rPr>
                <w:noProof/>
                <w:szCs w:val="24"/>
              </w:rPr>
              <w:t xml:space="preserve">he Charter in impact assessments. </w:t>
            </w:r>
            <w:r>
              <w:rPr>
                <w:noProof/>
                <w:szCs w:val="24"/>
              </w:rPr>
              <w:t>An update of the</w:t>
            </w:r>
            <w:r w:rsidRPr="00173C8C">
              <w:rPr>
                <w:noProof/>
                <w:szCs w:val="24"/>
              </w:rPr>
              <w:t xml:space="preserve"> </w:t>
            </w:r>
            <w:r w:rsidRPr="00173C8C">
              <w:rPr>
                <w:b/>
                <w:bCs/>
                <w:noProof/>
                <w:szCs w:val="24"/>
              </w:rPr>
              <w:t>Operational Guidance on taking account of Fundamental Rights in Commission Impact Assessments</w:t>
            </w:r>
            <w:r w:rsidRPr="00331A36">
              <w:rPr>
                <w:noProof/>
                <w:szCs w:val="24"/>
              </w:rPr>
              <w:t xml:space="preserve"> is underway.</w:t>
            </w:r>
            <w:r w:rsidRPr="00B31DB0">
              <w:rPr>
                <w:rStyle w:val="FootnoteReference"/>
                <w:noProof/>
              </w:rPr>
              <w:footnoteReference w:id="23"/>
            </w:r>
          </w:p>
          <w:bookmarkEnd w:id="8"/>
          <w:p w14:paraId="2758FEB3" w14:textId="77777777" w:rsidR="002C0325" w:rsidRPr="00B4077A" w:rsidRDefault="002C0325" w:rsidP="00352B78">
            <w:pPr>
              <w:pStyle w:val="ListParagraph"/>
              <w:numPr>
                <w:ilvl w:val="0"/>
                <w:numId w:val="3"/>
              </w:numPr>
              <w:spacing w:after="120" w:line="276" w:lineRule="auto"/>
              <w:jc w:val="both"/>
              <w:rPr>
                <w:noProof/>
              </w:rPr>
            </w:pPr>
            <w:r w:rsidRPr="34724886">
              <w:rPr>
                <w:noProof/>
              </w:rPr>
              <w:t xml:space="preserve">The Commission has also initiated the development of a manual to ensure a coherent and effective implementation of the </w:t>
            </w:r>
            <w:r>
              <w:rPr>
                <w:noProof/>
              </w:rPr>
              <w:t>horizontal enabling conditions (HEC) on the Charter</w:t>
            </w:r>
            <w:r>
              <w:rPr>
                <w:rStyle w:val="FootnoteReference"/>
                <w:noProof/>
              </w:rPr>
              <w:footnoteReference w:id="24"/>
            </w:r>
            <w:r w:rsidRPr="34724886">
              <w:rPr>
                <w:noProof/>
              </w:rPr>
              <w:t>, as well as the development of publicly available online courses</w:t>
            </w:r>
            <w:r>
              <w:rPr>
                <w:noProof/>
              </w:rPr>
              <w:t>.</w:t>
            </w:r>
          </w:p>
          <w:p w14:paraId="1C2FCFF4" w14:textId="77777777" w:rsidR="002C0325" w:rsidRPr="002D037E" w:rsidRDefault="002C0325" w:rsidP="00352B78">
            <w:pPr>
              <w:pStyle w:val="ListParagraph"/>
              <w:numPr>
                <w:ilvl w:val="0"/>
                <w:numId w:val="3"/>
              </w:numPr>
              <w:jc w:val="both"/>
              <w:rPr>
                <w:strike/>
                <w:noProof/>
                <w:szCs w:val="24"/>
              </w:rPr>
            </w:pPr>
            <w:r w:rsidRPr="00560DA6">
              <w:rPr>
                <w:bCs/>
                <w:noProof/>
                <w:szCs w:val="24"/>
              </w:rPr>
              <w:t xml:space="preserve">Training </w:t>
            </w:r>
            <w:r>
              <w:rPr>
                <w:bCs/>
                <w:noProof/>
                <w:szCs w:val="24"/>
              </w:rPr>
              <w:t>provision for</w:t>
            </w:r>
            <w:r w:rsidRPr="00560DA6">
              <w:rPr>
                <w:bCs/>
                <w:noProof/>
                <w:szCs w:val="24"/>
              </w:rPr>
              <w:t xml:space="preserve"> justice professionals on the application of the Charter </w:t>
            </w:r>
            <w:r>
              <w:rPr>
                <w:bCs/>
                <w:noProof/>
                <w:szCs w:val="24"/>
              </w:rPr>
              <w:t>has continued</w:t>
            </w:r>
            <w:r w:rsidRPr="00560DA6">
              <w:rPr>
                <w:bCs/>
                <w:noProof/>
                <w:szCs w:val="24"/>
              </w:rPr>
              <w:t xml:space="preserve"> under the European judicial training strategy</w:t>
            </w:r>
            <w:r w:rsidRPr="00560DA6">
              <w:rPr>
                <w:bCs/>
                <w:i/>
                <w:iCs/>
                <w:noProof/>
                <w:szCs w:val="24"/>
              </w:rPr>
              <w:t xml:space="preserve"> </w:t>
            </w:r>
            <w:r w:rsidRPr="00560DA6">
              <w:rPr>
                <w:bCs/>
                <w:noProof/>
                <w:szCs w:val="24"/>
              </w:rPr>
              <w:t>2021-2024</w:t>
            </w:r>
            <w:r w:rsidRPr="00CD3F00">
              <w:rPr>
                <w:rStyle w:val="FootnoteReference"/>
                <w:noProof/>
              </w:rPr>
              <w:footnoteReference w:id="25"/>
            </w:r>
            <w:r>
              <w:rPr>
                <w:bCs/>
                <w:noProof/>
                <w:szCs w:val="24"/>
              </w:rPr>
              <w:t xml:space="preserve">, and </w:t>
            </w:r>
            <w:bookmarkStart w:id="9" w:name="_Hlk113010971"/>
            <w:r w:rsidRPr="00B4077A">
              <w:rPr>
                <w:noProof/>
                <w:szCs w:val="24"/>
              </w:rPr>
              <w:t>information</w:t>
            </w:r>
            <w:r>
              <w:rPr>
                <w:noProof/>
                <w:szCs w:val="24"/>
              </w:rPr>
              <w:t xml:space="preserve"> on fundamental rights is available</w:t>
            </w:r>
            <w:r w:rsidRPr="00B4077A">
              <w:rPr>
                <w:noProof/>
                <w:szCs w:val="24"/>
              </w:rPr>
              <w:t xml:space="preserve"> through the </w:t>
            </w:r>
            <w:r w:rsidRPr="00B4077A">
              <w:rPr>
                <w:bCs/>
                <w:noProof/>
                <w:szCs w:val="24"/>
              </w:rPr>
              <w:t xml:space="preserve">European e-Justice </w:t>
            </w:r>
            <w:r>
              <w:rPr>
                <w:bCs/>
                <w:noProof/>
                <w:szCs w:val="24"/>
              </w:rPr>
              <w:t>P</w:t>
            </w:r>
            <w:r w:rsidRPr="00B4077A">
              <w:rPr>
                <w:bCs/>
                <w:noProof/>
                <w:szCs w:val="24"/>
              </w:rPr>
              <w:t>ortal</w:t>
            </w:r>
            <w:r w:rsidRPr="00CD3F00">
              <w:rPr>
                <w:rStyle w:val="FootnoteReference"/>
                <w:noProof/>
              </w:rPr>
              <w:footnoteReference w:id="26"/>
            </w:r>
            <w:r w:rsidRPr="00B4077A">
              <w:rPr>
                <w:noProof/>
                <w:szCs w:val="24"/>
              </w:rPr>
              <w:t xml:space="preserve"> and the Commission’s website</w:t>
            </w:r>
            <w:r w:rsidRPr="00CD3F00">
              <w:rPr>
                <w:rStyle w:val="FootnoteReference"/>
                <w:noProof/>
              </w:rPr>
              <w:footnoteReference w:id="27"/>
            </w:r>
            <w:r w:rsidRPr="00B4077A">
              <w:rPr>
                <w:noProof/>
                <w:szCs w:val="24"/>
              </w:rPr>
              <w:t>.</w:t>
            </w:r>
          </w:p>
          <w:bookmarkEnd w:id="9"/>
          <w:p w14:paraId="71497C95" w14:textId="77777777" w:rsidR="002C0325" w:rsidRPr="00D1775C" w:rsidRDefault="002C0325" w:rsidP="00352B78">
            <w:pPr>
              <w:pStyle w:val="ListParagraph"/>
              <w:numPr>
                <w:ilvl w:val="0"/>
                <w:numId w:val="3"/>
              </w:numPr>
              <w:spacing w:after="120" w:line="276" w:lineRule="auto"/>
              <w:contextualSpacing w:val="0"/>
              <w:jc w:val="both"/>
              <w:rPr>
                <w:noProof/>
              </w:rPr>
            </w:pPr>
            <w:r w:rsidRPr="008E3459">
              <w:rPr>
                <w:iCs/>
                <w:noProof/>
                <w:szCs w:val="24"/>
              </w:rPr>
              <w:t xml:space="preserve">Jointly with the FRA, the Commission </w:t>
            </w:r>
            <w:r>
              <w:rPr>
                <w:iCs/>
                <w:noProof/>
                <w:szCs w:val="24"/>
              </w:rPr>
              <w:t xml:space="preserve">in December 2023 </w:t>
            </w:r>
            <w:r w:rsidRPr="008E3459">
              <w:rPr>
                <w:iCs/>
                <w:noProof/>
                <w:szCs w:val="24"/>
              </w:rPr>
              <w:t xml:space="preserve">organised a first-ever </w:t>
            </w:r>
            <w:r w:rsidRPr="008E3459">
              <w:rPr>
                <w:b/>
                <w:bCs/>
                <w:iCs/>
                <w:noProof/>
                <w:szCs w:val="24"/>
              </w:rPr>
              <w:t>CharterXchange online event</w:t>
            </w:r>
            <w:r w:rsidRPr="008E3459">
              <w:rPr>
                <w:iCs/>
                <w:noProof/>
                <w:szCs w:val="24"/>
              </w:rPr>
              <w:t>, which brought together professionals and other participants to exchange on the application of the Charter</w:t>
            </w:r>
            <w:r>
              <w:rPr>
                <w:rStyle w:val="FootnoteReference"/>
                <w:noProof/>
              </w:rPr>
              <w:footnoteReference w:id="28"/>
            </w:r>
            <w:r w:rsidRPr="008E3459">
              <w:rPr>
                <w:iCs/>
                <w:noProof/>
                <w:szCs w:val="24"/>
              </w:rPr>
              <w:t xml:space="preserve">. The FRA </w:t>
            </w:r>
            <w:r>
              <w:rPr>
                <w:iCs/>
                <w:noProof/>
                <w:szCs w:val="24"/>
              </w:rPr>
              <w:t>is</w:t>
            </w:r>
            <w:r w:rsidRPr="008E3459">
              <w:rPr>
                <w:iCs/>
                <w:noProof/>
                <w:szCs w:val="24"/>
              </w:rPr>
              <w:t xml:space="preserve"> also m</w:t>
            </w:r>
            <w:r>
              <w:rPr>
                <w:iCs/>
                <w:noProof/>
                <w:szCs w:val="24"/>
              </w:rPr>
              <w:t>aking</w:t>
            </w:r>
            <w:r w:rsidRPr="008E3459">
              <w:rPr>
                <w:iCs/>
                <w:noProof/>
                <w:szCs w:val="24"/>
              </w:rPr>
              <w:t xml:space="preserve"> </w:t>
            </w:r>
            <w:r>
              <w:rPr>
                <w:iCs/>
                <w:noProof/>
                <w:szCs w:val="24"/>
              </w:rPr>
              <w:t xml:space="preserve">its </w:t>
            </w:r>
            <w:r w:rsidRPr="000911A5">
              <w:rPr>
                <w:b/>
                <w:bCs/>
                <w:iCs/>
                <w:noProof/>
                <w:szCs w:val="24"/>
              </w:rPr>
              <w:t>Charter tools</w:t>
            </w:r>
            <w:r>
              <w:rPr>
                <w:iCs/>
                <w:noProof/>
                <w:szCs w:val="24"/>
              </w:rPr>
              <w:t xml:space="preserve"> available </w:t>
            </w:r>
            <w:r w:rsidRPr="000911A5">
              <w:rPr>
                <w:b/>
                <w:bCs/>
                <w:iCs/>
                <w:noProof/>
                <w:szCs w:val="24"/>
              </w:rPr>
              <w:t>in national languages</w:t>
            </w:r>
            <w:r>
              <w:rPr>
                <w:rStyle w:val="FootnoteReference"/>
                <w:noProof/>
              </w:rPr>
              <w:footnoteReference w:id="29"/>
            </w:r>
            <w:r w:rsidRPr="008E3459">
              <w:rPr>
                <w:iCs/>
                <w:noProof/>
                <w:szCs w:val="24"/>
              </w:rPr>
              <w:t>.</w:t>
            </w:r>
          </w:p>
        </w:tc>
      </w:tr>
    </w:tbl>
    <w:p w14:paraId="6CEA6B85" w14:textId="77777777" w:rsidR="002C0325" w:rsidRPr="009F5461" w:rsidRDefault="002C0325" w:rsidP="002C0325">
      <w:pPr>
        <w:jc w:val="both"/>
        <w:rPr>
          <w:rFonts w:ascii="Times New Roman" w:hAnsi="Times New Roman"/>
          <w:noProof/>
          <w:sz w:val="24"/>
          <w:szCs w:val="24"/>
        </w:rPr>
      </w:pPr>
    </w:p>
    <w:p w14:paraId="782BBDDB" w14:textId="77777777" w:rsidR="002C0325" w:rsidRDefault="002C0325" w:rsidP="002C0325">
      <w:pPr>
        <w:rPr>
          <w:rFonts w:ascii="Times New Roman" w:hAnsi="Times New Roman" w:cs="Times New Roman"/>
          <w:b/>
          <w:noProof/>
          <w:sz w:val="24"/>
          <w:lang w:val="en-GB"/>
        </w:rPr>
      </w:pPr>
      <w:r>
        <w:rPr>
          <w:noProof/>
        </w:rPr>
        <w:br w:type="page"/>
      </w:r>
    </w:p>
    <w:p w14:paraId="411F742B" w14:textId="77777777" w:rsidR="002C0325" w:rsidRPr="0031387A" w:rsidRDefault="002C0325" w:rsidP="002C0325">
      <w:pPr>
        <w:pStyle w:val="Heading1"/>
        <w:rPr>
          <w:noProof/>
        </w:rPr>
      </w:pPr>
      <w:bookmarkStart w:id="10" w:name="_Toc178607503"/>
      <w:r w:rsidRPr="0031387A">
        <w:rPr>
          <w:noProof/>
        </w:rPr>
        <w:t>Promotion and protection of fundamental rights through the CERV programme</w:t>
      </w:r>
      <w:bookmarkEnd w:id="10"/>
    </w:p>
    <w:p w14:paraId="6EB867F7" w14:textId="77777777" w:rsidR="002C0325" w:rsidRPr="00C44EE9" w:rsidRDefault="002C0325" w:rsidP="002C0325">
      <w:pPr>
        <w:pStyle w:val="Headerlevel2"/>
      </w:pPr>
      <w:bookmarkStart w:id="11" w:name="_Hlk147830420"/>
      <w:r>
        <w:t>Funding to support the application of fundamental rights</w:t>
      </w:r>
    </w:p>
    <w:p w14:paraId="33796079" w14:textId="77777777" w:rsidR="002C0325" w:rsidRPr="00B71E9E" w:rsidRDefault="002C0325" w:rsidP="002C0325">
      <w:pPr>
        <w:spacing w:before="120" w:after="120" w:line="276" w:lineRule="auto"/>
        <w:jc w:val="both"/>
        <w:rPr>
          <w:rFonts w:ascii="Times New Roman" w:hAnsi="Times New Roman" w:cs="Times New Roman"/>
          <w:noProof/>
          <w:sz w:val="24"/>
          <w:szCs w:val="24"/>
          <w:lang w:val="en-GB"/>
        </w:rPr>
      </w:pPr>
      <w:r w:rsidRPr="00C44EE9">
        <w:rPr>
          <w:rFonts w:ascii="Times New Roman" w:hAnsi="Times New Roman" w:cs="Times New Roman"/>
          <w:noProof/>
          <w:sz w:val="24"/>
          <w:szCs w:val="24"/>
          <w:lang w:val="en-GB"/>
        </w:rPr>
        <w:t>The Citizens, Equality, Rights and Values programme</w:t>
      </w:r>
      <w:r>
        <w:rPr>
          <w:rFonts w:ascii="Times New Roman" w:hAnsi="Times New Roman" w:cs="Times New Roman"/>
          <w:noProof/>
          <w:sz w:val="24"/>
          <w:szCs w:val="24"/>
          <w:lang w:val="en-GB"/>
        </w:rPr>
        <w:t xml:space="preserve"> is the only EU funding programme that specifically seeks to protect and promote the rights and values enshrined in the Treaties, and the Charter, to sustain open, rights-based, democratic, equal and inclusive societies based on the rule of law</w:t>
      </w:r>
      <w:r w:rsidRPr="00C44EE9">
        <w:rPr>
          <w:rFonts w:ascii="Times New Roman" w:hAnsi="Times New Roman" w:cs="Times New Roman"/>
          <w:noProof/>
          <w:sz w:val="24"/>
          <w:szCs w:val="24"/>
          <w:vertAlign w:val="superscript"/>
          <w:lang w:val="en-GB"/>
        </w:rPr>
        <w:footnoteReference w:id="30"/>
      </w:r>
      <w:r w:rsidRPr="00C44EE9">
        <w:rPr>
          <w:rFonts w:ascii="Times New Roman" w:hAnsi="Times New Roman" w:cs="Times New Roman"/>
          <w:noProof/>
          <w:sz w:val="24"/>
          <w:szCs w:val="24"/>
          <w:lang w:val="en-GB"/>
        </w:rPr>
        <w:t xml:space="preserve">. </w:t>
      </w:r>
      <w:r>
        <w:rPr>
          <w:rFonts w:ascii="Times New Roman" w:hAnsi="Times New Roman" w:cs="Times New Roman"/>
          <w:noProof/>
          <w:sz w:val="24"/>
          <w:lang w:val="en-GB"/>
        </w:rPr>
        <w:t>T</w:t>
      </w:r>
      <w:r w:rsidRPr="004A72B5">
        <w:rPr>
          <w:rFonts w:ascii="Times New Roman" w:hAnsi="Times New Roman" w:cs="Times New Roman"/>
          <w:noProof/>
          <w:sz w:val="24"/>
          <w:lang w:val="en-GB"/>
        </w:rPr>
        <w:t xml:space="preserve">he </w:t>
      </w:r>
      <w:r>
        <w:rPr>
          <w:rFonts w:ascii="Times New Roman" w:hAnsi="Times New Roman" w:cs="Times New Roman"/>
          <w:noProof/>
          <w:sz w:val="24"/>
          <w:lang w:val="en-GB"/>
        </w:rPr>
        <w:t xml:space="preserve">programme </w:t>
      </w:r>
      <w:r w:rsidRPr="004A72B5">
        <w:rPr>
          <w:rFonts w:ascii="Times New Roman" w:hAnsi="Times New Roman" w:cs="Times New Roman"/>
          <w:noProof/>
          <w:sz w:val="24"/>
          <w:lang w:val="en-GB"/>
        </w:rPr>
        <w:t>fund</w:t>
      </w:r>
      <w:r>
        <w:rPr>
          <w:rFonts w:ascii="Times New Roman" w:hAnsi="Times New Roman" w:cs="Times New Roman"/>
          <w:noProof/>
          <w:sz w:val="24"/>
          <w:lang w:val="en-GB"/>
        </w:rPr>
        <w:t>s</w:t>
      </w:r>
      <w:r w:rsidRPr="004A72B5">
        <w:rPr>
          <w:rFonts w:ascii="Times New Roman" w:hAnsi="Times New Roman" w:cs="Times New Roman"/>
          <w:noProof/>
          <w:sz w:val="24"/>
          <w:lang w:val="en-GB"/>
        </w:rPr>
        <w:t xml:space="preserve"> activities encouraging democratic, civic and social participation, </w:t>
      </w:r>
      <w:r>
        <w:rPr>
          <w:rFonts w:ascii="Times New Roman" w:hAnsi="Times New Roman" w:cs="Times New Roman"/>
          <w:noProof/>
          <w:sz w:val="24"/>
          <w:lang w:val="en-GB"/>
        </w:rPr>
        <w:t xml:space="preserve">and </w:t>
      </w:r>
      <w:r w:rsidRPr="004A72B5">
        <w:rPr>
          <w:rFonts w:ascii="Times New Roman" w:hAnsi="Times New Roman" w:cs="Times New Roman"/>
          <w:noProof/>
          <w:sz w:val="24"/>
          <w:lang w:val="en-GB"/>
        </w:rPr>
        <w:t>the diversity of</w:t>
      </w:r>
      <w:r>
        <w:rPr>
          <w:rFonts w:ascii="Times New Roman" w:hAnsi="Times New Roman" w:cs="Times New Roman"/>
          <w:noProof/>
          <w:sz w:val="24"/>
          <w:lang w:val="en-GB"/>
        </w:rPr>
        <w:t xml:space="preserve"> the</w:t>
      </w:r>
      <w:r w:rsidRPr="004A72B5">
        <w:rPr>
          <w:rFonts w:ascii="Times New Roman" w:hAnsi="Times New Roman" w:cs="Times New Roman"/>
          <w:noProof/>
          <w:sz w:val="24"/>
          <w:lang w:val="en-GB"/>
        </w:rPr>
        <w:t xml:space="preserve"> European society based on common values, history and memory, as well as </w:t>
      </w:r>
      <w:r w:rsidRPr="004A72B5">
        <w:rPr>
          <w:rFonts w:ascii="Times New Roman" w:hAnsi="Times New Roman" w:cs="Times New Roman"/>
          <w:noProof/>
          <w:sz w:val="24"/>
          <w:szCs w:val="24"/>
          <w:lang w:val="en-GB"/>
        </w:rPr>
        <w:t>enhancing</w:t>
      </w:r>
      <w:r>
        <w:rPr>
          <w:rFonts w:ascii="Times New Roman" w:hAnsi="Times New Roman" w:cs="Times New Roman"/>
          <w:noProof/>
          <w:sz w:val="24"/>
          <w:szCs w:val="24"/>
          <w:lang w:val="en-GB"/>
        </w:rPr>
        <w:t xml:space="preserve"> civil society’s</w:t>
      </w:r>
      <w:r w:rsidRPr="004A72B5">
        <w:rPr>
          <w:rFonts w:ascii="Times New Roman" w:hAnsi="Times New Roman" w:cs="Times New Roman"/>
          <w:noProof/>
          <w:sz w:val="24"/>
          <w:szCs w:val="24"/>
          <w:lang w:val="en-GB"/>
        </w:rPr>
        <w:t xml:space="preserve"> capacity and fostering cross-border cooperation and trust.</w:t>
      </w:r>
    </w:p>
    <w:p w14:paraId="5276D19B" w14:textId="77777777" w:rsidR="002C0325" w:rsidRDefault="002C0325" w:rsidP="002C0325">
      <w:pPr>
        <w:jc w:val="both"/>
        <w:rPr>
          <w:rFonts w:ascii="EC Square Sans Pro" w:eastAsia="EC Square Sans Pro" w:hAnsi="EC Square Sans Pro" w:cs="EC Square Sans Pro"/>
          <w:noProof/>
          <w:color w:val="202122"/>
        </w:rPr>
      </w:pPr>
      <w:r w:rsidRPr="002461D0">
        <w:rPr>
          <w:rFonts w:ascii="Times New Roman" w:hAnsi="Times New Roman" w:cs="Times New Roman"/>
          <w:noProof/>
          <w:sz w:val="24"/>
          <w:lang w:val="en-GB"/>
        </w:rPr>
        <w:t>The budget of the CERV was substantially increased</w:t>
      </w:r>
      <w:r>
        <w:rPr>
          <w:rFonts w:ascii="Times New Roman" w:hAnsi="Times New Roman" w:cs="Times New Roman"/>
          <w:noProof/>
          <w:sz w:val="24"/>
          <w:lang w:val="en-GB"/>
        </w:rPr>
        <w:t xml:space="preserve"> </w:t>
      </w:r>
      <w:r w:rsidRPr="002461D0">
        <w:rPr>
          <w:rFonts w:ascii="Times New Roman" w:hAnsi="Times New Roman" w:cs="Times New Roman"/>
          <w:noProof/>
          <w:sz w:val="24"/>
          <w:lang w:val="en-GB"/>
        </w:rPr>
        <w:t xml:space="preserve">for the 2021–2027 period following </w:t>
      </w:r>
      <w:r>
        <w:rPr>
          <w:rFonts w:ascii="Times New Roman" w:hAnsi="Times New Roman" w:cs="Times New Roman"/>
          <w:noProof/>
          <w:sz w:val="24"/>
          <w:lang w:val="en-GB"/>
        </w:rPr>
        <w:t>a</w:t>
      </w:r>
      <w:r w:rsidRPr="002461D0">
        <w:rPr>
          <w:rFonts w:ascii="Times New Roman" w:hAnsi="Times New Roman" w:cs="Times New Roman"/>
          <w:noProof/>
          <w:sz w:val="24"/>
          <w:lang w:val="en-GB"/>
        </w:rPr>
        <w:t xml:space="preserve"> proposal by the European Parliament to more than double it to over EUR </w:t>
      </w:r>
      <w:r w:rsidRPr="5E1D650F">
        <w:rPr>
          <w:rFonts w:ascii="Times New Roman" w:hAnsi="Times New Roman" w:cs="Times New Roman"/>
          <w:noProof/>
          <w:sz w:val="24"/>
          <w:szCs w:val="24"/>
          <w:lang w:val="en-GB"/>
        </w:rPr>
        <w:t xml:space="preserve">1,5 </w:t>
      </w:r>
      <w:r>
        <w:rPr>
          <w:rFonts w:ascii="Times New Roman" w:hAnsi="Times New Roman" w:cs="Times New Roman"/>
          <w:noProof/>
          <w:sz w:val="24"/>
          <w:szCs w:val="24"/>
          <w:lang w:val="en-GB"/>
        </w:rPr>
        <w:t>billion</w:t>
      </w:r>
      <w:r w:rsidRPr="002461D0">
        <w:rPr>
          <w:rFonts w:ascii="Times New Roman" w:hAnsi="Times New Roman" w:cs="Times New Roman"/>
          <w:noProof/>
          <w:sz w:val="24"/>
          <w:lang w:val="en-GB"/>
        </w:rPr>
        <w:t xml:space="preserve">. </w:t>
      </w:r>
      <w:r>
        <w:rPr>
          <w:rFonts w:ascii="Times New Roman" w:hAnsi="Times New Roman" w:cs="Times New Roman"/>
          <w:noProof/>
          <w:sz w:val="24"/>
          <w:lang w:val="en-GB"/>
        </w:rPr>
        <w:t>This</w:t>
      </w:r>
      <w:r w:rsidRPr="00AD7B31">
        <w:rPr>
          <w:rFonts w:ascii="Times New Roman" w:hAnsi="Times New Roman" w:cs="Times New Roman"/>
          <w:noProof/>
          <w:sz w:val="24"/>
          <w:szCs w:val="24"/>
          <w:lang w:val="en-GB"/>
        </w:rPr>
        <w:t xml:space="preserve"> </w:t>
      </w:r>
      <w:r w:rsidRPr="00AD7B31">
        <w:rPr>
          <w:rFonts w:ascii="Times New Roman" w:hAnsi="Times New Roman" w:cs="Times New Roman"/>
          <w:noProof/>
          <w:sz w:val="24"/>
          <w:lang w:val="en-GB"/>
        </w:rPr>
        <w:t xml:space="preserve">transformed </w:t>
      </w:r>
      <w:r>
        <w:rPr>
          <w:rFonts w:ascii="Times New Roman" w:hAnsi="Times New Roman" w:cs="Times New Roman"/>
          <w:noProof/>
          <w:sz w:val="24"/>
          <w:lang w:val="en-GB"/>
        </w:rPr>
        <w:t>the programme</w:t>
      </w:r>
      <w:r w:rsidRPr="00AD7B31">
        <w:rPr>
          <w:rFonts w:ascii="Times New Roman" w:hAnsi="Times New Roman" w:cs="Times New Roman"/>
          <w:noProof/>
          <w:sz w:val="24"/>
          <w:szCs w:val="24"/>
          <w:lang w:val="en-GB"/>
        </w:rPr>
        <w:t xml:space="preserve"> into</w:t>
      </w:r>
      <w:r w:rsidRPr="00AD7B31">
        <w:rPr>
          <w:rFonts w:ascii="Times New Roman" w:hAnsi="Times New Roman" w:cs="Times New Roman"/>
          <w:noProof/>
          <w:sz w:val="24"/>
          <w:lang w:val="en-GB"/>
        </w:rPr>
        <w:t xml:space="preserve"> the </w:t>
      </w:r>
      <w:r>
        <w:rPr>
          <w:rFonts w:ascii="Times New Roman" w:hAnsi="Times New Roman" w:cs="Times New Roman"/>
          <w:noProof/>
          <w:sz w:val="24"/>
          <w:lang w:val="en-GB"/>
        </w:rPr>
        <w:t>largest</w:t>
      </w:r>
      <w:r w:rsidRPr="00AD7B31">
        <w:rPr>
          <w:rFonts w:ascii="Times New Roman" w:hAnsi="Times New Roman" w:cs="Times New Roman"/>
          <w:noProof/>
          <w:sz w:val="24"/>
          <w:lang w:val="en-GB"/>
        </w:rPr>
        <w:t xml:space="preserve"> EU fund </w:t>
      </w:r>
      <w:r>
        <w:rPr>
          <w:rFonts w:ascii="Times New Roman" w:hAnsi="Times New Roman" w:cs="Times New Roman"/>
          <w:noProof/>
          <w:sz w:val="24"/>
          <w:lang w:val="en-GB"/>
        </w:rPr>
        <w:t>dedicated to</w:t>
      </w:r>
      <w:r w:rsidRPr="00AD7B31">
        <w:rPr>
          <w:rFonts w:ascii="Times New Roman" w:hAnsi="Times New Roman" w:cs="Times New Roman"/>
          <w:noProof/>
          <w:sz w:val="24"/>
          <w:lang w:val="en-GB"/>
        </w:rPr>
        <w:t xml:space="preserve"> promot</w:t>
      </w:r>
      <w:r>
        <w:rPr>
          <w:rFonts w:ascii="Times New Roman" w:hAnsi="Times New Roman" w:cs="Times New Roman"/>
          <w:noProof/>
          <w:sz w:val="24"/>
          <w:lang w:val="en-GB"/>
        </w:rPr>
        <w:t>ing</w:t>
      </w:r>
      <w:r w:rsidRPr="00AD7B31">
        <w:rPr>
          <w:rFonts w:ascii="Times New Roman" w:hAnsi="Times New Roman" w:cs="Times New Roman"/>
          <w:noProof/>
          <w:sz w:val="24"/>
          <w:lang w:val="en-GB"/>
        </w:rPr>
        <w:t xml:space="preserve"> the founding values and fundamental rights across Europe </w:t>
      </w:r>
      <w:r>
        <w:rPr>
          <w:rFonts w:ascii="Times New Roman" w:hAnsi="Times New Roman" w:cs="Times New Roman"/>
          <w:noProof/>
          <w:sz w:val="24"/>
          <w:lang w:val="en-GB"/>
        </w:rPr>
        <w:t xml:space="preserve">and </w:t>
      </w:r>
      <w:r w:rsidRPr="00AD7B31">
        <w:rPr>
          <w:rFonts w:ascii="Times New Roman" w:hAnsi="Times New Roman" w:cs="Times New Roman"/>
          <w:noProof/>
          <w:sz w:val="24"/>
          <w:lang w:val="en-GB"/>
        </w:rPr>
        <w:t xml:space="preserve">to reinforce a Union of Equality, Justice, Rights and Values. </w:t>
      </w:r>
    </w:p>
    <w:p w14:paraId="3354045F" w14:textId="77777777" w:rsidR="002C0325" w:rsidRDefault="002C0325" w:rsidP="002C0325">
      <w:pPr>
        <w:spacing w:before="120" w:after="120" w:line="276" w:lineRule="auto"/>
        <w:jc w:val="both"/>
        <w:rPr>
          <w:rFonts w:ascii="Times New Roman" w:hAnsi="Times New Roman" w:cs="Times New Roman"/>
          <w:noProof/>
          <w:sz w:val="24"/>
          <w:szCs w:val="24"/>
        </w:rPr>
      </w:pPr>
      <w:r>
        <w:rPr>
          <w:rFonts w:ascii="Times New Roman" w:hAnsi="Times New Roman" w:cs="Times New Roman"/>
          <w:noProof/>
          <w:sz w:val="24"/>
          <w:szCs w:val="24"/>
          <w:lang w:val="en-GB" w:eastAsia="en-GB"/>
        </w:rPr>
        <w:drawing>
          <wp:inline distT="0" distB="0" distL="0" distR="0" wp14:anchorId="6956F0BF" wp14:editId="475EAE3F">
            <wp:extent cx="5878409" cy="3078178"/>
            <wp:effectExtent l="0" t="0" r="825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3786" t="8126" r="5518" b="7537"/>
                    <a:stretch/>
                  </pic:blipFill>
                  <pic:spPr bwMode="auto">
                    <a:xfrm>
                      <a:off x="0" y="0"/>
                      <a:ext cx="5908200" cy="3093778"/>
                    </a:xfrm>
                    <a:prstGeom prst="rect">
                      <a:avLst/>
                    </a:prstGeom>
                    <a:noFill/>
                    <a:ln>
                      <a:noFill/>
                    </a:ln>
                    <a:extLst>
                      <a:ext uri="{53640926-AAD7-44D8-BBD7-CCE9431645EC}">
                        <a14:shadowObscured xmlns:a14="http://schemas.microsoft.com/office/drawing/2010/main"/>
                      </a:ext>
                    </a:extLst>
                  </pic:spPr>
                </pic:pic>
              </a:graphicData>
            </a:graphic>
          </wp:inline>
        </w:drawing>
      </w:r>
    </w:p>
    <w:p w14:paraId="39387AEB" w14:textId="77777777" w:rsidR="002C0325" w:rsidRDefault="002C0325" w:rsidP="002C0325">
      <w:pPr>
        <w:spacing w:before="120" w:after="120" w:line="276" w:lineRule="auto"/>
        <w:jc w:val="both"/>
        <w:rPr>
          <w:rFonts w:ascii="Times New Roman" w:hAnsi="Times New Roman" w:cs="Times New Roman"/>
          <w:noProof/>
          <w:sz w:val="24"/>
          <w:szCs w:val="24"/>
          <w:lang w:val="en-GB"/>
        </w:rPr>
      </w:pPr>
      <w:r w:rsidRPr="004A72B5">
        <w:rPr>
          <w:rFonts w:ascii="Times New Roman" w:hAnsi="Times New Roman" w:cs="Times New Roman"/>
          <w:noProof/>
          <w:sz w:val="24"/>
          <w:szCs w:val="24"/>
        </w:rPr>
        <w:t xml:space="preserve">The CERV programme </w:t>
      </w:r>
      <w:r w:rsidRPr="004A72B5">
        <w:rPr>
          <w:rFonts w:ascii="Times New Roman" w:hAnsi="Times New Roman" w:cs="Times New Roman"/>
          <w:noProof/>
          <w:sz w:val="24"/>
          <w:szCs w:val="24"/>
          <w:lang w:val="en-GB"/>
        </w:rPr>
        <w:t xml:space="preserve">funds a broad range of </w:t>
      </w:r>
      <w:r>
        <w:rPr>
          <w:rFonts w:ascii="Times New Roman" w:hAnsi="Times New Roman" w:cs="Times New Roman"/>
          <w:noProof/>
          <w:sz w:val="24"/>
          <w:szCs w:val="24"/>
          <w:lang w:val="en-GB"/>
        </w:rPr>
        <w:t xml:space="preserve">actors </w:t>
      </w:r>
      <w:r w:rsidRPr="004A72B5">
        <w:rPr>
          <w:rFonts w:ascii="Times New Roman" w:hAnsi="Times New Roman" w:cs="Times New Roman"/>
          <w:noProof/>
          <w:sz w:val="24"/>
          <w:szCs w:val="24"/>
          <w:lang w:val="en-GB"/>
        </w:rPr>
        <w:t>in</w:t>
      </w:r>
      <w:r w:rsidRPr="004A72B5">
        <w:rPr>
          <w:rFonts w:ascii="Times New Roman" w:hAnsi="Times New Roman" w:cs="Times New Roman"/>
          <w:noProof/>
          <w:sz w:val="24"/>
          <w:szCs w:val="24"/>
        </w:rPr>
        <w:t xml:space="preserve"> </w:t>
      </w:r>
      <w:r>
        <w:rPr>
          <w:rFonts w:ascii="Times New Roman" w:hAnsi="Times New Roman" w:cs="Times New Roman"/>
          <w:noProof/>
          <w:sz w:val="24"/>
          <w:szCs w:val="24"/>
        </w:rPr>
        <w:t xml:space="preserve">the </w:t>
      </w:r>
      <w:r w:rsidRPr="004A72B5">
        <w:rPr>
          <w:rFonts w:ascii="Times New Roman" w:hAnsi="Times New Roman" w:cs="Times New Roman"/>
          <w:noProof/>
          <w:sz w:val="24"/>
          <w:szCs w:val="24"/>
        </w:rPr>
        <w:t>Member States and third countries</w:t>
      </w:r>
      <w:r>
        <w:rPr>
          <w:rStyle w:val="FootnoteReference"/>
          <w:noProof/>
          <w:lang w:val="en-GB"/>
        </w:rPr>
        <w:footnoteReference w:id="31"/>
      </w:r>
      <w:r w:rsidRPr="004A72B5">
        <w:rPr>
          <w:rFonts w:ascii="Times New Roman" w:hAnsi="Times New Roman" w:cs="Times New Roman"/>
          <w:noProof/>
          <w:sz w:val="24"/>
          <w:szCs w:val="24"/>
          <w:lang w:val="en-GB"/>
        </w:rPr>
        <w:t xml:space="preserve">. </w:t>
      </w:r>
      <w:r>
        <w:rPr>
          <w:rFonts w:ascii="Times New Roman" w:hAnsi="Times New Roman" w:cs="Times New Roman"/>
          <w:noProof/>
          <w:sz w:val="24"/>
          <w:szCs w:val="24"/>
          <w:lang w:val="en-GB"/>
        </w:rPr>
        <w:t>While the programme supports in particular CSOs,</w:t>
      </w:r>
      <w:r w:rsidRPr="004A72B5">
        <w:rPr>
          <w:rFonts w:ascii="Times New Roman" w:hAnsi="Times New Roman" w:cs="Times New Roman"/>
          <w:noProof/>
          <w:sz w:val="24"/>
          <w:szCs w:val="24"/>
          <w:lang w:val="en-GB"/>
        </w:rPr>
        <w:t xml:space="preserve"> other beneficiaries include European networks, public authorities (including </w:t>
      </w:r>
      <w:r>
        <w:rPr>
          <w:rFonts w:ascii="Times New Roman" w:hAnsi="Times New Roman" w:cs="Times New Roman"/>
          <w:noProof/>
          <w:sz w:val="24"/>
          <w:szCs w:val="24"/>
          <w:lang w:val="en-GB"/>
        </w:rPr>
        <w:t xml:space="preserve">NHRIs, </w:t>
      </w:r>
      <w:r w:rsidRPr="004A72B5">
        <w:rPr>
          <w:rFonts w:ascii="Times New Roman" w:hAnsi="Times New Roman" w:cs="Times New Roman"/>
          <w:noProof/>
          <w:sz w:val="24"/>
          <w:szCs w:val="24"/>
          <w:lang w:val="en-GB"/>
        </w:rPr>
        <w:t>equality</w:t>
      </w:r>
      <w:r>
        <w:rPr>
          <w:rFonts w:ascii="Times New Roman" w:hAnsi="Times New Roman" w:cs="Times New Roman"/>
          <w:noProof/>
          <w:sz w:val="24"/>
          <w:szCs w:val="24"/>
          <w:lang w:val="en-GB"/>
        </w:rPr>
        <w:t xml:space="preserve"> bodies, ombudspeople</w:t>
      </w:r>
      <w:r w:rsidRPr="004A72B5">
        <w:rPr>
          <w:rFonts w:ascii="Times New Roman" w:hAnsi="Times New Roman" w:cs="Times New Roman"/>
          <w:noProof/>
          <w:sz w:val="24"/>
          <w:szCs w:val="24"/>
          <w:lang w:val="en-GB"/>
        </w:rPr>
        <w:t xml:space="preserve"> and </w:t>
      </w:r>
      <w:r>
        <w:rPr>
          <w:rFonts w:ascii="Times New Roman" w:hAnsi="Times New Roman" w:cs="Times New Roman"/>
          <w:noProof/>
          <w:sz w:val="24"/>
          <w:szCs w:val="24"/>
          <w:lang w:val="en-GB"/>
        </w:rPr>
        <w:t>other fundamental</w:t>
      </w:r>
      <w:r w:rsidRPr="004A72B5">
        <w:rPr>
          <w:rFonts w:ascii="Times New Roman" w:hAnsi="Times New Roman" w:cs="Times New Roman"/>
          <w:noProof/>
          <w:sz w:val="24"/>
          <w:szCs w:val="24"/>
          <w:lang w:val="en-GB"/>
        </w:rPr>
        <w:t xml:space="preserve"> rights bodies</w:t>
      </w:r>
      <w:r>
        <w:rPr>
          <w:rFonts w:ascii="Times New Roman" w:hAnsi="Times New Roman" w:cs="Times New Roman"/>
          <w:noProof/>
          <w:sz w:val="24"/>
          <w:szCs w:val="24"/>
          <w:lang w:val="en-GB"/>
        </w:rPr>
        <w:t xml:space="preserve"> and </w:t>
      </w:r>
      <w:r w:rsidRPr="00DD107F">
        <w:rPr>
          <w:rFonts w:ascii="Times New Roman" w:hAnsi="Times New Roman" w:cs="Times New Roman"/>
          <w:noProof/>
          <w:sz w:val="24"/>
          <w:szCs w:val="24"/>
          <w:lang w:val="en-GB"/>
        </w:rPr>
        <w:t>national data protection authorities</w:t>
      </w:r>
      <w:r w:rsidRPr="004A72B5">
        <w:rPr>
          <w:rFonts w:ascii="Times New Roman" w:hAnsi="Times New Roman" w:cs="Times New Roman"/>
          <w:noProof/>
          <w:sz w:val="24"/>
          <w:szCs w:val="24"/>
          <w:lang w:val="en-GB"/>
        </w:rPr>
        <w:t xml:space="preserve">), </w:t>
      </w:r>
      <w:r>
        <w:rPr>
          <w:rFonts w:ascii="Times New Roman" w:hAnsi="Times New Roman" w:cs="Times New Roman"/>
          <w:noProof/>
          <w:sz w:val="24"/>
          <w:szCs w:val="24"/>
          <w:lang w:val="en-GB"/>
        </w:rPr>
        <w:t xml:space="preserve">towns and municipalities, </w:t>
      </w:r>
      <w:r w:rsidRPr="004A72B5">
        <w:rPr>
          <w:rFonts w:ascii="Times New Roman" w:hAnsi="Times New Roman" w:cs="Times New Roman"/>
          <w:noProof/>
          <w:sz w:val="24"/>
          <w:szCs w:val="24"/>
          <w:lang w:val="en-GB"/>
        </w:rPr>
        <w:t>academia</w:t>
      </w:r>
      <w:r>
        <w:rPr>
          <w:rFonts w:ascii="Times New Roman" w:hAnsi="Times New Roman" w:cs="Times New Roman"/>
          <w:noProof/>
          <w:sz w:val="24"/>
          <w:szCs w:val="24"/>
          <w:lang w:val="en-GB"/>
        </w:rPr>
        <w:t xml:space="preserve"> and </w:t>
      </w:r>
      <w:r w:rsidRPr="004A72B5">
        <w:rPr>
          <w:rFonts w:ascii="Times New Roman" w:hAnsi="Times New Roman" w:cs="Times New Roman"/>
          <w:noProof/>
          <w:sz w:val="24"/>
          <w:szCs w:val="24"/>
          <w:lang w:val="en-GB"/>
        </w:rPr>
        <w:t xml:space="preserve">research institutes, think thanks, international organisations and other </w:t>
      </w:r>
      <w:r>
        <w:rPr>
          <w:rFonts w:ascii="Times New Roman" w:hAnsi="Times New Roman" w:cs="Times New Roman"/>
          <w:noProof/>
          <w:sz w:val="24"/>
          <w:szCs w:val="24"/>
          <w:lang w:val="en-GB"/>
        </w:rPr>
        <w:t>actors</w:t>
      </w:r>
      <w:r w:rsidRPr="004A72B5">
        <w:rPr>
          <w:rFonts w:ascii="Times New Roman" w:hAnsi="Times New Roman" w:cs="Times New Roman"/>
          <w:noProof/>
          <w:sz w:val="24"/>
          <w:szCs w:val="24"/>
          <w:lang w:val="en-GB"/>
        </w:rPr>
        <w:t xml:space="preserve"> active in promoting EU values and rights. </w:t>
      </w:r>
    </w:p>
    <w:p w14:paraId="46D04B02" w14:textId="77777777" w:rsidR="002C0325" w:rsidRPr="00F3591E" w:rsidRDefault="002C0325" w:rsidP="002C0325">
      <w:pPr>
        <w:spacing w:before="120" w:after="120"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programme is primarily implemented through grants</w:t>
      </w:r>
      <w:r>
        <w:rPr>
          <w:rStyle w:val="FootnoteReference"/>
          <w:noProof/>
          <w:lang w:val="en-GB"/>
        </w:rPr>
        <w:footnoteReference w:id="32"/>
      </w:r>
      <w:r>
        <w:rPr>
          <w:rFonts w:ascii="Times New Roman" w:hAnsi="Times New Roman" w:cs="Times New Roman"/>
          <w:noProof/>
          <w:sz w:val="24"/>
          <w:szCs w:val="24"/>
          <w:lang w:val="en-GB"/>
        </w:rPr>
        <w:t xml:space="preserve"> but funds may also be allocated </w:t>
      </w:r>
      <w:r>
        <w:rPr>
          <w:rFonts w:ascii="Times New Roman" w:hAnsi="Times New Roman" w:cs="Times New Roman"/>
          <w:noProof/>
          <w:sz w:val="24"/>
          <w:szCs w:val="24"/>
        </w:rPr>
        <w:t xml:space="preserve">through procurement to </w:t>
      </w:r>
      <w:r w:rsidRPr="004A72B5">
        <w:rPr>
          <w:rFonts w:ascii="Times New Roman" w:hAnsi="Times New Roman" w:cs="Times New Roman"/>
          <w:noProof/>
          <w:sz w:val="24"/>
          <w:szCs w:val="24"/>
        </w:rPr>
        <w:t>monitor, control, audit and evaluat</w:t>
      </w:r>
      <w:r>
        <w:rPr>
          <w:rFonts w:ascii="Times New Roman" w:hAnsi="Times New Roman" w:cs="Times New Roman"/>
          <w:noProof/>
          <w:sz w:val="24"/>
          <w:szCs w:val="24"/>
        </w:rPr>
        <w:t>e</w:t>
      </w:r>
      <w:r w:rsidRPr="004A72B5">
        <w:rPr>
          <w:rFonts w:ascii="Times New Roman" w:hAnsi="Times New Roman" w:cs="Times New Roman"/>
          <w:noProof/>
          <w:sz w:val="24"/>
          <w:szCs w:val="24"/>
        </w:rPr>
        <w:t xml:space="preserve"> activities, information technology systems, studies, meetings of experts and communications</w:t>
      </w:r>
      <w:r>
        <w:rPr>
          <w:rStyle w:val="FootnoteReference"/>
          <w:noProof/>
        </w:rPr>
        <w:footnoteReference w:id="33"/>
      </w:r>
      <w:r w:rsidRPr="004A72B5">
        <w:rPr>
          <w:rFonts w:ascii="Times New Roman" w:hAnsi="Times New Roman" w:cs="Times New Roman"/>
          <w:noProof/>
          <w:sz w:val="24"/>
          <w:szCs w:val="24"/>
        </w:rPr>
        <w:t xml:space="preserve">. </w:t>
      </w:r>
    </w:p>
    <w:p w14:paraId="3FDA6A10" w14:textId="77777777" w:rsidR="002C0325" w:rsidRPr="0073403C" w:rsidRDefault="002C0325" w:rsidP="002C0325">
      <w:pPr>
        <w:widowControl w:val="0"/>
        <w:spacing w:before="120" w:after="12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Various </w:t>
      </w:r>
      <w:r w:rsidRPr="00B74F12">
        <w:rPr>
          <w:rFonts w:ascii="Times New Roman" w:hAnsi="Times New Roman" w:cs="Times New Roman"/>
          <w:noProof/>
          <w:sz w:val="24"/>
          <w:szCs w:val="24"/>
        </w:rPr>
        <w:t xml:space="preserve">activities are </w:t>
      </w:r>
      <w:r>
        <w:rPr>
          <w:rFonts w:ascii="Times New Roman" w:hAnsi="Times New Roman" w:cs="Times New Roman"/>
          <w:noProof/>
          <w:sz w:val="24"/>
          <w:szCs w:val="24"/>
        </w:rPr>
        <w:t xml:space="preserve">moreover </w:t>
      </w:r>
      <w:r w:rsidRPr="00B74F12">
        <w:rPr>
          <w:rFonts w:ascii="Times New Roman" w:hAnsi="Times New Roman" w:cs="Times New Roman"/>
          <w:noProof/>
          <w:sz w:val="24"/>
          <w:szCs w:val="24"/>
        </w:rPr>
        <w:t xml:space="preserve">implemented with the </w:t>
      </w:r>
      <w:r>
        <w:rPr>
          <w:rFonts w:ascii="Times New Roman" w:hAnsi="Times New Roman" w:cs="Times New Roman"/>
          <w:noProof/>
          <w:sz w:val="24"/>
          <w:szCs w:val="24"/>
        </w:rPr>
        <w:t>contribution</w:t>
      </w:r>
      <w:r w:rsidRPr="00B74F12">
        <w:rPr>
          <w:rFonts w:ascii="Times New Roman" w:hAnsi="Times New Roman" w:cs="Times New Roman"/>
          <w:noProof/>
          <w:sz w:val="24"/>
          <w:szCs w:val="24"/>
        </w:rPr>
        <w:t xml:space="preserve"> of international organisations, such as the OECD, OSCE, Council of Europe and UNESCO. F</w:t>
      </w:r>
      <w:r>
        <w:rPr>
          <w:rFonts w:ascii="Times New Roman" w:hAnsi="Times New Roman" w:cs="Times New Roman"/>
          <w:noProof/>
          <w:sz w:val="24"/>
          <w:szCs w:val="24"/>
        </w:rPr>
        <w:t>or instance,</w:t>
      </w:r>
      <w:r w:rsidRPr="00B74F12">
        <w:rPr>
          <w:rFonts w:ascii="Times New Roman" w:hAnsi="Times New Roman" w:cs="Times New Roman"/>
          <w:noProof/>
          <w:sz w:val="24"/>
          <w:szCs w:val="24"/>
          <w:lang w:val="en-GB"/>
        </w:rPr>
        <w:t xml:space="preserve"> the CERV programme </w:t>
      </w:r>
      <w:r>
        <w:rPr>
          <w:rFonts w:ascii="Times New Roman" w:hAnsi="Times New Roman" w:cs="Times New Roman"/>
          <w:noProof/>
          <w:sz w:val="24"/>
          <w:szCs w:val="24"/>
          <w:lang w:val="en-GB"/>
        </w:rPr>
        <w:t>supports</w:t>
      </w:r>
      <w:r w:rsidRPr="00B74F12">
        <w:rPr>
          <w:rFonts w:ascii="Times New Roman" w:hAnsi="Times New Roman" w:cs="Times New Roman"/>
          <w:noProof/>
          <w:sz w:val="24"/>
          <w:szCs w:val="24"/>
          <w:lang w:val="en-GB"/>
        </w:rPr>
        <w:t xml:space="preserve"> the knowledge-sharing and standard-setting work </w:t>
      </w:r>
      <w:r>
        <w:rPr>
          <w:rFonts w:ascii="Times New Roman" w:hAnsi="Times New Roman" w:cs="Times New Roman"/>
          <w:noProof/>
          <w:sz w:val="24"/>
          <w:szCs w:val="24"/>
          <w:lang w:val="en-GB"/>
        </w:rPr>
        <w:t xml:space="preserve">of the </w:t>
      </w:r>
      <w:r w:rsidRPr="00B74F12">
        <w:rPr>
          <w:rFonts w:ascii="Times New Roman" w:hAnsi="Times New Roman" w:cs="Times New Roman"/>
          <w:noProof/>
          <w:sz w:val="24"/>
          <w:szCs w:val="24"/>
          <w:lang w:val="en-GB"/>
        </w:rPr>
        <w:t>OSCE</w:t>
      </w:r>
      <w:r>
        <w:rPr>
          <w:rFonts w:ascii="Times New Roman" w:hAnsi="Times New Roman" w:cs="Times New Roman"/>
          <w:noProof/>
          <w:sz w:val="24"/>
          <w:szCs w:val="24"/>
          <w:lang w:val="en-GB"/>
        </w:rPr>
        <w:t>’s Office for Democratic Institutions and Human Rights</w:t>
      </w:r>
      <w:r w:rsidRPr="00B74F12">
        <w:rPr>
          <w:rFonts w:ascii="Times New Roman" w:hAnsi="Times New Roman" w:cs="Times New Roman"/>
          <w:noProof/>
          <w:sz w:val="24"/>
          <w:szCs w:val="24"/>
          <w:lang w:val="en-GB"/>
        </w:rPr>
        <w:t xml:space="preserve"> </w:t>
      </w:r>
      <w:r>
        <w:rPr>
          <w:rFonts w:ascii="Times New Roman" w:hAnsi="Times New Roman" w:cs="Times New Roman"/>
          <w:noProof/>
          <w:sz w:val="24"/>
          <w:szCs w:val="24"/>
          <w:lang w:val="en-GB"/>
        </w:rPr>
        <w:t>(</w:t>
      </w:r>
      <w:r w:rsidRPr="00B74F12">
        <w:rPr>
          <w:rFonts w:ascii="Times New Roman" w:hAnsi="Times New Roman" w:cs="Times New Roman"/>
          <w:noProof/>
          <w:sz w:val="24"/>
          <w:szCs w:val="24"/>
          <w:lang w:val="en-GB"/>
        </w:rPr>
        <w:t>ODIHR</w:t>
      </w:r>
      <w:r>
        <w:rPr>
          <w:rFonts w:ascii="Times New Roman" w:hAnsi="Times New Roman" w:cs="Times New Roman"/>
          <w:noProof/>
          <w:sz w:val="24"/>
          <w:szCs w:val="24"/>
          <w:lang w:val="en-GB"/>
        </w:rPr>
        <w:t>)</w:t>
      </w:r>
      <w:r w:rsidRPr="00B74F12">
        <w:rPr>
          <w:rFonts w:ascii="Times New Roman" w:hAnsi="Times New Roman" w:cs="Times New Roman"/>
          <w:noProof/>
          <w:sz w:val="24"/>
          <w:szCs w:val="24"/>
          <w:lang w:val="en-GB"/>
        </w:rPr>
        <w:t xml:space="preserve"> on hate crime</w:t>
      </w:r>
      <w:r w:rsidRPr="004A72B5">
        <w:rPr>
          <w:rFonts w:ascii="Times New Roman" w:hAnsi="Times New Roman" w:cs="Times New Roman"/>
          <w:noProof/>
          <w:sz w:val="24"/>
          <w:szCs w:val="24"/>
          <w:vertAlign w:val="superscript"/>
          <w:lang w:val="en-GB"/>
        </w:rPr>
        <w:footnoteReference w:id="34"/>
      </w:r>
      <w:r>
        <w:rPr>
          <w:rFonts w:ascii="Times New Roman" w:hAnsi="Times New Roman" w:cs="Times New Roman"/>
          <w:noProof/>
          <w:sz w:val="24"/>
          <w:szCs w:val="24"/>
          <w:lang w:val="en-GB"/>
        </w:rPr>
        <w:t>.</w:t>
      </w:r>
    </w:p>
    <w:p w14:paraId="3923B597" w14:textId="77777777" w:rsidR="002C0325" w:rsidRPr="004A72B5" w:rsidRDefault="002C0325" w:rsidP="002C0325">
      <w:pPr>
        <w:pStyle w:val="Headerlevel2"/>
      </w:pPr>
      <w:r>
        <w:t>Programme innovations to better respond to needs on the ground</w:t>
      </w:r>
    </w:p>
    <w:p w14:paraId="29FA2A2A" w14:textId="38506EA9" w:rsidR="002C0325" w:rsidRDefault="002C0325" w:rsidP="002C0325">
      <w:pPr>
        <w:spacing w:before="120" w:after="120" w:line="276" w:lineRule="auto"/>
        <w:jc w:val="both"/>
        <w:rPr>
          <w:rFonts w:ascii="Times New Roman" w:hAnsi="Times New Roman" w:cs="Times New Roman"/>
          <w:noProof/>
          <w:sz w:val="24"/>
          <w:szCs w:val="24"/>
          <w:lang w:val="en-GB"/>
        </w:rPr>
      </w:pPr>
      <w:r w:rsidRPr="00E36B64">
        <w:rPr>
          <w:rFonts w:ascii="Times New Roman" w:eastAsia="Calibri" w:hAnsi="Times New Roman" w:cs="Times New Roman"/>
          <w:noProof/>
          <w:sz w:val="24"/>
          <w:szCs w:val="24"/>
          <w:lang w:val="en-GB"/>
        </w:rPr>
        <w:t>N</w:t>
      </w:r>
      <w:r w:rsidRPr="00E36B64">
        <w:rPr>
          <w:rFonts w:ascii="Times New Roman" w:hAnsi="Times New Roman" w:cs="Times New Roman"/>
          <w:noProof/>
          <w:sz w:val="24"/>
          <w:szCs w:val="24"/>
          <w:lang w:val="en-GB"/>
        </w:rPr>
        <w:t>ovelties</w:t>
      </w:r>
      <w:r w:rsidR="009C4906">
        <w:rPr>
          <w:rFonts w:ascii="Times New Roman" w:hAnsi="Times New Roman" w:cs="Times New Roman"/>
          <w:noProof/>
          <w:sz w:val="24"/>
          <w:szCs w:val="24"/>
          <w:lang w:val="en-GB"/>
        </w:rPr>
        <w:t xml:space="preserve"> </w:t>
      </w:r>
      <w:r w:rsidR="00861418">
        <w:rPr>
          <w:rFonts w:ascii="Times New Roman" w:hAnsi="Times New Roman" w:cs="Times New Roman"/>
          <w:noProof/>
          <w:sz w:val="24"/>
          <w:szCs w:val="24"/>
          <w:lang w:val="en-GB"/>
        </w:rPr>
        <w:t>and simplifications</w:t>
      </w:r>
      <w:r w:rsidR="00861418" w:rsidRPr="00E36B64">
        <w:rPr>
          <w:rFonts w:ascii="Times New Roman" w:hAnsi="Times New Roman" w:cs="Times New Roman"/>
          <w:noProof/>
          <w:sz w:val="24"/>
          <w:szCs w:val="24"/>
          <w:lang w:val="en-GB"/>
        </w:rPr>
        <w:t xml:space="preserve"> </w:t>
      </w:r>
      <w:r w:rsidRPr="00E36B64">
        <w:rPr>
          <w:rFonts w:ascii="Times New Roman" w:hAnsi="Times New Roman" w:cs="Times New Roman"/>
          <w:noProof/>
          <w:sz w:val="24"/>
          <w:szCs w:val="24"/>
          <w:lang w:val="en-GB"/>
        </w:rPr>
        <w:t xml:space="preserve">have been introduced in the CERV programme to strenghten its effectiveness </w:t>
      </w:r>
      <w:r>
        <w:rPr>
          <w:rFonts w:ascii="Times New Roman" w:hAnsi="Times New Roman" w:cs="Times New Roman"/>
          <w:noProof/>
          <w:sz w:val="24"/>
          <w:szCs w:val="24"/>
          <w:lang w:val="en-GB"/>
        </w:rPr>
        <w:t>and</w:t>
      </w:r>
      <w:r w:rsidRPr="00E36B64">
        <w:rPr>
          <w:rFonts w:ascii="Times New Roman" w:hAnsi="Times New Roman" w:cs="Times New Roman"/>
          <w:noProof/>
          <w:sz w:val="24"/>
          <w:szCs w:val="24"/>
          <w:lang w:val="en-GB"/>
        </w:rPr>
        <w:t xml:space="preserve"> address</w:t>
      </w:r>
      <w:r>
        <w:rPr>
          <w:rFonts w:ascii="Times New Roman" w:hAnsi="Times New Roman" w:cs="Times New Roman"/>
          <w:noProof/>
          <w:sz w:val="24"/>
          <w:szCs w:val="24"/>
          <w:lang w:val="en-GB"/>
        </w:rPr>
        <w:t xml:space="preserve"> </w:t>
      </w:r>
      <w:r w:rsidRPr="00E36B64">
        <w:rPr>
          <w:rFonts w:ascii="Times New Roman" w:hAnsi="Times New Roman" w:cs="Times New Roman"/>
          <w:noProof/>
          <w:sz w:val="24"/>
          <w:szCs w:val="24"/>
          <w:lang w:val="en-GB"/>
        </w:rPr>
        <w:t xml:space="preserve">challenges raised by </w:t>
      </w:r>
      <w:r>
        <w:rPr>
          <w:rFonts w:ascii="Times New Roman" w:hAnsi="Times New Roman" w:cs="Times New Roman"/>
          <w:noProof/>
          <w:sz w:val="24"/>
          <w:szCs w:val="24"/>
          <w:lang w:val="en-GB"/>
        </w:rPr>
        <w:t xml:space="preserve">stakeholders, and </w:t>
      </w:r>
      <w:r w:rsidRPr="00E36B64">
        <w:rPr>
          <w:rFonts w:ascii="Times New Roman" w:hAnsi="Times New Roman" w:cs="Times New Roman"/>
          <w:noProof/>
          <w:sz w:val="24"/>
          <w:szCs w:val="24"/>
          <w:lang w:val="en-GB"/>
        </w:rPr>
        <w:t>CSOs</w:t>
      </w:r>
      <w:r>
        <w:rPr>
          <w:rFonts w:ascii="Times New Roman" w:hAnsi="Times New Roman" w:cs="Times New Roman"/>
          <w:noProof/>
          <w:sz w:val="24"/>
          <w:szCs w:val="24"/>
          <w:lang w:val="en-GB"/>
        </w:rPr>
        <w:t xml:space="preserve"> in particular</w:t>
      </w:r>
      <w:r w:rsidRPr="000B6BFA">
        <w:rPr>
          <w:rStyle w:val="FootnoteReference"/>
          <w:noProof/>
          <w:lang w:val="en-GB"/>
        </w:rPr>
        <w:footnoteReference w:id="35"/>
      </w:r>
      <w:r w:rsidRPr="00E36B64">
        <w:rPr>
          <w:rFonts w:ascii="Times New Roman" w:hAnsi="Times New Roman" w:cs="Times New Roman"/>
          <w:noProof/>
          <w:sz w:val="24"/>
          <w:szCs w:val="24"/>
          <w:lang w:val="en-GB"/>
        </w:rPr>
        <w:t xml:space="preserve">. These include </w:t>
      </w:r>
      <w:r>
        <w:rPr>
          <w:rFonts w:ascii="Times New Roman" w:hAnsi="Times New Roman" w:cs="Times New Roman"/>
          <w:noProof/>
          <w:sz w:val="24"/>
          <w:szCs w:val="24"/>
          <w:lang w:val="en-GB"/>
        </w:rPr>
        <w:t xml:space="preserve">the introduction of </w:t>
      </w:r>
      <w:r w:rsidRPr="00E36B64">
        <w:rPr>
          <w:rFonts w:ascii="Times New Roman" w:hAnsi="Times New Roman" w:cs="Times New Roman"/>
          <w:noProof/>
          <w:sz w:val="24"/>
          <w:szCs w:val="24"/>
          <w:lang w:val="en-GB"/>
        </w:rPr>
        <w:t>financial support to third parties, the development of multiannual work programmes</w:t>
      </w:r>
      <w:r w:rsidRPr="007418A6">
        <w:rPr>
          <w:rFonts w:ascii="Times New Roman" w:hAnsi="Times New Roman" w:cs="Times New Roman"/>
          <w:noProof/>
          <w:sz w:val="24"/>
          <w:szCs w:val="24"/>
          <w:lang w:val="en-GB"/>
        </w:rPr>
        <w:t>, lump sum</w:t>
      </w:r>
      <w:r>
        <w:rPr>
          <w:rFonts w:ascii="Times New Roman" w:hAnsi="Times New Roman" w:cs="Times New Roman"/>
          <w:noProof/>
          <w:sz w:val="24"/>
          <w:szCs w:val="24"/>
          <w:lang w:val="en-GB"/>
        </w:rPr>
        <w:t xml:space="preserve"> payments</w:t>
      </w:r>
      <w:r w:rsidRPr="007418A6">
        <w:rPr>
          <w:rFonts w:ascii="Times New Roman" w:hAnsi="Times New Roman" w:cs="Times New Roman"/>
          <w:noProof/>
          <w:sz w:val="24"/>
          <w:szCs w:val="24"/>
          <w:lang w:val="en-GB"/>
        </w:rPr>
        <w:t>, as well as the establishment of a network of National CERV Contact Points</w:t>
      </w:r>
      <w:r>
        <w:rPr>
          <w:rFonts w:ascii="Times New Roman" w:hAnsi="Times New Roman" w:cs="Times New Roman"/>
          <w:noProof/>
          <w:sz w:val="24"/>
          <w:szCs w:val="24"/>
          <w:lang w:val="en-GB"/>
        </w:rPr>
        <w:t xml:space="preserve"> . </w:t>
      </w:r>
    </w:p>
    <w:p w14:paraId="7D304B98" w14:textId="30A62619" w:rsidR="002C0325" w:rsidRPr="007418A6" w:rsidRDefault="002C0325" w:rsidP="002C0325">
      <w:pPr>
        <w:spacing w:before="120" w:after="120"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new </w:t>
      </w:r>
      <w:r w:rsidRPr="00800B4B">
        <w:rPr>
          <w:rFonts w:ascii="Times New Roman" w:hAnsi="Times New Roman" w:cs="Times New Roman"/>
          <w:b/>
          <w:bCs/>
          <w:noProof/>
          <w:sz w:val="24"/>
          <w:szCs w:val="24"/>
          <w:lang w:val="en-GB"/>
        </w:rPr>
        <w:t>Union Values strand</w:t>
      </w:r>
      <w:r>
        <w:rPr>
          <w:rFonts w:ascii="Times New Roman" w:hAnsi="Times New Roman" w:cs="Times New Roman"/>
          <w:noProof/>
          <w:sz w:val="24"/>
          <w:szCs w:val="24"/>
          <w:lang w:val="en-GB"/>
        </w:rPr>
        <w:t xml:space="preserve">, with its budget of EUR 668 million, has reinforced the role of the CERV as the EU’s programme to fund CSOs, including those at grassroots level. During its first year of implementation, projects funded from the Union values call supported more than 800 grassroot CSOs. </w:t>
      </w:r>
    </w:p>
    <w:p w14:paraId="40D10B37" w14:textId="77777777" w:rsidR="002C0325" w:rsidRPr="00D103A7" w:rsidRDefault="002C0325" w:rsidP="002C0325">
      <w:pPr>
        <w:spacing w:before="120" w:after="120" w:line="276" w:lineRule="auto"/>
        <w:jc w:val="both"/>
        <w:rPr>
          <w:rFonts w:ascii="Times New Roman" w:hAnsi="Times New Roman" w:cs="Times New Roman"/>
          <w:noProof/>
          <w:sz w:val="24"/>
          <w:szCs w:val="24"/>
          <w:lang w:val="en-GB"/>
        </w:rPr>
      </w:pPr>
      <w:r w:rsidRPr="007418A6">
        <w:rPr>
          <w:rFonts w:ascii="Times New Roman" w:hAnsi="Times New Roman" w:cs="Times New Roman"/>
          <w:noProof/>
          <w:sz w:val="24"/>
          <w:szCs w:val="24"/>
          <w:lang w:val="en-GB"/>
        </w:rPr>
        <w:t xml:space="preserve">The </w:t>
      </w:r>
      <w:r w:rsidRPr="007418A6">
        <w:rPr>
          <w:rFonts w:ascii="Times New Roman" w:hAnsi="Times New Roman" w:cs="Times New Roman"/>
          <w:b/>
          <w:bCs/>
          <w:noProof/>
          <w:sz w:val="24"/>
          <w:szCs w:val="24"/>
          <w:lang w:val="en-GB"/>
        </w:rPr>
        <w:t>financial support to third parties</w:t>
      </w:r>
      <w:r w:rsidRPr="000B6BFA">
        <w:rPr>
          <w:rFonts w:ascii="Times New Roman" w:hAnsi="Times New Roman" w:cs="Times New Roman"/>
          <w:b/>
          <w:bCs/>
          <w:noProof/>
          <w:sz w:val="24"/>
          <w:szCs w:val="24"/>
          <w:lang w:val="en-GB"/>
        </w:rPr>
        <w:t xml:space="preserve"> scheme</w:t>
      </w:r>
      <w:r w:rsidRPr="007418A6">
        <w:rPr>
          <w:rFonts w:ascii="Times New Roman" w:hAnsi="Times New Roman" w:cs="Times New Roman"/>
          <w:noProof/>
          <w:sz w:val="24"/>
          <w:szCs w:val="24"/>
          <w:lang w:val="en-GB"/>
        </w:rPr>
        <w:t xml:space="preserve"> allows EU funds to be disbursed</w:t>
      </w:r>
      <w:r>
        <w:rPr>
          <w:rFonts w:ascii="Times New Roman" w:hAnsi="Times New Roman" w:cs="Times New Roman"/>
          <w:noProof/>
          <w:sz w:val="24"/>
          <w:szCs w:val="24"/>
          <w:lang w:val="en-GB"/>
        </w:rPr>
        <w:t xml:space="preserve"> </w:t>
      </w:r>
      <w:r w:rsidRPr="007418A6">
        <w:rPr>
          <w:rFonts w:ascii="Times New Roman" w:hAnsi="Times New Roman" w:cs="Times New Roman"/>
          <w:noProof/>
          <w:sz w:val="24"/>
          <w:szCs w:val="24"/>
          <w:lang w:val="en-GB"/>
        </w:rPr>
        <w:t>to</w:t>
      </w:r>
      <w:r>
        <w:rPr>
          <w:rFonts w:ascii="Times New Roman" w:hAnsi="Times New Roman" w:cs="Times New Roman"/>
          <w:noProof/>
          <w:sz w:val="24"/>
          <w:szCs w:val="24"/>
          <w:lang w:val="en-GB"/>
        </w:rPr>
        <w:t xml:space="preserve"> strengthen the capacities of</w:t>
      </w:r>
      <w:r w:rsidRPr="007418A6">
        <w:rPr>
          <w:rFonts w:ascii="Times New Roman" w:hAnsi="Times New Roman" w:cs="Times New Roman"/>
          <w:noProof/>
          <w:sz w:val="24"/>
          <w:szCs w:val="24"/>
          <w:lang w:val="en-GB"/>
        </w:rPr>
        <w:t xml:space="preserve"> grassroot </w:t>
      </w:r>
      <w:r>
        <w:rPr>
          <w:rFonts w:ascii="Times New Roman" w:hAnsi="Times New Roman" w:cs="Times New Roman"/>
          <w:noProof/>
          <w:sz w:val="24"/>
          <w:szCs w:val="24"/>
          <w:lang w:val="en-GB"/>
        </w:rPr>
        <w:t>CSOs</w:t>
      </w:r>
      <w:r w:rsidRPr="007418A6">
        <w:rPr>
          <w:rFonts w:ascii="Times New Roman" w:hAnsi="Times New Roman" w:cs="Times New Roman"/>
          <w:noProof/>
          <w:sz w:val="24"/>
          <w:szCs w:val="24"/>
          <w:lang w:val="en-GB"/>
        </w:rPr>
        <w:t xml:space="preserve"> </w:t>
      </w:r>
      <w:r>
        <w:rPr>
          <w:rFonts w:ascii="Times New Roman" w:hAnsi="Times New Roman" w:cs="Times New Roman"/>
          <w:noProof/>
          <w:sz w:val="24"/>
          <w:szCs w:val="24"/>
          <w:lang w:val="en-GB"/>
        </w:rPr>
        <w:t xml:space="preserve">by re-granting </w:t>
      </w:r>
      <w:r w:rsidRPr="007418A6">
        <w:rPr>
          <w:rFonts w:ascii="Times New Roman" w:hAnsi="Times New Roman" w:cs="Times New Roman"/>
          <w:noProof/>
          <w:sz w:val="24"/>
          <w:szCs w:val="24"/>
          <w:lang w:val="en-GB"/>
        </w:rPr>
        <w:t xml:space="preserve">through </w:t>
      </w:r>
      <w:r>
        <w:rPr>
          <w:rFonts w:ascii="Times New Roman" w:hAnsi="Times New Roman" w:cs="Times New Roman"/>
          <w:noProof/>
          <w:sz w:val="24"/>
          <w:szCs w:val="24"/>
          <w:lang w:val="en-GB"/>
        </w:rPr>
        <w:t xml:space="preserve">intermediaries, such as large CSOs, EU-wide umbrella organisations and other European networks. </w:t>
      </w:r>
      <w:r w:rsidRPr="007418A6">
        <w:rPr>
          <w:rFonts w:ascii="Times New Roman" w:hAnsi="Times New Roman" w:cs="Times New Roman"/>
          <w:noProof/>
          <w:sz w:val="24"/>
          <w:szCs w:val="24"/>
          <w:lang w:val="en-GB"/>
        </w:rPr>
        <w:t>Th</w:t>
      </w:r>
      <w:r>
        <w:rPr>
          <w:rFonts w:ascii="Times New Roman" w:hAnsi="Times New Roman" w:cs="Times New Roman"/>
          <w:noProof/>
          <w:sz w:val="24"/>
          <w:szCs w:val="24"/>
          <w:lang w:val="en-GB"/>
        </w:rPr>
        <w:t>e</w:t>
      </w:r>
      <w:r w:rsidRPr="007418A6">
        <w:rPr>
          <w:rFonts w:ascii="Times New Roman" w:hAnsi="Times New Roman" w:cs="Times New Roman"/>
          <w:noProof/>
          <w:sz w:val="24"/>
          <w:szCs w:val="24"/>
          <w:lang w:val="en-GB"/>
        </w:rPr>
        <w:t xml:space="preserve"> scheme </w:t>
      </w:r>
      <w:r>
        <w:rPr>
          <w:rFonts w:ascii="Times New Roman" w:hAnsi="Times New Roman" w:cs="Times New Roman"/>
          <w:noProof/>
          <w:sz w:val="24"/>
          <w:szCs w:val="24"/>
          <w:lang w:val="en-GB"/>
        </w:rPr>
        <w:t xml:space="preserve">therefore facilitates for </w:t>
      </w:r>
      <w:r w:rsidRPr="007418A6">
        <w:rPr>
          <w:rFonts w:ascii="Times New Roman" w:hAnsi="Times New Roman" w:cs="Times New Roman"/>
          <w:noProof/>
          <w:sz w:val="24"/>
          <w:szCs w:val="24"/>
          <w:lang w:val="en-GB"/>
        </w:rPr>
        <w:t>smaller organisations with limited experience and capacities to access EU fundin</w:t>
      </w:r>
      <w:r>
        <w:rPr>
          <w:rFonts w:ascii="Times New Roman" w:hAnsi="Times New Roman" w:cs="Times New Roman"/>
          <w:noProof/>
          <w:sz w:val="24"/>
          <w:szCs w:val="24"/>
          <w:lang w:val="en-GB"/>
        </w:rPr>
        <w:t>g. The scheme has thus far been instrumental in supporting organisations working to protect and promote Union values, including those combating violence</w:t>
      </w:r>
      <w:r>
        <w:rPr>
          <w:rStyle w:val="FootnoteReference"/>
          <w:noProof/>
          <w:lang w:val="en-GB"/>
        </w:rPr>
        <w:footnoteReference w:id="36"/>
      </w:r>
      <w:r>
        <w:rPr>
          <w:rFonts w:ascii="Times New Roman" w:hAnsi="Times New Roman" w:cs="Times New Roman"/>
          <w:noProof/>
          <w:sz w:val="24"/>
          <w:szCs w:val="24"/>
          <w:lang w:val="en-GB"/>
        </w:rPr>
        <w:t>. The most recent call for proposals under the Union Values strand</w:t>
      </w:r>
      <w:r>
        <w:rPr>
          <w:rStyle w:val="FootnoteReference"/>
          <w:noProof/>
          <w:lang w:val="en-GB"/>
        </w:rPr>
        <w:footnoteReference w:id="37"/>
      </w:r>
      <w:r>
        <w:rPr>
          <w:rFonts w:ascii="Times New Roman" w:hAnsi="Times New Roman" w:cs="Times New Roman"/>
          <w:noProof/>
          <w:sz w:val="24"/>
          <w:szCs w:val="24"/>
          <w:lang w:val="en-GB"/>
        </w:rPr>
        <w:t xml:space="preserve"> aims to</w:t>
      </w:r>
      <w:r w:rsidRPr="004A72B5">
        <w:rPr>
          <w:rFonts w:ascii="Times New Roman" w:hAnsi="Times New Roman" w:cs="Times New Roman"/>
          <w:noProof/>
          <w:sz w:val="24"/>
          <w:szCs w:val="24"/>
          <w:lang w:val="en-GB"/>
        </w:rPr>
        <w:t xml:space="preserve"> contribut</w:t>
      </w:r>
      <w:r>
        <w:rPr>
          <w:rFonts w:ascii="Times New Roman" w:hAnsi="Times New Roman" w:cs="Times New Roman"/>
          <w:noProof/>
          <w:sz w:val="24"/>
          <w:szCs w:val="24"/>
          <w:lang w:val="en-GB"/>
        </w:rPr>
        <w:t>e</w:t>
      </w:r>
      <w:r w:rsidRPr="004A72B5">
        <w:rPr>
          <w:rFonts w:ascii="Times New Roman" w:hAnsi="Times New Roman" w:cs="Times New Roman"/>
          <w:noProof/>
          <w:sz w:val="24"/>
          <w:szCs w:val="24"/>
          <w:lang w:val="en-GB"/>
        </w:rPr>
        <w:t xml:space="preserve"> to secur</w:t>
      </w:r>
      <w:r>
        <w:rPr>
          <w:rFonts w:ascii="Times New Roman" w:hAnsi="Times New Roman" w:cs="Times New Roman"/>
          <w:noProof/>
          <w:sz w:val="24"/>
          <w:szCs w:val="24"/>
          <w:lang w:val="en-GB"/>
        </w:rPr>
        <w:t>ing</w:t>
      </w:r>
      <w:r w:rsidRPr="004A72B5">
        <w:rPr>
          <w:rFonts w:ascii="Times New Roman" w:hAnsi="Times New Roman" w:cs="Times New Roman"/>
          <w:noProof/>
          <w:sz w:val="24"/>
          <w:szCs w:val="24"/>
          <w:lang w:val="en-GB"/>
        </w:rPr>
        <w:t xml:space="preserve"> adequate funding </w:t>
      </w:r>
      <w:r>
        <w:rPr>
          <w:rFonts w:ascii="Times New Roman" w:hAnsi="Times New Roman" w:cs="Times New Roman"/>
          <w:noProof/>
          <w:sz w:val="24"/>
          <w:szCs w:val="24"/>
          <w:lang w:val="en-GB"/>
        </w:rPr>
        <w:t>and</w:t>
      </w:r>
      <w:r w:rsidRPr="004A72B5">
        <w:rPr>
          <w:rFonts w:ascii="Times New Roman" w:hAnsi="Times New Roman" w:cs="Times New Roman"/>
          <w:noProof/>
          <w:sz w:val="24"/>
          <w:szCs w:val="24"/>
          <w:lang w:val="en-GB"/>
        </w:rPr>
        <w:t xml:space="preserve"> empower</w:t>
      </w:r>
      <w:r>
        <w:rPr>
          <w:rFonts w:ascii="Times New Roman" w:hAnsi="Times New Roman" w:cs="Times New Roman"/>
          <w:noProof/>
          <w:sz w:val="24"/>
          <w:szCs w:val="24"/>
          <w:lang w:val="en-GB"/>
        </w:rPr>
        <w:t>ing</w:t>
      </w:r>
      <w:r w:rsidRPr="004A72B5">
        <w:rPr>
          <w:rFonts w:ascii="Times New Roman" w:hAnsi="Times New Roman" w:cs="Times New Roman"/>
          <w:noProof/>
          <w:sz w:val="24"/>
          <w:szCs w:val="24"/>
          <w:lang w:val="en-GB"/>
        </w:rPr>
        <w:t xml:space="preserve"> </w:t>
      </w:r>
      <w:r>
        <w:rPr>
          <w:rFonts w:ascii="Times New Roman" w:hAnsi="Times New Roman" w:cs="Times New Roman"/>
          <w:noProof/>
          <w:sz w:val="24"/>
          <w:szCs w:val="24"/>
          <w:lang w:val="en-GB"/>
        </w:rPr>
        <w:t>CSOs</w:t>
      </w:r>
      <w:r w:rsidRPr="004A72B5">
        <w:rPr>
          <w:rFonts w:ascii="Times New Roman" w:hAnsi="Times New Roman" w:cs="Times New Roman"/>
          <w:noProof/>
          <w:sz w:val="24"/>
          <w:szCs w:val="24"/>
          <w:lang w:val="en-GB"/>
        </w:rPr>
        <w:t xml:space="preserve"> to </w:t>
      </w:r>
      <w:r>
        <w:rPr>
          <w:rFonts w:ascii="Times New Roman" w:hAnsi="Times New Roman" w:cs="Times New Roman"/>
          <w:noProof/>
          <w:sz w:val="24"/>
          <w:szCs w:val="24"/>
          <w:lang w:val="en-GB"/>
        </w:rPr>
        <w:t>strenghten their capacity and</w:t>
      </w:r>
      <w:r w:rsidRPr="004A72B5">
        <w:rPr>
          <w:rFonts w:ascii="Times New Roman" w:hAnsi="Times New Roman" w:cs="Times New Roman"/>
          <w:noProof/>
          <w:sz w:val="24"/>
          <w:szCs w:val="24"/>
          <w:lang w:val="en-GB"/>
        </w:rPr>
        <w:t xml:space="preserve"> their resilience,</w:t>
      </w:r>
      <w:r>
        <w:rPr>
          <w:rFonts w:ascii="Times New Roman" w:hAnsi="Times New Roman" w:cs="Times New Roman"/>
          <w:noProof/>
          <w:sz w:val="24"/>
          <w:szCs w:val="24"/>
          <w:lang w:val="en-GB"/>
        </w:rPr>
        <w:t xml:space="preserve"> including by </w:t>
      </w:r>
      <w:r w:rsidRPr="004A72B5">
        <w:rPr>
          <w:rFonts w:ascii="Times New Roman" w:hAnsi="Times New Roman" w:cs="Times New Roman"/>
          <w:noProof/>
          <w:sz w:val="24"/>
          <w:szCs w:val="24"/>
          <w:lang w:val="en-GB"/>
        </w:rPr>
        <w:t>monitor</w:t>
      </w:r>
      <w:r>
        <w:rPr>
          <w:rFonts w:ascii="Times New Roman" w:hAnsi="Times New Roman" w:cs="Times New Roman"/>
          <w:noProof/>
          <w:sz w:val="24"/>
          <w:szCs w:val="24"/>
          <w:lang w:val="en-GB"/>
        </w:rPr>
        <w:t>ing</w:t>
      </w:r>
      <w:r w:rsidRPr="004A72B5">
        <w:rPr>
          <w:rFonts w:ascii="Times New Roman" w:hAnsi="Times New Roman" w:cs="Times New Roman"/>
          <w:noProof/>
          <w:sz w:val="24"/>
          <w:szCs w:val="24"/>
          <w:lang w:val="en-GB"/>
        </w:rPr>
        <w:t xml:space="preserve"> and react</w:t>
      </w:r>
      <w:r>
        <w:rPr>
          <w:rFonts w:ascii="Times New Roman" w:hAnsi="Times New Roman" w:cs="Times New Roman"/>
          <w:noProof/>
          <w:sz w:val="24"/>
          <w:szCs w:val="24"/>
          <w:lang w:val="en-GB"/>
        </w:rPr>
        <w:t>ing</w:t>
      </w:r>
      <w:r w:rsidRPr="004A72B5">
        <w:rPr>
          <w:rFonts w:ascii="Times New Roman" w:hAnsi="Times New Roman" w:cs="Times New Roman"/>
          <w:noProof/>
          <w:sz w:val="24"/>
          <w:szCs w:val="24"/>
          <w:lang w:val="en-GB"/>
        </w:rPr>
        <w:t xml:space="preserve"> to threats and attacks.</w:t>
      </w:r>
    </w:p>
    <w:p w14:paraId="2EA826B5" w14:textId="77777777" w:rsidR="002C0325" w:rsidRDefault="002C0325" w:rsidP="002C0325">
      <w:pPr>
        <w:spacing w:before="120" w:after="120" w:line="276" w:lineRule="auto"/>
        <w:jc w:val="both"/>
        <w:rPr>
          <w:rFonts w:ascii="Times New Roman" w:hAnsi="Times New Roman" w:cs="Times New Roman"/>
          <w:noProof/>
          <w:sz w:val="24"/>
          <w:szCs w:val="24"/>
          <w:lang w:val="en-GB"/>
        </w:rPr>
      </w:pPr>
      <w:r>
        <w:rPr>
          <w:rFonts w:ascii="Times New Roman" w:hAnsi="Times New Roman" w:cs="Times New Roman"/>
          <w:noProof/>
          <w:sz w:val="24"/>
          <w:lang w:val="en-GB"/>
        </w:rPr>
        <w:t xml:space="preserve">In addition to the re-granting scheme, the CERV programme focuses on increased accessibility and simplification through the use of </w:t>
      </w:r>
      <w:r w:rsidRPr="003B09DE">
        <w:rPr>
          <w:rFonts w:ascii="Times New Roman" w:hAnsi="Times New Roman" w:cs="Times New Roman"/>
          <w:b/>
          <w:bCs/>
          <w:noProof/>
          <w:sz w:val="24"/>
          <w:lang w:val="en-GB"/>
        </w:rPr>
        <w:t>multiannual work programmes</w:t>
      </w:r>
      <w:r>
        <w:rPr>
          <w:rFonts w:ascii="Times New Roman" w:hAnsi="Times New Roman" w:cs="Times New Roman"/>
          <w:noProof/>
          <w:sz w:val="24"/>
          <w:lang w:val="en-GB"/>
        </w:rPr>
        <w:t xml:space="preserve">, which enable potential beneficiaries to develop a longer-term perspective on the upcoming funding possibilities </w:t>
      </w:r>
      <w:r w:rsidRPr="004A72B5">
        <w:rPr>
          <w:rFonts w:ascii="Times New Roman" w:hAnsi="Times New Roman" w:cs="Times New Roman"/>
          <w:noProof/>
          <w:sz w:val="24"/>
          <w:szCs w:val="24"/>
          <w:lang w:val="en-GB"/>
        </w:rPr>
        <w:t xml:space="preserve">while </w:t>
      </w:r>
      <w:r>
        <w:rPr>
          <w:rFonts w:ascii="Times New Roman" w:hAnsi="Times New Roman" w:cs="Times New Roman"/>
          <w:noProof/>
          <w:sz w:val="24"/>
          <w:szCs w:val="24"/>
          <w:lang w:val="en-GB"/>
        </w:rPr>
        <w:t>maintaining</w:t>
      </w:r>
      <w:r w:rsidRPr="004A72B5">
        <w:rPr>
          <w:rFonts w:ascii="Times New Roman" w:hAnsi="Times New Roman" w:cs="Times New Roman"/>
          <w:noProof/>
          <w:sz w:val="24"/>
          <w:szCs w:val="24"/>
          <w:lang w:val="en-GB"/>
        </w:rPr>
        <w:t xml:space="preserve"> flexibility</w:t>
      </w:r>
      <w:r>
        <w:rPr>
          <w:rFonts w:ascii="Times New Roman" w:hAnsi="Times New Roman" w:cs="Times New Roman"/>
          <w:noProof/>
          <w:sz w:val="24"/>
          <w:szCs w:val="24"/>
          <w:lang w:val="en-GB"/>
        </w:rPr>
        <w:t xml:space="preserve">. </w:t>
      </w:r>
      <w:r w:rsidRPr="00803271">
        <w:rPr>
          <w:rFonts w:ascii="Times New Roman" w:hAnsi="Times New Roman" w:cs="Times New Roman"/>
          <w:noProof/>
          <w:sz w:val="24"/>
          <w:szCs w:val="24"/>
          <w:lang w:val="en-GB"/>
        </w:rPr>
        <w:t>In addition, specific calls aimed at supporting CSOs allow for longer than average project duration.</w:t>
      </w:r>
      <w:r>
        <w:rPr>
          <w:rFonts w:ascii="Times New Roman" w:hAnsi="Times New Roman" w:cs="Times New Roman"/>
          <w:noProof/>
          <w:sz w:val="24"/>
          <w:szCs w:val="24"/>
          <w:lang w:val="en-GB"/>
        </w:rPr>
        <w:t xml:space="preserve"> Along the same line, </w:t>
      </w:r>
      <w:r w:rsidRPr="004A72B5">
        <w:rPr>
          <w:rFonts w:ascii="Times New Roman" w:hAnsi="Times New Roman" w:cs="Times New Roman"/>
          <w:noProof/>
          <w:sz w:val="24"/>
          <w:szCs w:val="24"/>
          <w:lang w:val="en-GB"/>
        </w:rPr>
        <w:t xml:space="preserve">the introduction of </w:t>
      </w:r>
      <w:r w:rsidRPr="004A72B5">
        <w:rPr>
          <w:rFonts w:ascii="Times New Roman" w:hAnsi="Times New Roman" w:cs="Times New Roman"/>
          <w:b/>
          <w:bCs/>
          <w:noProof/>
          <w:sz w:val="24"/>
          <w:szCs w:val="24"/>
          <w:lang w:val="en-GB"/>
        </w:rPr>
        <w:t>lump sums</w:t>
      </w:r>
      <w:r w:rsidRPr="004A72B5">
        <w:rPr>
          <w:rFonts w:ascii="Times New Roman" w:hAnsi="Times New Roman" w:cs="Times New Roman"/>
          <w:noProof/>
          <w:sz w:val="24"/>
          <w:szCs w:val="24"/>
          <w:lang w:val="en-GB"/>
        </w:rPr>
        <w:t xml:space="preserve"> for the majority of the CERV calls</w:t>
      </w:r>
      <w:r>
        <w:rPr>
          <w:rFonts w:ascii="Times New Roman" w:hAnsi="Times New Roman" w:cs="Times New Roman"/>
          <w:noProof/>
          <w:sz w:val="24"/>
          <w:szCs w:val="24"/>
          <w:lang w:val="en-GB"/>
        </w:rPr>
        <w:t xml:space="preserve"> enables </w:t>
      </w:r>
      <w:r w:rsidRPr="004A72B5">
        <w:rPr>
          <w:rFonts w:ascii="Times New Roman" w:hAnsi="Times New Roman" w:cs="Times New Roman"/>
          <w:noProof/>
          <w:sz w:val="24"/>
          <w:szCs w:val="24"/>
          <w:lang w:val="en-GB"/>
        </w:rPr>
        <w:t xml:space="preserve">payments </w:t>
      </w:r>
      <w:r>
        <w:rPr>
          <w:rFonts w:ascii="Times New Roman" w:hAnsi="Times New Roman" w:cs="Times New Roman"/>
          <w:noProof/>
          <w:sz w:val="24"/>
          <w:szCs w:val="24"/>
          <w:lang w:val="en-GB"/>
        </w:rPr>
        <w:t>to be</w:t>
      </w:r>
      <w:r w:rsidRPr="004A72B5">
        <w:rPr>
          <w:rFonts w:ascii="Times New Roman" w:hAnsi="Times New Roman" w:cs="Times New Roman"/>
          <w:noProof/>
          <w:sz w:val="24"/>
          <w:szCs w:val="24"/>
          <w:lang w:val="en-GB"/>
        </w:rPr>
        <w:t xml:space="preserve"> made according to pre-agreed </w:t>
      </w:r>
      <w:r>
        <w:rPr>
          <w:rFonts w:ascii="Times New Roman" w:hAnsi="Times New Roman" w:cs="Times New Roman"/>
          <w:noProof/>
          <w:sz w:val="24"/>
          <w:szCs w:val="24"/>
          <w:lang w:val="en-GB"/>
        </w:rPr>
        <w:t>performance</w:t>
      </w:r>
      <w:r w:rsidRPr="004A72B5">
        <w:rPr>
          <w:rFonts w:ascii="Times New Roman" w:hAnsi="Times New Roman" w:cs="Times New Roman"/>
          <w:noProof/>
          <w:sz w:val="24"/>
          <w:szCs w:val="24"/>
          <w:lang w:val="en-GB"/>
        </w:rPr>
        <w:t xml:space="preserve">. </w:t>
      </w:r>
    </w:p>
    <w:p w14:paraId="03E1AC8C" w14:textId="77777777" w:rsidR="002C0325" w:rsidRDefault="002C0325" w:rsidP="002C0325">
      <w:pPr>
        <w:spacing w:before="120" w:after="120" w:line="276" w:lineRule="auto"/>
        <w:jc w:val="both"/>
        <w:rPr>
          <w:rFonts w:ascii="Times New Roman" w:hAnsi="Times New Roman" w:cs="Times New Roman"/>
          <w:noProof/>
          <w:sz w:val="24"/>
          <w:szCs w:val="24"/>
          <w:lang w:val="en-GB"/>
        </w:rPr>
      </w:pPr>
      <w:r w:rsidRPr="00803271">
        <w:rPr>
          <w:rFonts w:ascii="Times New Roman" w:hAnsi="Times New Roman" w:cs="Times New Roman"/>
          <w:noProof/>
          <w:sz w:val="24"/>
          <w:szCs w:val="24"/>
          <w:lang w:val="en-GB"/>
        </w:rPr>
        <w:t>The CERV programme continues to award</w:t>
      </w:r>
      <w:r>
        <w:rPr>
          <w:rFonts w:ascii="Times New Roman" w:hAnsi="Times New Roman" w:cs="Times New Roman"/>
          <w:noProof/>
          <w:sz w:val="24"/>
          <w:szCs w:val="24"/>
          <w:lang w:val="en-GB"/>
        </w:rPr>
        <w:t xml:space="preserve"> also the traditional </w:t>
      </w:r>
      <w:r w:rsidRPr="000B6BFA">
        <w:rPr>
          <w:rFonts w:ascii="Times New Roman" w:hAnsi="Times New Roman" w:cs="Times New Roman"/>
          <w:b/>
          <w:bCs/>
          <w:noProof/>
          <w:sz w:val="24"/>
          <w:szCs w:val="24"/>
          <w:lang w:val="en-GB"/>
        </w:rPr>
        <w:t>action grants</w:t>
      </w:r>
      <w:r>
        <w:rPr>
          <w:rFonts w:ascii="Times New Roman" w:hAnsi="Times New Roman" w:cs="Times New Roman"/>
          <w:noProof/>
          <w:sz w:val="24"/>
          <w:szCs w:val="24"/>
          <w:lang w:val="en-GB"/>
        </w:rPr>
        <w:t>, in particular to CSOs, as well as</w:t>
      </w:r>
      <w:r w:rsidRPr="00803271">
        <w:rPr>
          <w:rFonts w:ascii="Times New Roman" w:hAnsi="Times New Roman" w:cs="Times New Roman"/>
          <w:noProof/>
          <w:sz w:val="24"/>
          <w:szCs w:val="24"/>
          <w:lang w:val="en-GB"/>
        </w:rPr>
        <w:t xml:space="preserve"> </w:t>
      </w:r>
      <w:r w:rsidRPr="00803271">
        <w:rPr>
          <w:rFonts w:ascii="Times New Roman" w:hAnsi="Times New Roman" w:cs="Times New Roman"/>
          <w:b/>
          <w:bCs/>
          <w:noProof/>
          <w:sz w:val="24"/>
          <w:szCs w:val="24"/>
          <w:lang w:val="en-GB"/>
        </w:rPr>
        <w:t>operating grants</w:t>
      </w:r>
      <w:r w:rsidRPr="00803271">
        <w:rPr>
          <w:rFonts w:ascii="Times New Roman" w:hAnsi="Times New Roman" w:cs="Times New Roman"/>
          <w:noProof/>
          <w:sz w:val="24"/>
          <w:szCs w:val="24"/>
          <w:lang w:val="en-GB"/>
        </w:rPr>
        <w:t xml:space="preserve"> to so-called CERV Framework Partners</w:t>
      </w:r>
      <w:r>
        <w:rPr>
          <w:rFonts w:ascii="Times New Roman" w:hAnsi="Times New Roman" w:cs="Times New Roman"/>
          <w:noProof/>
          <w:sz w:val="24"/>
          <w:szCs w:val="24"/>
          <w:lang w:val="en-GB"/>
        </w:rPr>
        <w:t>, which are</w:t>
      </w:r>
      <w:r w:rsidRPr="00803271">
        <w:rPr>
          <w:rFonts w:ascii="Times New Roman" w:hAnsi="Times New Roman" w:cs="Times New Roman"/>
          <w:noProof/>
          <w:sz w:val="24"/>
          <w:szCs w:val="24"/>
          <w:lang w:val="en-GB"/>
        </w:rPr>
        <w:t xml:space="preserve"> 73 European networks, </w:t>
      </w:r>
      <w:r>
        <w:rPr>
          <w:rFonts w:ascii="Times New Roman" w:hAnsi="Times New Roman" w:cs="Times New Roman"/>
          <w:noProof/>
          <w:sz w:val="24"/>
          <w:szCs w:val="24"/>
          <w:lang w:val="en-GB"/>
        </w:rPr>
        <w:t>CSOs</w:t>
      </w:r>
      <w:r w:rsidRPr="00803271">
        <w:rPr>
          <w:rFonts w:ascii="Times New Roman" w:hAnsi="Times New Roman" w:cs="Times New Roman"/>
          <w:noProof/>
          <w:sz w:val="24"/>
          <w:szCs w:val="24"/>
          <w:lang w:val="en-GB"/>
        </w:rPr>
        <w:t xml:space="preserve"> and European think tanks active at EU level in the areas of Union values. </w:t>
      </w:r>
      <w:r w:rsidRPr="007114FD">
        <w:rPr>
          <w:rFonts w:ascii="Times New Roman" w:hAnsi="Times New Roman" w:cs="Times New Roman"/>
          <w:noProof/>
          <w:sz w:val="24"/>
          <w:szCs w:val="24"/>
          <w:lang w:val="en-GB"/>
        </w:rPr>
        <w:t>Moreover, operating grants are awarded to 10 EU level Networks active in the area of rights of persons with disabilities.</w:t>
      </w:r>
    </w:p>
    <w:p w14:paraId="03A53295" w14:textId="77777777" w:rsidR="002C0325" w:rsidRDefault="002C0325" w:rsidP="002C0325">
      <w:pPr>
        <w:spacing w:before="120" w:after="120" w:line="276" w:lineRule="auto"/>
        <w:jc w:val="both"/>
        <w:rPr>
          <w:rFonts w:ascii="Times New Roman" w:hAnsi="Times New Roman" w:cs="Times New Roman"/>
          <w:noProof/>
          <w:sz w:val="24"/>
          <w:szCs w:val="24"/>
          <w:lang w:val="en-GB"/>
        </w:rPr>
      </w:pPr>
      <w:r>
        <w:rPr>
          <w:rFonts w:ascii="Times New Roman" w:hAnsi="Times New Roman" w:cs="Times New Roman"/>
          <w:noProof/>
          <w:sz w:val="24"/>
          <w:lang w:val="en-GB"/>
        </w:rPr>
        <w:t xml:space="preserve">The programme also relies on a network of </w:t>
      </w:r>
      <w:r w:rsidRPr="004A72B5">
        <w:rPr>
          <w:rFonts w:ascii="Times New Roman" w:hAnsi="Times New Roman" w:cs="Times New Roman"/>
          <w:noProof/>
          <w:sz w:val="24"/>
          <w:lang w:val="en-GB"/>
        </w:rPr>
        <w:t xml:space="preserve">Member State-designated </w:t>
      </w:r>
      <w:r w:rsidRPr="004A72B5">
        <w:rPr>
          <w:rFonts w:ascii="Times New Roman" w:hAnsi="Times New Roman" w:cs="Times New Roman"/>
          <w:b/>
          <w:bCs/>
          <w:noProof/>
          <w:sz w:val="24"/>
          <w:lang w:val="en-GB"/>
        </w:rPr>
        <w:t>National Contact Points</w:t>
      </w:r>
      <w:r>
        <w:rPr>
          <w:rFonts w:ascii="Times New Roman" w:hAnsi="Times New Roman" w:cs="Times New Roman"/>
          <w:b/>
          <w:bCs/>
          <w:noProof/>
          <w:sz w:val="24"/>
          <w:lang w:val="en-GB"/>
        </w:rPr>
        <w:t xml:space="preserve"> in 21 Member States</w:t>
      </w:r>
      <w:r w:rsidRPr="00E0176E">
        <w:rPr>
          <w:rFonts w:ascii="Times New Roman" w:hAnsi="Times New Roman" w:cs="Times New Roman"/>
          <w:noProof/>
          <w:sz w:val="24"/>
          <w:vertAlign w:val="superscript"/>
          <w:lang w:val="en-GB"/>
        </w:rPr>
        <w:footnoteReference w:id="38"/>
      </w:r>
      <w:r w:rsidRPr="00800B4B">
        <w:rPr>
          <w:rFonts w:ascii="Times New Roman" w:hAnsi="Times New Roman" w:cs="Times New Roman"/>
          <w:noProof/>
          <w:sz w:val="24"/>
          <w:lang w:val="en-GB"/>
        </w:rPr>
        <w:t>. They</w:t>
      </w:r>
      <w:r w:rsidRPr="004A72B5">
        <w:rPr>
          <w:rFonts w:ascii="Times New Roman" w:hAnsi="Times New Roman" w:cs="Times New Roman"/>
          <w:noProof/>
          <w:sz w:val="24"/>
          <w:lang w:val="en-GB"/>
        </w:rPr>
        <w:t xml:space="preserve"> provide guidance, information and assistance to </w:t>
      </w:r>
      <w:r>
        <w:rPr>
          <w:rFonts w:ascii="Times New Roman" w:hAnsi="Times New Roman" w:cs="Times New Roman"/>
          <w:noProof/>
          <w:sz w:val="24"/>
          <w:lang w:val="en-GB"/>
        </w:rPr>
        <w:t xml:space="preserve">potential </w:t>
      </w:r>
      <w:r w:rsidRPr="004A72B5">
        <w:rPr>
          <w:rFonts w:ascii="Times New Roman" w:hAnsi="Times New Roman" w:cs="Times New Roman"/>
          <w:noProof/>
          <w:sz w:val="24"/>
          <w:lang w:val="en-GB"/>
        </w:rPr>
        <w:t xml:space="preserve">applicants, beneficiaries </w:t>
      </w:r>
      <w:r>
        <w:rPr>
          <w:rFonts w:ascii="Times New Roman" w:hAnsi="Times New Roman" w:cs="Times New Roman"/>
          <w:noProof/>
          <w:sz w:val="24"/>
          <w:lang w:val="en-GB"/>
        </w:rPr>
        <w:t xml:space="preserve">and </w:t>
      </w:r>
      <w:r w:rsidRPr="004A72B5">
        <w:rPr>
          <w:rFonts w:ascii="Times New Roman" w:hAnsi="Times New Roman" w:cs="Times New Roman"/>
          <w:noProof/>
          <w:sz w:val="24"/>
          <w:lang w:val="en-GB"/>
        </w:rPr>
        <w:t>stakeholders</w:t>
      </w:r>
      <w:r>
        <w:rPr>
          <w:rFonts w:ascii="Times New Roman" w:hAnsi="Times New Roman" w:cs="Times New Roman"/>
          <w:noProof/>
          <w:sz w:val="24"/>
          <w:lang w:val="en-GB"/>
        </w:rPr>
        <w:t xml:space="preserve"> and contribute to disseminating information and enhancing the visibility and accessibility of the programme. Events directly organised by National Contact Points reach more than 4000 people per year. </w:t>
      </w:r>
      <w:r>
        <w:rPr>
          <w:rFonts w:ascii="Times New Roman" w:hAnsi="Times New Roman" w:cs="Times New Roman"/>
          <w:noProof/>
          <w:sz w:val="24"/>
          <w:szCs w:val="24"/>
          <w:lang w:val="en-GB"/>
        </w:rPr>
        <w:t>T</w:t>
      </w:r>
      <w:r w:rsidRPr="004A72B5">
        <w:rPr>
          <w:rFonts w:ascii="Times New Roman" w:hAnsi="Times New Roman" w:cs="Times New Roman"/>
          <w:noProof/>
          <w:sz w:val="24"/>
          <w:szCs w:val="24"/>
          <w:lang w:val="en-GB"/>
        </w:rPr>
        <w:t xml:space="preserve">he Commission is </w:t>
      </w:r>
      <w:r>
        <w:rPr>
          <w:rFonts w:ascii="Times New Roman" w:hAnsi="Times New Roman" w:cs="Times New Roman"/>
          <w:noProof/>
          <w:sz w:val="24"/>
          <w:szCs w:val="24"/>
          <w:lang w:val="en-GB"/>
        </w:rPr>
        <w:t xml:space="preserve">also preparing to </w:t>
      </w:r>
      <w:r w:rsidRPr="004A72B5">
        <w:rPr>
          <w:rFonts w:ascii="Times New Roman" w:hAnsi="Times New Roman" w:cs="Times New Roman"/>
          <w:noProof/>
          <w:sz w:val="24"/>
          <w:szCs w:val="24"/>
          <w:lang w:val="en-GB"/>
        </w:rPr>
        <w:t xml:space="preserve">launch a CERV </w:t>
      </w:r>
      <w:r w:rsidRPr="000B6BFA">
        <w:rPr>
          <w:rFonts w:ascii="Times New Roman" w:hAnsi="Times New Roman" w:cs="Times New Roman"/>
          <w:b/>
          <w:bCs/>
          <w:noProof/>
          <w:sz w:val="24"/>
          <w:szCs w:val="24"/>
          <w:lang w:val="en-GB"/>
        </w:rPr>
        <w:t>communication campaign</w:t>
      </w:r>
      <w:r w:rsidRPr="004A72B5">
        <w:rPr>
          <w:rFonts w:ascii="Times New Roman" w:hAnsi="Times New Roman" w:cs="Times New Roman"/>
          <w:noProof/>
          <w:sz w:val="24"/>
          <w:szCs w:val="24"/>
          <w:lang w:val="en-GB"/>
        </w:rPr>
        <w:t xml:space="preserve"> in the latter part of 2024 to raise public awareness</w:t>
      </w:r>
      <w:r>
        <w:rPr>
          <w:rFonts w:ascii="Times New Roman" w:hAnsi="Times New Roman" w:cs="Times New Roman"/>
          <w:noProof/>
          <w:sz w:val="24"/>
          <w:szCs w:val="24"/>
          <w:lang w:val="en-GB"/>
        </w:rPr>
        <w:t xml:space="preserve"> about the programme</w:t>
      </w:r>
      <w:r w:rsidRPr="004A72B5">
        <w:rPr>
          <w:rFonts w:ascii="Times New Roman" w:hAnsi="Times New Roman" w:cs="Times New Roman"/>
          <w:noProof/>
          <w:sz w:val="24"/>
          <w:szCs w:val="24"/>
          <w:lang w:val="en-GB"/>
        </w:rPr>
        <w:t xml:space="preserve"> </w:t>
      </w:r>
      <w:r>
        <w:rPr>
          <w:rFonts w:ascii="Times New Roman" w:hAnsi="Times New Roman" w:cs="Times New Roman"/>
          <w:noProof/>
          <w:sz w:val="24"/>
          <w:szCs w:val="24"/>
          <w:lang w:val="en-GB"/>
        </w:rPr>
        <w:t>and promote funding opportunities among potential applicants</w:t>
      </w:r>
      <w:r>
        <w:rPr>
          <w:rStyle w:val="FootnoteReference"/>
          <w:noProof/>
          <w:lang w:val="en-GB"/>
        </w:rPr>
        <w:footnoteReference w:id="39"/>
      </w:r>
      <w:r>
        <w:rPr>
          <w:rFonts w:ascii="Times New Roman" w:hAnsi="Times New Roman" w:cs="Times New Roman"/>
          <w:noProof/>
          <w:sz w:val="24"/>
          <w:szCs w:val="24"/>
          <w:lang w:val="en-GB"/>
        </w:rPr>
        <w:t>.</w:t>
      </w:r>
      <w:r w:rsidRPr="004A72B5">
        <w:rPr>
          <w:rFonts w:ascii="Times New Roman" w:hAnsi="Times New Roman" w:cs="Times New Roman"/>
          <w:noProof/>
          <w:sz w:val="24"/>
          <w:szCs w:val="24"/>
          <w:lang w:val="en-GB"/>
        </w:rPr>
        <w:t xml:space="preserve"> </w:t>
      </w:r>
    </w:p>
    <w:p w14:paraId="739228AF" w14:textId="77777777" w:rsidR="002C0325" w:rsidRPr="004A72B5" w:rsidRDefault="002C0325" w:rsidP="002C0325">
      <w:pPr>
        <w:pStyle w:val="Headerlevel2"/>
      </w:pPr>
      <w:r>
        <w:t>Achievements and ongoing developments</w:t>
      </w:r>
    </w:p>
    <w:p w14:paraId="492FC85F" w14:textId="2284BEC8" w:rsidR="002C0325" w:rsidRPr="00800B4B" w:rsidRDefault="002C0325" w:rsidP="002C0325">
      <w:pPr>
        <w:spacing w:before="120" w:after="120" w:line="276" w:lineRule="auto"/>
        <w:jc w:val="both"/>
        <w:rPr>
          <w:rFonts w:ascii="Times New Roman" w:hAnsi="Times New Roman" w:cs="Times New Roman"/>
          <w:b/>
          <w:noProof/>
          <w:sz w:val="24"/>
          <w:szCs w:val="24"/>
          <w:lang w:val="en-GB"/>
        </w:rPr>
      </w:pPr>
      <w:r>
        <w:rPr>
          <w:rFonts w:ascii="Times New Roman" w:hAnsi="Times New Roman" w:cs="Times New Roman"/>
          <w:noProof/>
          <w:sz w:val="24"/>
          <w:szCs w:val="24"/>
          <w:lang w:val="en-GB"/>
        </w:rPr>
        <w:t>The p</w:t>
      </w:r>
      <w:r w:rsidRPr="6E6B2E7A">
        <w:rPr>
          <w:rFonts w:ascii="Times New Roman" w:hAnsi="Times New Roman" w:cs="Times New Roman"/>
          <w:noProof/>
          <w:sz w:val="24"/>
          <w:szCs w:val="24"/>
          <w:lang w:val="en-GB"/>
        </w:rPr>
        <w:t xml:space="preserve">reliminary insights </w:t>
      </w:r>
      <w:r w:rsidRPr="00622B12">
        <w:rPr>
          <w:rFonts w:ascii="Times New Roman" w:hAnsi="Times New Roman" w:cs="Times New Roman"/>
          <w:noProof/>
          <w:sz w:val="24"/>
          <w:szCs w:val="24"/>
          <w:lang w:val="en-GB"/>
        </w:rPr>
        <w:t xml:space="preserve">from </w:t>
      </w:r>
      <w:r w:rsidRPr="003E5CA6">
        <w:rPr>
          <w:rFonts w:ascii="Times New Roman" w:hAnsi="Times New Roman" w:cs="Times New Roman"/>
          <w:noProof/>
          <w:sz w:val="24"/>
          <w:szCs w:val="24"/>
          <w:lang w:val="en-GB"/>
        </w:rPr>
        <w:t xml:space="preserve">ongoing analysis </w:t>
      </w:r>
      <w:r w:rsidRPr="00622B12">
        <w:rPr>
          <w:rFonts w:ascii="Times New Roman" w:hAnsi="Times New Roman" w:cs="Times New Roman"/>
          <w:noProof/>
          <w:sz w:val="24"/>
          <w:szCs w:val="24"/>
          <w:lang w:val="en-GB"/>
        </w:rPr>
        <w:t xml:space="preserve">as well as feedback from beneficiaries </w:t>
      </w:r>
      <w:r w:rsidRPr="00622B12">
        <w:rPr>
          <w:rFonts w:ascii="Times New Roman" w:hAnsi="Times New Roman" w:cs="Times New Roman"/>
          <w:bCs/>
          <w:noProof/>
          <w:sz w:val="24"/>
          <w:szCs w:val="24"/>
          <w:lang w:val="en-GB"/>
        </w:rPr>
        <w:t>point at the</w:t>
      </w:r>
      <w:r w:rsidRPr="00622B12">
        <w:rPr>
          <w:rFonts w:ascii="Times New Roman" w:hAnsi="Times New Roman" w:cs="Times New Roman"/>
          <w:b/>
          <w:noProof/>
          <w:sz w:val="24"/>
          <w:szCs w:val="24"/>
          <w:lang w:val="en-GB"/>
        </w:rPr>
        <w:t xml:space="preserve"> </w:t>
      </w:r>
      <w:r w:rsidRPr="00622B12">
        <w:rPr>
          <w:rFonts w:ascii="Times New Roman" w:hAnsi="Times New Roman" w:cs="Times New Roman"/>
          <w:bCs/>
          <w:noProof/>
          <w:sz w:val="24"/>
          <w:szCs w:val="24"/>
          <w:lang w:val="en-GB"/>
        </w:rPr>
        <w:t xml:space="preserve">unique nature of CERV funding. The programme is perceived as a crucial funding stream </w:t>
      </w:r>
      <w:r w:rsidRPr="00622B12">
        <w:rPr>
          <w:rFonts w:ascii="Times New Roman" w:hAnsi="Times New Roman" w:cs="Times New Roman"/>
          <w:noProof/>
          <w:sz w:val="24"/>
          <w:szCs w:val="24"/>
          <w:lang w:val="en-GB"/>
        </w:rPr>
        <w:t xml:space="preserve">for the survival of many beneficiary organisations, and one that contributes to the promotion of relevant EU policies. </w:t>
      </w:r>
      <w:r w:rsidRPr="003E5CA6">
        <w:rPr>
          <w:rFonts w:ascii="Times New Roman" w:hAnsi="Times New Roman" w:cs="Times New Roman"/>
          <w:noProof/>
          <w:sz w:val="24"/>
          <w:szCs w:val="24"/>
          <w:lang w:val="en-GB"/>
        </w:rPr>
        <w:t xml:space="preserve">The programme is perceived unique in its priorities and types of activities funded, while synergies exist with other EU funding programmes; some innovations have led to greater predictability, flexibility and simplification </w:t>
      </w:r>
      <w:r w:rsidR="00861418">
        <w:rPr>
          <w:rFonts w:ascii="Times New Roman" w:hAnsi="Times New Roman" w:cs="Times New Roman"/>
          <w:noProof/>
          <w:sz w:val="24"/>
          <w:szCs w:val="24"/>
          <w:lang w:val="en-GB"/>
        </w:rPr>
        <w:t>i</w:t>
      </w:r>
      <w:r w:rsidR="00861418" w:rsidRPr="003E5CA6">
        <w:rPr>
          <w:rFonts w:ascii="Times New Roman" w:hAnsi="Times New Roman" w:cs="Times New Roman"/>
          <w:noProof/>
          <w:sz w:val="24"/>
          <w:szCs w:val="24"/>
          <w:lang w:val="en-GB"/>
        </w:rPr>
        <w:t xml:space="preserve">n </w:t>
      </w:r>
      <w:r w:rsidRPr="003E5CA6">
        <w:rPr>
          <w:rFonts w:ascii="Times New Roman" w:hAnsi="Times New Roman" w:cs="Times New Roman"/>
          <w:noProof/>
          <w:sz w:val="24"/>
          <w:szCs w:val="24"/>
          <w:lang w:val="en-GB"/>
        </w:rPr>
        <w:t xml:space="preserve">the programme implementation. </w:t>
      </w:r>
      <w:r w:rsidRPr="00622B12">
        <w:rPr>
          <w:rFonts w:ascii="Times New Roman" w:hAnsi="Times New Roman" w:cs="Times New Roman"/>
          <w:noProof/>
          <w:sz w:val="24"/>
          <w:szCs w:val="24"/>
          <w:lang w:val="en-GB"/>
        </w:rPr>
        <w:t xml:space="preserve">Oftentimes, beneficiaries consider direct EU funding </w:t>
      </w:r>
      <w:r w:rsidR="003E2B15">
        <w:rPr>
          <w:rFonts w:ascii="Times New Roman" w:hAnsi="Times New Roman" w:cs="Times New Roman"/>
          <w:noProof/>
          <w:sz w:val="24"/>
          <w:szCs w:val="24"/>
          <w:lang w:val="en-GB"/>
        </w:rPr>
        <w:t>i</w:t>
      </w:r>
      <w:r w:rsidRPr="00622B12">
        <w:rPr>
          <w:rFonts w:ascii="Times New Roman" w:hAnsi="Times New Roman" w:cs="Times New Roman"/>
          <w:noProof/>
          <w:sz w:val="24"/>
          <w:szCs w:val="24"/>
          <w:lang w:val="en-GB"/>
        </w:rPr>
        <w:t xml:space="preserve">n the areas covered by the programme as the only way to ensure accessibility, increase </w:t>
      </w:r>
      <w:r w:rsidRPr="6E6B2E7A">
        <w:rPr>
          <w:rFonts w:ascii="Times New Roman" w:hAnsi="Times New Roman" w:cs="Times New Roman"/>
          <w:noProof/>
          <w:sz w:val="24"/>
          <w:szCs w:val="24"/>
          <w:lang w:val="en-GB"/>
        </w:rPr>
        <w:t>transparency</w:t>
      </w:r>
      <w:r w:rsidRPr="00861418">
        <w:rPr>
          <w:rFonts w:ascii="Times New Roman" w:hAnsi="Times New Roman" w:cs="Times New Roman"/>
          <w:noProof/>
          <w:sz w:val="24"/>
          <w:szCs w:val="24"/>
          <w:lang w:val="en-GB"/>
        </w:rPr>
        <w:t xml:space="preserve">, and to reduce risks </w:t>
      </w:r>
      <w:r w:rsidR="00861418">
        <w:rPr>
          <w:rFonts w:ascii="Times New Roman" w:hAnsi="Times New Roman" w:cs="Times New Roman"/>
          <w:noProof/>
          <w:sz w:val="24"/>
          <w:szCs w:val="24"/>
          <w:lang w:val="en-GB"/>
        </w:rPr>
        <w:t>of maladministration</w:t>
      </w:r>
      <w:r w:rsidRPr="00861418">
        <w:rPr>
          <w:rFonts w:ascii="Times New Roman" w:hAnsi="Times New Roman" w:cs="Times New Roman"/>
          <w:noProof/>
          <w:sz w:val="24"/>
          <w:szCs w:val="24"/>
          <w:lang w:val="en-GB"/>
        </w:rPr>
        <w:t>. In addition, promotion and protection of values at European level requires transnational cooperation mechanisms, networking and mutual learning opportunities, which typically cannot be offered by individual Member States. T</w:t>
      </w:r>
      <w:r w:rsidRPr="00861418">
        <w:rPr>
          <w:rFonts w:ascii="Times New Roman" w:eastAsia="Times New Roman" w:hAnsi="Times New Roman" w:cs="Times New Roman"/>
          <w:noProof/>
          <w:sz w:val="24"/>
          <w:szCs w:val="24"/>
          <w:lang w:val="en-GB"/>
        </w:rPr>
        <w:t>he programme also supports projects and organisations working for the promotion and protection of rights and values irrespective</w:t>
      </w:r>
      <w:r w:rsidR="00A968BC">
        <w:rPr>
          <w:rFonts w:ascii="Times New Roman" w:eastAsia="Times New Roman" w:hAnsi="Times New Roman" w:cs="Times New Roman"/>
          <w:noProof/>
          <w:sz w:val="24"/>
          <w:szCs w:val="24"/>
          <w:lang w:val="en-GB"/>
        </w:rPr>
        <w:t xml:space="preserve"> of the beneficiaries’ line of activities</w:t>
      </w:r>
      <w:r w:rsidRPr="523B07E9">
        <w:rPr>
          <w:rFonts w:ascii="Times New Roman" w:eastAsia="Times New Roman" w:hAnsi="Times New Roman" w:cs="Times New Roman"/>
          <w:noProof/>
          <w:sz w:val="24"/>
          <w:szCs w:val="24"/>
          <w:lang w:val="en-GB"/>
        </w:rPr>
        <w:t>.</w:t>
      </w:r>
      <w:r>
        <w:rPr>
          <w:rFonts w:ascii="Times New Roman" w:eastAsia="Times New Roman" w:hAnsi="Times New Roman" w:cs="Times New Roman"/>
          <w:noProof/>
          <w:sz w:val="24"/>
          <w:szCs w:val="24"/>
          <w:lang w:val="en-GB"/>
        </w:rPr>
        <w:t xml:space="preserve"> </w:t>
      </w:r>
      <w:r>
        <w:rPr>
          <w:rFonts w:ascii="Times New Roman" w:hAnsi="Times New Roman" w:cs="Times New Roman"/>
          <w:noProof/>
          <w:sz w:val="24"/>
          <w:szCs w:val="24"/>
          <w:lang w:val="en-GB"/>
        </w:rPr>
        <w:t>The CERV programme</w:t>
      </w:r>
      <w:r w:rsidRPr="6E6B2E7A">
        <w:rPr>
          <w:rFonts w:ascii="Times New Roman" w:hAnsi="Times New Roman" w:cs="Times New Roman"/>
          <w:noProof/>
          <w:sz w:val="24"/>
          <w:szCs w:val="24"/>
          <w:lang w:val="en-GB"/>
        </w:rPr>
        <w:t xml:space="preserve"> is, therefore, essential for the EU in order to sustain and further develop open, rights-based, democratic, equal and inclusive societies which are based on the rule of law.</w:t>
      </w:r>
    </w:p>
    <w:p w14:paraId="4926B5A9" w14:textId="77777777" w:rsidR="002C0325" w:rsidRDefault="002C0325" w:rsidP="002C0325">
      <w:pPr>
        <w:spacing w:before="120" w:after="120"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Overall</w:t>
      </w:r>
      <w:r w:rsidRPr="00094629">
        <w:rPr>
          <w:rFonts w:ascii="Times New Roman" w:hAnsi="Times New Roman" w:cs="Times New Roman"/>
          <w:noProof/>
          <w:sz w:val="24"/>
          <w:szCs w:val="24"/>
          <w:lang w:val="en-GB"/>
        </w:rPr>
        <w:t xml:space="preserve">, </w:t>
      </w:r>
      <w:r>
        <w:rPr>
          <w:rFonts w:ascii="Times New Roman" w:hAnsi="Times New Roman" w:cs="Times New Roman"/>
          <w:noProof/>
          <w:sz w:val="24"/>
          <w:szCs w:val="24"/>
          <w:lang w:val="en-GB"/>
        </w:rPr>
        <w:t>the CERV programme has attracted</w:t>
      </w:r>
      <w:r w:rsidRPr="00094629">
        <w:rPr>
          <w:rFonts w:ascii="Times New Roman" w:hAnsi="Times New Roman" w:cs="Times New Roman"/>
          <w:noProof/>
          <w:sz w:val="24"/>
          <w:szCs w:val="24"/>
          <w:lang w:val="en-GB"/>
        </w:rPr>
        <w:t xml:space="preserve"> </w:t>
      </w:r>
      <w:r w:rsidRPr="000B6BFA">
        <w:rPr>
          <w:rFonts w:ascii="Times New Roman" w:hAnsi="Times New Roman" w:cs="Times New Roman"/>
          <w:b/>
          <w:bCs/>
          <w:noProof/>
          <w:sz w:val="24"/>
          <w:szCs w:val="24"/>
          <w:lang w:val="en-GB"/>
        </w:rPr>
        <w:t>significant interest</w:t>
      </w:r>
      <w:r w:rsidRPr="00094629">
        <w:rPr>
          <w:rFonts w:ascii="Times New Roman" w:hAnsi="Times New Roman" w:cs="Times New Roman"/>
          <w:noProof/>
          <w:sz w:val="24"/>
          <w:szCs w:val="24"/>
          <w:lang w:val="en-GB"/>
        </w:rPr>
        <w:t>.</w:t>
      </w:r>
      <w:r>
        <w:rPr>
          <w:rFonts w:ascii="Times New Roman" w:hAnsi="Times New Roman" w:cs="Times New Roman"/>
          <w:noProof/>
          <w:sz w:val="24"/>
          <w:szCs w:val="24"/>
          <w:lang w:val="en-GB"/>
        </w:rPr>
        <w:t xml:space="preserve"> For instance, </w:t>
      </w:r>
      <w:r w:rsidRPr="00EF22C6">
        <w:rPr>
          <w:rFonts w:ascii="Times New Roman" w:hAnsi="Times New Roman" w:cs="Times New Roman"/>
          <w:noProof/>
          <w:sz w:val="24"/>
          <w:szCs w:val="24"/>
          <w:lang w:val="en-GB"/>
        </w:rPr>
        <w:t xml:space="preserve">41% </w:t>
      </w:r>
      <w:r>
        <w:rPr>
          <w:rFonts w:ascii="Times New Roman" w:hAnsi="Times New Roman" w:cs="Times New Roman"/>
          <w:noProof/>
          <w:sz w:val="24"/>
          <w:szCs w:val="24"/>
          <w:lang w:val="en-GB"/>
        </w:rPr>
        <w:t xml:space="preserve">of the respondents </w:t>
      </w:r>
      <w:r w:rsidRPr="00094629">
        <w:rPr>
          <w:rFonts w:ascii="Times New Roman" w:hAnsi="Times New Roman" w:cs="Times New Roman"/>
          <w:noProof/>
          <w:sz w:val="24"/>
          <w:szCs w:val="24"/>
          <w:lang w:val="en-GB"/>
        </w:rPr>
        <w:t xml:space="preserve">to the </w:t>
      </w:r>
      <w:r>
        <w:rPr>
          <w:rFonts w:ascii="Times New Roman" w:hAnsi="Times New Roman" w:cs="Times New Roman"/>
          <w:noProof/>
          <w:sz w:val="24"/>
          <w:szCs w:val="24"/>
          <w:lang w:val="en-GB"/>
        </w:rPr>
        <w:t xml:space="preserve">FRA’s </w:t>
      </w:r>
      <w:r w:rsidRPr="00EF22C6">
        <w:rPr>
          <w:rFonts w:ascii="Times New Roman" w:hAnsi="Times New Roman" w:cs="Times New Roman"/>
          <w:noProof/>
          <w:sz w:val="24"/>
          <w:szCs w:val="24"/>
          <w:lang w:val="en-GB"/>
        </w:rPr>
        <w:t xml:space="preserve">online consultation </w:t>
      </w:r>
      <w:r>
        <w:rPr>
          <w:rFonts w:ascii="Times New Roman" w:hAnsi="Times New Roman" w:cs="Times New Roman"/>
          <w:noProof/>
          <w:sz w:val="24"/>
          <w:szCs w:val="24"/>
          <w:lang w:val="en-GB"/>
        </w:rPr>
        <w:t xml:space="preserve">carried out in support of this report had </w:t>
      </w:r>
      <w:r w:rsidRPr="00EF22C6">
        <w:rPr>
          <w:rFonts w:ascii="Times New Roman" w:hAnsi="Times New Roman" w:cs="Times New Roman"/>
          <w:noProof/>
          <w:sz w:val="24"/>
          <w:szCs w:val="24"/>
          <w:lang w:val="en-GB"/>
        </w:rPr>
        <w:t xml:space="preserve">applied </w:t>
      </w:r>
      <w:r>
        <w:rPr>
          <w:rFonts w:ascii="Times New Roman" w:hAnsi="Times New Roman" w:cs="Times New Roman"/>
          <w:noProof/>
          <w:sz w:val="24"/>
          <w:szCs w:val="24"/>
          <w:lang w:val="en-GB"/>
        </w:rPr>
        <w:t xml:space="preserve">for </w:t>
      </w:r>
      <w:r w:rsidRPr="00EF22C6">
        <w:rPr>
          <w:rFonts w:ascii="Times New Roman" w:hAnsi="Times New Roman" w:cs="Times New Roman"/>
          <w:noProof/>
          <w:sz w:val="24"/>
          <w:szCs w:val="24"/>
          <w:lang w:val="en-GB"/>
        </w:rPr>
        <w:t>and received</w:t>
      </w:r>
      <w:r>
        <w:rPr>
          <w:rFonts w:ascii="Times New Roman" w:hAnsi="Times New Roman" w:cs="Times New Roman"/>
          <w:noProof/>
          <w:sz w:val="24"/>
          <w:szCs w:val="24"/>
          <w:lang w:val="en-GB"/>
        </w:rPr>
        <w:t xml:space="preserve"> CERV</w:t>
      </w:r>
      <w:r w:rsidRPr="00EF22C6">
        <w:rPr>
          <w:rFonts w:ascii="Times New Roman" w:hAnsi="Times New Roman" w:cs="Times New Roman"/>
          <w:noProof/>
          <w:sz w:val="24"/>
          <w:szCs w:val="24"/>
          <w:lang w:val="en-GB"/>
        </w:rPr>
        <w:t xml:space="preserve"> funding</w:t>
      </w:r>
      <w:r>
        <w:rPr>
          <w:rFonts w:ascii="Times New Roman" w:hAnsi="Times New Roman" w:cs="Times New Roman"/>
          <w:noProof/>
          <w:sz w:val="24"/>
          <w:szCs w:val="24"/>
          <w:lang w:val="en-GB"/>
        </w:rPr>
        <w:t xml:space="preserve"> and another </w:t>
      </w:r>
      <w:r w:rsidRPr="00371A31">
        <w:rPr>
          <w:rFonts w:ascii="Times New Roman" w:hAnsi="Times New Roman" w:cs="Times New Roman"/>
          <w:noProof/>
          <w:sz w:val="24"/>
          <w:szCs w:val="24"/>
          <w:lang w:val="en-GB"/>
        </w:rPr>
        <w:t xml:space="preserve">20% </w:t>
      </w:r>
      <w:r>
        <w:rPr>
          <w:rFonts w:ascii="Times New Roman" w:hAnsi="Times New Roman" w:cs="Times New Roman"/>
          <w:noProof/>
          <w:sz w:val="24"/>
          <w:szCs w:val="24"/>
          <w:lang w:val="en-GB"/>
        </w:rPr>
        <w:t xml:space="preserve">had </w:t>
      </w:r>
      <w:r w:rsidRPr="00371A31">
        <w:rPr>
          <w:rFonts w:ascii="Times New Roman" w:hAnsi="Times New Roman" w:cs="Times New Roman"/>
          <w:noProof/>
          <w:sz w:val="24"/>
          <w:szCs w:val="24"/>
          <w:lang w:val="en-GB"/>
        </w:rPr>
        <w:t xml:space="preserve">applied but </w:t>
      </w:r>
      <w:r>
        <w:rPr>
          <w:rFonts w:ascii="Times New Roman" w:hAnsi="Times New Roman" w:cs="Times New Roman"/>
          <w:noProof/>
          <w:sz w:val="24"/>
          <w:szCs w:val="24"/>
          <w:lang w:val="en-GB"/>
        </w:rPr>
        <w:t xml:space="preserve">did </w:t>
      </w:r>
      <w:r w:rsidRPr="00371A31">
        <w:rPr>
          <w:rFonts w:ascii="Times New Roman" w:hAnsi="Times New Roman" w:cs="Times New Roman"/>
          <w:noProof/>
          <w:sz w:val="24"/>
          <w:szCs w:val="24"/>
          <w:lang w:val="en-GB"/>
        </w:rPr>
        <w:t>not receive funding</w:t>
      </w:r>
      <w:r>
        <w:rPr>
          <w:rStyle w:val="FootnoteReference"/>
          <w:noProof/>
          <w:lang w:val="en-GB"/>
        </w:rPr>
        <w:footnoteReference w:id="40"/>
      </w:r>
      <w:r>
        <w:rPr>
          <w:rFonts w:ascii="Times New Roman" w:hAnsi="Times New Roman" w:cs="Times New Roman"/>
          <w:noProof/>
          <w:sz w:val="24"/>
          <w:szCs w:val="24"/>
          <w:lang w:val="en-GB"/>
        </w:rPr>
        <w:t xml:space="preserve">. </w:t>
      </w:r>
    </w:p>
    <w:p w14:paraId="6D13E35E" w14:textId="77777777" w:rsidR="002C0325" w:rsidRPr="008D0633" w:rsidRDefault="002C0325" w:rsidP="002C0325">
      <w:pPr>
        <w:spacing w:before="120" w:after="120"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rPr>
        <w:t>Although the CERV programme benefits from a higher budget than its predecessors, its</w:t>
      </w:r>
      <w:r w:rsidRPr="003130FB">
        <w:rPr>
          <w:rFonts w:ascii="Times New Roman" w:hAnsi="Times New Roman" w:cs="Times New Roman"/>
          <w:noProof/>
          <w:sz w:val="24"/>
          <w:szCs w:val="24"/>
        </w:rPr>
        <w:t xml:space="preserve"> magnitude </w:t>
      </w:r>
      <w:r>
        <w:rPr>
          <w:rFonts w:ascii="Times New Roman" w:hAnsi="Times New Roman" w:cs="Times New Roman"/>
          <w:noProof/>
          <w:sz w:val="24"/>
          <w:szCs w:val="24"/>
        </w:rPr>
        <w:t>is still not</w:t>
      </w:r>
      <w:r w:rsidRPr="003130FB">
        <w:rPr>
          <w:rFonts w:ascii="Times New Roman" w:hAnsi="Times New Roman" w:cs="Times New Roman"/>
          <w:noProof/>
          <w:sz w:val="24"/>
          <w:szCs w:val="24"/>
        </w:rPr>
        <w:t xml:space="preserve"> </w:t>
      </w:r>
      <w:r>
        <w:rPr>
          <w:rFonts w:ascii="Times New Roman" w:hAnsi="Times New Roman" w:cs="Times New Roman"/>
          <w:noProof/>
          <w:sz w:val="24"/>
          <w:szCs w:val="24"/>
        </w:rPr>
        <w:t xml:space="preserve">fully </w:t>
      </w:r>
      <w:r w:rsidRPr="003130FB">
        <w:rPr>
          <w:rFonts w:ascii="Times New Roman" w:hAnsi="Times New Roman" w:cs="Times New Roman"/>
          <w:noProof/>
          <w:sz w:val="24"/>
          <w:szCs w:val="24"/>
        </w:rPr>
        <w:t>aligned with the demand on the ground.</w:t>
      </w:r>
      <w:r>
        <w:rPr>
          <w:rFonts w:ascii="Times New Roman" w:hAnsi="Times New Roman" w:cs="Times New Roman"/>
          <w:noProof/>
          <w:sz w:val="24"/>
          <w:szCs w:val="24"/>
        </w:rPr>
        <w:t xml:space="preserve"> </w:t>
      </w:r>
      <w:r w:rsidRPr="00D332E9">
        <w:rPr>
          <w:rFonts w:ascii="Times New Roman" w:hAnsi="Times New Roman" w:cs="Times New Roman"/>
          <w:noProof/>
          <w:sz w:val="24"/>
          <w:szCs w:val="24"/>
        </w:rPr>
        <w:t xml:space="preserve">Some calls for proposals are particularly </w:t>
      </w:r>
      <w:r w:rsidRPr="000B6BFA">
        <w:rPr>
          <w:rFonts w:ascii="Times New Roman" w:hAnsi="Times New Roman" w:cs="Times New Roman"/>
          <w:b/>
          <w:bCs/>
          <w:noProof/>
          <w:sz w:val="24"/>
          <w:szCs w:val="24"/>
        </w:rPr>
        <w:t>oversubscribed</w:t>
      </w:r>
      <w:r w:rsidRPr="00D332E9">
        <w:rPr>
          <w:rFonts w:ascii="Times New Roman" w:hAnsi="Times New Roman" w:cs="Times New Roman"/>
          <w:noProof/>
          <w:sz w:val="24"/>
          <w:szCs w:val="24"/>
        </w:rPr>
        <w:t>, s</w:t>
      </w:r>
      <w:r>
        <w:rPr>
          <w:rFonts w:ascii="Times New Roman" w:hAnsi="Times New Roman" w:cs="Times New Roman"/>
          <w:noProof/>
          <w:sz w:val="24"/>
          <w:szCs w:val="24"/>
        </w:rPr>
        <w:t>o that only between 8% and 17% of the applications are funded. M</w:t>
      </w:r>
      <w:r w:rsidRPr="43A5670E">
        <w:rPr>
          <w:rFonts w:ascii="Times New Roman" w:hAnsi="Times New Roman" w:cs="Times New Roman"/>
          <w:noProof/>
          <w:sz w:val="24"/>
          <w:szCs w:val="24"/>
        </w:rPr>
        <w:t>any excellent applications cannot be funded due to budget limitations.</w:t>
      </w:r>
    </w:p>
    <w:p w14:paraId="2F067839" w14:textId="0DC5CA45" w:rsidR="002C0325" w:rsidRPr="00F3591E" w:rsidRDefault="002C0325" w:rsidP="002C0325">
      <w:pPr>
        <w:spacing w:before="120" w:after="120"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To date, CSOs </w:t>
      </w:r>
      <w:r w:rsidRPr="002B7029">
        <w:rPr>
          <w:rFonts w:ascii="Times New Roman" w:hAnsi="Times New Roman" w:cs="Times New Roman"/>
          <w:noProof/>
          <w:sz w:val="24"/>
          <w:szCs w:val="24"/>
          <w:lang w:val="en-GB"/>
        </w:rPr>
        <w:t>represent more than 60% of the</w:t>
      </w:r>
      <w:r>
        <w:rPr>
          <w:rFonts w:ascii="Times New Roman" w:hAnsi="Times New Roman" w:cs="Times New Roman"/>
          <w:noProof/>
          <w:sz w:val="24"/>
          <w:szCs w:val="24"/>
          <w:lang w:val="en-GB"/>
        </w:rPr>
        <w:t xml:space="preserve"> </w:t>
      </w:r>
      <w:r w:rsidRPr="002B7029">
        <w:rPr>
          <w:rFonts w:ascii="Times New Roman" w:hAnsi="Times New Roman" w:cs="Times New Roman"/>
          <w:noProof/>
          <w:sz w:val="24"/>
          <w:szCs w:val="24"/>
          <w:lang w:val="en-GB"/>
        </w:rPr>
        <w:t>beneficiaries</w:t>
      </w:r>
      <w:r>
        <w:rPr>
          <w:rFonts w:ascii="Times New Roman" w:hAnsi="Times New Roman" w:cs="Times New Roman"/>
          <w:noProof/>
          <w:sz w:val="24"/>
          <w:szCs w:val="24"/>
          <w:lang w:val="en-GB"/>
        </w:rPr>
        <w:t>. Since 2021</w:t>
      </w:r>
      <w:r w:rsidRPr="0033586E">
        <w:rPr>
          <w:rFonts w:ascii="Times New Roman" w:hAnsi="Times New Roman" w:cs="Times New Roman"/>
          <w:noProof/>
          <w:sz w:val="24"/>
          <w:szCs w:val="24"/>
          <w:lang w:val="en-GB"/>
        </w:rPr>
        <w:t xml:space="preserve">, </w:t>
      </w:r>
      <w:r>
        <w:rPr>
          <w:rFonts w:ascii="Times New Roman" w:hAnsi="Times New Roman" w:cs="Times New Roman"/>
          <w:noProof/>
          <w:sz w:val="24"/>
          <w:szCs w:val="24"/>
          <w:lang w:val="en-GB"/>
        </w:rPr>
        <w:t>almost 4000</w:t>
      </w:r>
      <w:r w:rsidRPr="0033586E">
        <w:rPr>
          <w:rFonts w:ascii="Times New Roman" w:hAnsi="Times New Roman" w:cs="Times New Roman"/>
          <w:noProof/>
          <w:sz w:val="24"/>
          <w:szCs w:val="24"/>
          <w:lang w:val="en-GB"/>
        </w:rPr>
        <w:t xml:space="preserve"> </w:t>
      </w:r>
      <w:r>
        <w:rPr>
          <w:rFonts w:ascii="Times New Roman" w:hAnsi="Times New Roman" w:cs="Times New Roman"/>
          <w:noProof/>
          <w:sz w:val="24"/>
          <w:szCs w:val="24"/>
          <w:lang w:val="en-GB"/>
        </w:rPr>
        <w:t>CSOs from all Member States have</w:t>
      </w:r>
      <w:r w:rsidRPr="0033586E">
        <w:rPr>
          <w:rFonts w:ascii="Times New Roman" w:hAnsi="Times New Roman" w:cs="Times New Roman"/>
          <w:noProof/>
          <w:sz w:val="24"/>
          <w:szCs w:val="24"/>
          <w:lang w:val="en-GB"/>
        </w:rPr>
        <w:t xml:space="preserve"> received support from the programme</w:t>
      </w:r>
      <w:r w:rsidRPr="004A72B5">
        <w:rPr>
          <w:rFonts w:ascii="Times New Roman" w:hAnsi="Times New Roman" w:cs="Times New Roman"/>
          <w:noProof/>
          <w:sz w:val="24"/>
          <w:szCs w:val="24"/>
          <w:lang w:val="en-GB"/>
        </w:rPr>
        <w:t xml:space="preserve">. </w:t>
      </w:r>
      <w:r>
        <w:rPr>
          <w:rFonts w:ascii="Times New Roman" w:hAnsi="Times New Roman" w:cs="Times New Roman"/>
          <w:noProof/>
          <w:sz w:val="24"/>
          <w:szCs w:val="24"/>
          <w:lang w:val="en-GB"/>
        </w:rPr>
        <w:t xml:space="preserve">Under the </w:t>
      </w:r>
      <w:r w:rsidRPr="000B6BFA">
        <w:rPr>
          <w:rFonts w:ascii="Times New Roman" w:hAnsi="Times New Roman" w:cs="Times New Roman"/>
          <w:noProof/>
          <w:sz w:val="24"/>
          <w:szCs w:val="24"/>
          <w:lang w:val="en-GB"/>
        </w:rPr>
        <w:t>calls for proposals to promote civil society organisations’ awareness of, capacity building and implementation of the Charter</w:t>
      </w:r>
      <w:r w:rsidRPr="00D332E9">
        <w:rPr>
          <w:rStyle w:val="FootnoteReference"/>
          <w:noProof/>
          <w:lang w:val="en-GB"/>
        </w:rPr>
        <w:footnoteReference w:id="41"/>
      </w:r>
      <w:r w:rsidRPr="00D332E9">
        <w:rPr>
          <w:rFonts w:ascii="Times New Roman" w:hAnsi="Times New Roman" w:cs="Times New Roman"/>
          <w:noProof/>
          <w:sz w:val="24"/>
          <w:szCs w:val="24"/>
          <w:lang w:val="en-GB"/>
        </w:rPr>
        <w:t>,</w:t>
      </w:r>
      <w:r>
        <w:rPr>
          <w:rFonts w:ascii="Times New Roman" w:hAnsi="Times New Roman" w:cs="Times New Roman"/>
          <w:noProof/>
          <w:sz w:val="24"/>
          <w:szCs w:val="24"/>
          <w:lang w:val="en-GB"/>
        </w:rPr>
        <w:t xml:space="preserve"> over</w:t>
      </w:r>
      <w:r w:rsidRPr="004A72B5">
        <w:rPr>
          <w:rFonts w:ascii="Times New Roman" w:hAnsi="Times New Roman" w:cs="Times New Roman"/>
          <w:noProof/>
          <w:sz w:val="24"/>
          <w:szCs w:val="24"/>
          <w:lang w:val="en-GB"/>
        </w:rPr>
        <w:t xml:space="preserve"> </w:t>
      </w:r>
      <w:r w:rsidRPr="0033586E">
        <w:rPr>
          <w:rFonts w:ascii="Times New Roman" w:hAnsi="Times New Roman" w:cs="Times New Roman"/>
          <w:noProof/>
          <w:sz w:val="24"/>
          <w:szCs w:val="24"/>
          <w:lang w:val="en-GB"/>
        </w:rPr>
        <w:t>EUR</w:t>
      </w:r>
      <w:r w:rsidRPr="004A72B5">
        <w:rPr>
          <w:rFonts w:ascii="Times New Roman" w:hAnsi="Times New Roman" w:cs="Times New Roman"/>
          <w:noProof/>
          <w:sz w:val="24"/>
          <w:szCs w:val="24"/>
          <w:lang w:val="en-GB"/>
        </w:rPr>
        <w:t xml:space="preserve"> </w:t>
      </w:r>
      <w:r w:rsidRPr="0033586E">
        <w:rPr>
          <w:rFonts w:ascii="Times New Roman" w:hAnsi="Times New Roman" w:cs="Times New Roman"/>
          <w:noProof/>
          <w:sz w:val="24"/>
          <w:szCs w:val="24"/>
          <w:lang w:val="en-GB"/>
        </w:rPr>
        <w:t xml:space="preserve">19 </w:t>
      </w:r>
      <w:r>
        <w:rPr>
          <w:rFonts w:ascii="Times New Roman" w:hAnsi="Times New Roman" w:cs="Times New Roman"/>
          <w:noProof/>
          <w:sz w:val="24"/>
          <w:szCs w:val="24"/>
          <w:lang w:val="en-GB"/>
        </w:rPr>
        <w:t xml:space="preserve">million have been awarded to </w:t>
      </w:r>
      <w:r w:rsidRPr="004A72B5">
        <w:rPr>
          <w:rFonts w:ascii="Times New Roman" w:hAnsi="Times New Roman" w:cs="Times New Roman"/>
          <w:noProof/>
          <w:sz w:val="24"/>
          <w:szCs w:val="24"/>
          <w:lang w:val="en-GB"/>
        </w:rPr>
        <w:t xml:space="preserve">projects </w:t>
      </w:r>
      <w:r>
        <w:rPr>
          <w:rFonts w:ascii="Times New Roman" w:hAnsi="Times New Roman" w:cs="Times New Roman"/>
          <w:noProof/>
          <w:sz w:val="24"/>
          <w:szCs w:val="24"/>
          <w:lang w:val="en-GB"/>
        </w:rPr>
        <w:t>on</w:t>
      </w:r>
      <w:r w:rsidRPr="004A72B5">
        <w:rPr>
          <w:rFonts w:ascii="Times New Roman" w:hAnsi="Times New Roman" w:cs="Times New Roman"/>
          <w:noProof/>
          <w:sz w:val="24"/>
          <w:szCs w:val="24"/>
          <w:lang w:val="en-GB"/>
        </w:rPr>
        <w:t xml:space="preserve"> capacity building and awareness</w:t>
      </w:r>
      <w:r>
        <w:rPr>
          <w:rFonts w:ascii="Times New Roman" w:hAnsi="Times New Roman" w:cs="Times New Roman"/>
          <w:noProof/>
          <w:sz w:val="24"/>
          <w:szCs w:val="24"/>
          <w:lang w:val="en-GB"/>
        </w:rPr>
        <w:t>-raising on the Charter</w:t>
      </w:r>
      <w:r w:rsidRPr="004A72B5">
        <w:rPr>
          <w:rFonts w:ascii="Times New Roman" w:hAnsi="Times New Roman" w:cs="Times New Roman"/>
          <w:noProof/>
          <w:sz w:val="24"/>
          <w:szCs w:val="24"/>
          <w:lang w:val="en-GB"/>
        </w:rPr>
        <w:t xml:space="preserve">, empowering the civic space, </w:t>
      </w:r>
      <w:r>
        <w:rPr>
          <w:rFonts w:ascii="Times New Roman" w:hAnsi="Times New Roman" w:cs="Times New Roman"/>
          <w:noProof/>
          <w:sz w:val="24"/>
          <w:szCs w:val="24"/>
          <w:lang w:val="en-GB"/>
        </w:rPr>
        <w:t xml:space="preserve">supporting </w:t>
      </w:r>
      <w:r w:rsidRPr="004A72B5">
        <w:rPr>
          <w:rFonts w:ascii="Times New Roman" w:hAnsi="Times New Roman" w:cs="Times New Roman"/>
          <w:noProof/>
          <w:sz w:val="24"/>
          <w:szCs w:val="24"/>
          <w:lang w:val="en-GB"/>
        </w:rPr>
        <w:t>strategic litigation</w:t>
      </w:r>
      <w:r w:rsidR="00A968BC">
        <w:rPr>
          <w:rStyle w:val="FootnoteReference"/>
          <w:noProof/>
          <w:lang w:val="en-GB"/>
        </w:rPr>
        <w:footnoteReference w:id="42"/>
      </w:r>
      <w:r w:rsidRPr="004A72B5">
        <w:rPr>
          <w:rFonts w:ascii="Times New Roman" w:hAnsi="Times New Roman" w:cs="Times New Roman"/>
          <w:noProof/>
          <w:sz w:val="24"/>
          <w:szCs w:val="24"/>
          <w:lang w:val="en-GB"/>
        </w:rPr>
        <w:t>, combating hate crime and hate speech, and protecti</w:t>
      </w:r>
      <w:r>
        <w:rPr>
          <w:rFonts w:ascii="Times New Roman" w:hAnsi="Times New Roman" w:cs="Times New Roman"/>
          <w:noProof/>
          <w:sz w:val="24"/>
          <w:szCs w:val="24"/>
          <w:lang w:val="en-GB"/>
        </w:rPr>
        <w:t xml:space="preserve">ng </w:t>
      </w:r>
      <w:r w:rsidRPr="004A72B5">
        <w:rPr>
          <w:rFonts w:ascii="Times New Roman" w:hAnsi="Times New Roman" w:cs="Times New Roman"/>
          <w:noProof/>
          <w:sz w:val="24"/>
          <w:szCs w:val="24"/>
          <w:lang w:val="en-GB"/>
        </w:rPr>
        <w:t>whistleblowers</w:t>
      </w:r>
      <w:r w:rsidRPr="0033586E">
        <w:rPr>
          <w:rFonts w:ascii="Times New Roman" w:hAnsi="Times New Roman" w:cs="Times New Roman"/>
          <w:noProof/>
          <w:sz w:val="24"/>
          <w:szCs w:val="24"/>
          <w:lang w:val="en-GB"/>
        </w:rPr>
        <w:t>.</w:t>
      </w:r>
      <w:r w:rsidRPr="004A72B5">
        <w:rPr>
          <w:rFonts w:ascii="Times New Roman" w:hAnsi="Times New Roman" w:cs="Times New Roman"/>
          <w:noProof/>
          <w:sz w:val="24"/>
          <w:szCs w:val="24"/>
          <w:lang w:val="en-GB"/>
        </w:rPr>
        <w:t xml:space="preserve"> </w:t>
      </w:r>
    </w:p>
    <w:p w14:paraId="263EEBEA" w14:textId="77777777" w:rsidR="002C0325" w:rsidRPr="004E360C" w:rsidRDefault="002C0325" w:rsidP="002C0325">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Pr>
          <w:rFonts w:ascii="Times New Roman" w:hAnsi="Times New Roman" w:cs="Times New Roman"/>
          <w:b/>
          <w:bCs/>
          <w:noProof/>
          <w:sz w:val="20"/>
          <w:szCs w:val="20"/>
        </w:rPr>
        <w:t>Monitoring Action for Civic Space</w:t>
      </w:r>
      <w:r w:rsidRPr="00800B4B">
        <w:rPr>
          <w:rStyle w:val="FootnoteReference"/>
          <w:noProof/>
          <w:sz w:val="20"/>
          <w:szCs w:val="20"/>
        </w:rPr>
        <w:footnoteReference w:id="43"/>
      </w:r>
      <w:r w:rsidRPr="00800B4B">
        <w:rPr>
          <w:rFonts w:ascii="Times New Roman" w:hAnsi="Times New Roman" w:cs="Times New Roman"/>
          <w:noProof/>
          <w:sz w:val="20"/>
          <w:szCs w:val="20"/>
        </w:rPr>
        <w:t xml:space="preserve">: the project aims at promoting democratic rights and values by empowering civil society. It will develop a system to monitor the environment in which </w:t>
      </w:r>
      <w:r>
        <w:rPr>
          <w:rFonts w:ascii="Times New Roman" w:hAnsi="Times New Roman" w:cs="Times New Roman"/>
          <w:noProof/>
          <w:sz w:val="20"/>
          <w:szCs w:val="20"/>
        </w:rPr>
        <w:t>CSOs</w:t>
      </w:r>
      <w:r w:rsidRPr="00800B4B">
        <w:rPr>
          <w:rFonts w:ascii="Times New Roman" w:hAnsi="Times New Roman" w:cs="Times New Roman"/>
          <w:noProof/>
          <w:sz w:val="20"/>
          <w:szCs w:val="20"/>
        </w:rPr>
        <w:t xml:space="preserve"> work, building on FRA</w:t>
      </w:r>
      <w:r>
        <w:rPr>
          <w:rFonts w:ascii="Times New Roman" w:hAnsi="Times New Roman" w:cs="Times New Roman"/>
          <w:noProof/>
          <w:sz w:val="20"/>
          <w:szCs w:val="20"/>
        </w:rPr>
        <w:t>’s</w:t>
      </w:r>
      <w:r w:rsidRPr="00800B4B">
        <w:rPr>
          <w:rFonts w:ascii="Times New Roman" w:hAnsi="Times New Roman" w:cs="Times New Roman"/>
          <w:noProof/>
          <w:sz w:val="20"/>
          <w:szCs w:val="20"/>
        </w:rPr>
        <w:t xml:space="preserve"> indicators. It will develop a monitoring methodology and an early warning system to alert EU institutions on threats to civic space, as well as build the </w:t>
      </w:r>
      <w:r>
        <w:rPr>
          <w:rFonts w:ascii="Times New Roman" w:hAnsi="Times New Roman" w:cs="Times New Roman"/>
          <w:noProof/>
          <w:sz w:val="20"/>
          <w:szCs w:val="20"/>
        </w:rPr>
        <w:t xml:space="preserve">monitoring </w:t>
      </w:r>
      <w:r w:rsidRPr="00800B4B">
        <w:rPr>
          <w:rFonts w:ascii="Times New Roman" w:hAnsi="Times New Roman" w:cs="Times New Roman"/>
          <w:noProof/>
          <w:sz w:val="20"/>
          <w:szCs w:val="20"/>
        </w:rPr>
        <w:t>capacity of country partners.</w:t>
      </w:r>
    </w:p>
    <w:p w14:paraId="56ED353E" w14:textId="77777777" w:rsidR="002C0325" w:rsidRDefault="002C0325" w:rsidP="002C0325">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sidRPr="008D0633">
        <w:rPr>
          <w:rFonts w:ascii="Times New Roman" w:hAnsi="Times New Roman" w:cs="Times New Roman"/>
          <w:b/>
          <w:bCs/>
          <w:noProof/>
          <w:sz w:val="20"/>
          <w:szCs w:val="20"/>
        </w:rPr>
        <w:t>The European Observatory of Online Hate – Forensics</w:t>
      </w:r>
      <w:r w:rsidRPr="00800B4B">
        <w:rPr>
          <w:rStyle w:val="FootnoteReference"/>
          <w:noProof/>
          <w:sz w:val="20"/>
          <w:szCs w:val="20"/>
        </w:rPr>
        <w:footnoteReference w:id="44"/>
      </w:r>
      <w:r w:rsidRPr="00203095">
        <w:rPr>
          <w:rFonts w:ascii="Times New Roman" w:hAnsi="Times New Roman" w:cs="Times New Roman"/>
          <w:noProof/>
          <w:sz w:val="20"/>
          <w:szCs w:val="20"/>
        </w:rPr>
        <w:t xml:space="preserve"> foster</w:t>
      </w:r>
      <w:r>
        <w:rPr>
          <w:rFonts w:ascii="Times New Roman" w:hAnsi="Times New Roman" w:cs="Times New Roman"/>
          <w:noProof/>
          <w:sz w:val="20"/>
          <w:szCs w:val="20"/>
        </w:rPr>
        <w:t>s</w:t>
      </w:r>
      <w:r w:rsidRPr="00203095">
        <w:rPr>
          <w:rFonts w:ascii="Times New Roman" w:hAnsi="Times New Roman" w:cs="Times New Roman"/>
          <w:noProof/>
          <w:sz w:val="20"/>
          <w:szCs w:val="20"/>
        </w:rPr>
        <w:t xml:space="preserve"> a safer digital space </w:t>
      </w:r>
      <w:r>
        <w:rPr>
          <w:rFonts w:ascii="Times New Roman" w:hAnsi="Times New Roman" w:cs="Times New Roman"/>
          <w:noProof/>
          <w:sz w:val="20"/>
          <w:szCs w:val="20"/>
        </w:rPr>
        <w:t xml:space="preserve">by </w:t>
      </w:r>
      <w:r w:rsidRPr="00800B4B">
        <w:rPr>
          <w:rFonts w:ascii="Times New Roman" w:hAnsi="Times New Roman" w:cs="Times New Roman"/>
          <w:noProof/>
          <w:sz w:val="20"/>
          <w:szCs w:val="20"/>
        </w:rPr>
        <w:t>identifying instances of hate speech online by utilising advanced technology.</w:t>
      </w:r>
      <w:r>
        <w:rPr>
          <w:rFonts w:ascii="Times New Roman" w:hAnsi="Times New Roman" w:cs="Times New Roman"/>
          <w:noProof/>
          <w:sz w:val="20"/>
          <w:szCs w:val="20"/>
        </w:rPr>
        <w:t xml:space="preserve"> </w:t>
      </w:r>
      <w:r w:rsidRPr="00800B4B">
        <w:rPr>
          <w:rFonts w:ascii="Times New Roman" w:hAnsi="Times New Roman" w:cs="Times New Roman"/>
          <w:noProof/>
          <w:sz w:val="20"/>
          <w:szCs w:val="20"/>
        </w:rPr>
        <w:t xml:space="preserve">It collaborates with law enforcement and </w:t>
      </w:r>
      <w:r>
        <w:rPr>
          <w:rFonts w:ascii="Times New Roman" w:hAnsi="Times New Roman" w:cs="Times New Roman"/>
          <w:noProof/>
          <w:sz w:val="20"/>
          <w:szCs w:val="20"/>
        </w:rPr>
        <w:t>CSOs</w:t>
      </w:r>
      <w:r w:rsidRPr="00800B4B">
        <w:rPr>
          <w:rFonts w:ascii="Times New Roman" w:hAnsi="Times New Roman" w:cs="Times New Roman"/>
          <w:noProof/>
          <w:sz w:val="20"/>
          <w:szCs w:val="20"/>
        </w:rPr>
        <w:t xml:space="preserve"> to work towards a digital space where freedom of expression thrives without fear of discrimination or abuse</w:t>
      </w:r>
      <w:r>
        <w:rPr>
          <w:rFonts w:ascii="Times New Roman" w:hAnsi="Times New Roman" w:cs="Times New Roman"/>
          <w:noProof/>
          <w:sz w:val="20"/>
          <w:szCs w:val="20"/>
        </w:rPr>
        <w:t xml:space="preserve">. The project aims to provide </w:t>
      </w:r>
      <w:r w:rsidRPr="00BF05AE">
        <w:rPr>
          <w:rFonts w:ascii="Times New Roman" w:hAnsi="Times New Roman" w:cs="Times New Roman"/>
          <w:noProof/>
          <w:sz w:val="20"/>
          <w:szCs w:val="20"/>
        </w:rPr>
        <w:t xml:space="preserve">new data collection methodologies </w:t>
      </w:r>
      <w:r w:rsidRPr="00203095">
        <w:rPr>
          <w:rFonts w:ascii="Times New Roman" w:hAnsi="Times New Roman" w:cs="Times New Roman"/>
          <w:noProof/>
          <w:sz w:val="20"/>
          <w:szCs w:val="20"/>
        </w:rPr>
        <w:t>to detect hate crime and bring perpetrators to justice</w:t>
      </w:r>
      <w:r>
        <w:rPr>
          <w:rFonts w:ascii="Times New Roman" w:hAnsi="Times New Roman" w:cs="Times New Roman"/>
          <w:noProof/>
          <w:sz w:val="20"/>
          <w:szCs w:val="20"/>
        </w:rPr>
        <w:t>.</w:t>
      </w:r>
    </w:p>
    <w:p w14:paraId="65205F11" w14:textId="77777777" w:rsidR="002C0325" w:rsidRDefault="002C0325" w:rsidP="002C0325">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sidRPr="00800B4B">
        <w:rPr>
          <w:rFonts w:ascii="Times New Roman" w:hAnsi="Times New Roman" w:cs="Times New Roman"/>
          <w:b/>
          <w:bCs/>
          <w:noProof/>
          <w:sz w:val="20"/>
          <w:szCs w:val="20"/>
        </w:rPr>
        <w:t>Strengthening and Fostering Enabling environment for Whistleblowers in the EU</w:t>
      </w:r>
      <w:r w:rsidRPr="00800B4B">
        <w:rPr>
          <w:rStyle w:val="FootnoteReference"/>
          <w:noProof/>
          <w:sz w:val="20"/>
          <w:szCs w:val="20"/>
        </w:rPr>
        <w:footnoteReference w:id="45"/>
      </w:r>
      <w:r w:rsidRPr="00800B4B">
        <w:rPr>
          <w:rFonts w:ascii="Times New Roman" w:hAnsi="Times New Roman" w:cs="Times New Roman"/>
          <w:noProof/>
          <w:sz w:val="20"/>
          <w:szCs w:val="20"/>
        </w:rPr>
        <w:t>, a project developed by eight regional organisations of Transparency International, aims to strengthen the implementation of the Whistleblowing Directive</w:t>
      </w:r>
      <w:r>
        <w:rPr>
          <w:rStyle w:val="FootnoteReference"/>
          <w:noProof/>
        </w:rPr>
        <w:footnoteReference w:id="46"/>
      </w:r>
      <w:r w:rsidRPr="00800B4B">
        <w:rPr>
          <w:rFonts w:ascii="Times New Roman" w:hAnsi="Times New Roman" w:cs="Times New Roman"/>
          <w:noProof/>
          <w:sz w:val="20"/>
          <w:szCs w:val="20"/>
        </w:rPr>
        <w:t xml:space="preserve">. The ongoing project aims to increase the knowledge of the public, potential whistleblowers, </w:t>
      </w:r>
      <w:r>
        <w:rPr>
          <w:rFonts w:ascii="Times New Roman" w:hAnsi="Times New Roman" w:cs="Times New Roman"/>
          <w:noProof/>
          <w:sz w:val="20"/>
          <w:szCs w:val="20"/>
        </w:rPr>
        <w:t>CSOs</w:t>
      </w:r>
      <w:r w:rsidRPr="00800B4B">
        <w:rPr>
          <w:rFonts w:ascii="Times New Roman" w:hAnsi="Times New Roman" w:cs="Times New Roman"/>
          <w:noProof/>
          <w:sz w:val="20"/>
          <w:szCs w:val="20"/>
        </w:rPr>
        <w:t>, trade unions and journalists about whistleblowing, improve the implementation of whistleblowing laws, their enforcement, and the availability of data on whistleblower reports and caselaw. These activities are intended to contribute to the Directive’s implementation.</w:t>
      </w:r>
    </w:p>
    <w:p w14:paraId="25EBFD53" w14:textId="77777777" w:rsidR="002C0325" w:rsidRPr="00A422B2" w:rsidRDefault="002C0325" w:rsidP="002C0325">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sidRPr="000B6BFA">
        <w:rPr>
          <w:rFonts w:ascii="Times New Roman" w:hAnsi="Times New Roman" w:cs="Times New Roman"/>
          <w:noProof/>
          <w:sz w:val="20"/>
          <w:szCs w:val="20"/>
          <w:lang w:val="en-GB"/>
        </w:rPr>
        <w:t>Also other projects funded under the Union values strand have focused on supporting the implementation of the Charter</w:t>
      </w:r>
      <w:r>
        <w:rPr>
          <w:rFonts w:ascii="Times New Roman" w:hAnsi="Times New Roman" w:cs="Times New Roman"/>
          <w:noProof/>
          <w:sz w:val="20"/>
          <w:szCs w:val="20"/>
          <w:lang w:val="en-GB"/>
        </w:rPr>
        <w:t>, such as t</w:t>
      </w:r>
      <w:r w:rsidRPr="00800B4B">
        <w:rPr>
          <w:rFonts w:ascii="Times New Roman" w:hAnsi="Times New Roman" w:cs="Times New Roman"/>
          <w:noProof/>
          <w:sz w:val="20"/>
          <w:szCs w:val="20"/>
        </w:rPr>
        <w:t xml:space="preserve">he project </w:t>
      </w:r>
      <w:r w:rsidRPr="00800B4B">
        <w:rPr>
          <w:rFonts w:ascii="Times New Roman" w:hAnsi="Times New Roman" w:cs="Times New Roman"/>
          <w:b/>
          <w:bCs/>
          <w:noProof/>
          <w:sz w:val="20"/>
          <w:szCs w:val="20"/>
        </w:rPr>
        <w:t>Minorities, Accountability, Rights, Independence and Organizational Development (MARIO</w:t>
      </w:r>
      <w:r w:rsidRPr="000B6BFA">
        <w:rPr>
          <w:rFonts w:ascii="Times New Roman" w:hAnsi="Times New Roman" w:cs="Times New Roman"/>
          <w:noProof/>
          <w:sz w:val="20"/>
          <w:szCs w:val="20"/>
        </w:rPr>
        <w:t>)</w:t>
      </w:r>
      <w:r w:rsidRPr="00A422B2">
        <w:rPr>
          <w:rStyle w:val="FootnoteReference"/>
          <w:noProof/>
          <w:sz w:val="20"/>
          <w:szCs w:val="20"/>
        </w:rPr>
        <w:footnoteReference w:id="47"/>
      </w:r>
      <w:r w:rsidRPr="000B6BFA">
        <w:rPr>
          <w:rFonts w:ascii="Times New Roman" w:hAnsi="Times New Roman" w:cs="Times New Roman"/>
          <w:noProof/>
          <w:sz w:val="20"/>
          <w:szCs w:val="20"/>
        </w:rPr>
        <w:t>. It</w:t>
      </w:r>
      <w:r w:rsidRPr="00A422B2">
        <w:rPr>
          <w:rFonts w:ascii="Times New Roman" w:hAnsi="Times New Roman" w:cs="Times New Roman"/>
          <w:noProof/>
          <w:sz w:val="20"/>
          <w:szCs w:val="20"/>
        </w:rPr>
        <w:t xml:space="preserve"> advances</w:t>
      </w:r>
      <w:r w:rsidRPr="00800B4B">
        <w:rPr>
          <w:rFonts w:ascii="Times New Roman" w:hAnsi="Times New Roman" w:cs="Times New Roman"/>
          <w:noProof/>
          <w:sz w:val="20"/>
          <w:szCs w:val="20"/>
        </w:rPr>
        <w:t xml:space="preserve"> fundamental rights by providing financial support and building the capacity of grassroots </w:t>
      </w:r>
      <w:r>
        <w:rPr>
          <w:rFonts w:ascii="Times New Roman" w:hAnsi="Times New Roman" w:cs="Times New Roman"/>
          <w:noProof/>
          <w:sz w:val="20"/>
          <w:szCs w:val="20"/>
        </w:rPr>
        <w:t>CSOs</w:t>
      </w:r>
      <w:r w:rsidRPr="00800B4B">
        <w:rPr>
          <w:rFonts w:ascii="Times New Roman" w:hAnsi="Times New Roman" w:cs="Times New Roman"/>
          <w:noProof/>
          <w:sz w:val="20"/>
          <w:szCs w:val="20"/>
        </w:rPr>
        <w:t xml:space="preserve"> from eleven Member States. </w:t>
      </w:r>
      <w:r>
        <w:rPr>
          <w:rFonts w:ascii="Times New Roman" w:hAnsi="Times New Roman" w:cs="Times New Roman"/>
          <w:noProof/>
          <w:sz w:val="20"/>
          <w:szCs w:val="20"/>
        </w:rPr>
        <w:t>It</w:t>
      </w:r>
      <w:r w:rsidRPr="00800B4B">
        <w:rPr>
          <w:rFonts w:ascii="Times New Roman" w:hAnsi="Times New Roman" w:cs="Times New Roman"/>
          <w:noProof/>
          <w:sz w:val="20"/>
          <w:szCs w:val="20"/>
        </w:rPr>
        <w:t xml:space="preserve"> engage</w:t>
      </w:r>
      <w:r>
        <w:rPr>
          <w:rFonts w:ascii="Times New Roman" w:hAnsi="Times New Roman" w:cs="Times New Roman"/>
          <w:noProof/>
          <w:sz w:val="20"/>
          <w:szCs w:val="20"/>
        </w:rPr>
        <w:t>s</w:t>
      </w:r>
      <w:r w:rsidRPr="00800B4B">
        <w:rPr>
          <w:rFonts w:ascii="Times New Roman" w:hAnsi="Times New Roman" w:cs="Times New Roman"/>
          <w:noProof/>
          <w:sz w:val="20"/>
          <w:szCs w:val="20"/>
        </w:rPr>
        <w:t xml:space="preserve"> 30.000 people from minority communities (such as Roma, </w:t>
      </w:r>
      <w:r>
        <w:rPr>
          <w:rFonts w:ascii="Times New Roman" w:hAnsi="Times New Roman" w:cs="Times New Roman"/>
          <w:noProof/>
          <w:sz w:val="20"/>
          <w:szCs w:val="20"/>
        </w:rPr>
        <w:t xml:space="preserve">displaced </w:t>
      </w:r>
      <w:r w:rsidRPr="00800B4B">
        <w:rPr>
          <w:rFonts w:ascii="Times New Roman" w:hAnsi="Times New Roman" w:cs="Times New Roman"/>
          <w:noProof/>
          <w:sz w:val="20"/>
          <w:szCs w:val="20"/>
        </w:rPr>
        <w:t>Ukrainians, and Jews) in training and advocacy, produce</w:t>
      </w:r>
      <w:r>
        <w:rPr>
          <w:rFonts w:ascii="Times New Roman" w:hAnsi="Times New Roman" w:cs="Times New Roman"/>
          <w:noProof/>
          <w:sz w:val="20"/>
          <w:szCs w:val="20"/>
        </w:rPr>
        <w:t>s</w:t>
      </w:r>
      <w:r w:rsidRPr="00800B4B">
        <w:rPr>
          <w:rFonts w:ascii="Times New Roman" w:hAnsi="Times New Roman" w:cs="Times New Roman"/>
          <w:noProof/>
          <w:sz w:val="20"/>
          <w:szCs w:val="20"/>
        </w:rPr>
        <w:t xml:space="preserve"> training materials, and provide</w:t>
      </w:r>
      <w:r>
        <w:rPr>
          <w:rFonts w:ascii="Times New Roman" w:hAnsi="Times New Roman" w:cs="Times New Roman"/>
          <w:noProof/>
          <w:sz w:val="20"/>
          <w:szCs w:val="20"/>
        </w:rPr>
        <w:t>s</w:t>
      </w:r>
      <w:r w:rsidRPr="00800B4B">
        <w:rPr>
          <w:rFonts w:ascii="Times New Roman" w:hAnsi="Times New Roman" w:cs="Times New Roman"/>
          <w:noProof/>
          <w:sz w:val="20"/>
          <w:szCs w:val="20"/>
        </w:rPr>
        <w:t xml:space="preserve"> pro-bono legal aid.</w:t>
      </w:r>
    </w:p>
    <w:p w14:paraId="69620D13" w14:textId="77777777" w:rsidR="002C0325" w:rsidRPr="007C2DC3" w:rsidRDefault="002C0325" w:rsidP="002C0325">
      <w:pPr>
        <w:spacing w:before="120" w:after="120" w:line="276" w:lineRule="auto"/>
        <w:jc w:val="both"/>
        <w:rPr>
          <w:rFonts w:ascii="Times New Roman" w:hAnsi="Times New Roman" w:cs="Times New Roman"/>
          <w:noProof/>
          <w:sz w:val="24"/>
          <w:szCs w:val="24"/>
        </w:rPr>
      </w:pPr>
      <w:r>
        <w:rPr>
          <w:rFonts w:ascii="Times New Roman" w:hAnsi="Times New Roman" w:cs="Times New Roman"/>
          <w:noProof/>
          <w:sz w:val="24"/>
          <w:szCs w:val="24"/>
          <w:lang w:val="en-GB"/>
        </w:rPr>
        <w:t>A</w:t>
      </w:r>
      <w:r w:rsidRPr="00747C92">
        <w:rPr>
          <w:rFonts w:ascii="Times New Roman" w:hAnsi="Times New Roman" w:cs="Times New Roman"/>
          <w:noProof/>
          <w:sz w:val="24"/>
          <w:szCs w:val="24"/>
          <w:lang w:val="en-GB"/>
        </w:rPr>
        <w:t xml:space="preserve"> </w:t>
      </w:r>
      <w:r>
        <w:rPr>
          <w:rFonts w:ascii="Times New Roman" w:hAnsi="Times New Roman" w:cs="Times New Roman"/>
          <w:noProof/>
          <w:sz w:val="24"/>
          <w:szCs w:val="24"/>
          <w:lang w:val="en-GB"/>
        </w:rPr>
        <w:t xml:space="preserve">key objective of the </w:t>
      </w:r>
      <w:r w:rsidRPr="00747C92">
        <w:rPr>
          <w:rFonts w:ascii="Times New Roman" w:hAnsi="Times New Roman" w:cs="Times New Roman"/>
          <w:noProof/>
          <w:sz w:val="24"/>
          <w:szCs w:val="24"/>
          <w:lang w:val="en-GB"/>
        </w:rPr>
        <w:t xml:space="preserve">CERV programme </w:t>
      </w:r>
      <w:r>
        <w:rPr>
          <w:rFonts w:ascii="Times New Roman" w:hAnsi="Times New Roman" w:cs="Times New Roman"/>
          <w:noProof/>
          <w:sz w:val="24"/>
          <w:szCs w:val="24"/>
          <w:lang w:val="en-GB"/>
        </w:rPr>
        <w:t>is to</w:t>
      </w:r>
      <w:r w:rsidRPr="00747C92">
        <w:rPr>
          <w:rFonts w:ascii="Times New Roman" w:hAnsi="Times New Roman" w:cs="Times New Roman"/>
          <w:noProof/>
          <w:sz w:val="24"/>
          <w:szCs w:val="24"/>
          <w:lang w:val="en-GB"/>
        </w:rPr>
        <w:t xml:space="preserve"> provid</w:t>
      </w:r>
      <w:r>
        <w:rPr>
          <w:rFonts w:ascii="Times New Roman" w:hAnsi="Times New Roman" w:cs="Times New Roman"/>
          <w:noProof/>
          <w:sz w:val="24"/>
          <w:szCs w:val="24"/>
          <w:lang w:val="en-GB"/>
        </w:rPr>
        <w:t>e</w:t>
      </w:r>
      <w:r w:rsidRPr="00747C92">
        <w:rPr>
          <w:rFonts w:ascii="Times New Roman" w:hAnsi="Times New Roman" w:cs="Times New Roman"/>
          <w:noProof/>
          <w:sz w:val="24"/>
          <w:szCs w:val="24"/>
          <w:lang w:val="en-GB"/>
        </w:rPr>
        <w:t xml:space="preserve"> effective and </w:t>
      </w:r>
      <w:r w:rsidRPr="000B6BFA">
        <w:rPr>
          <w:rFonts w:ascii="Times New Roman" w:hAnsi="Times New Roman" w:cs="Times New Roman"/>
          <w:b/>
          <w:bCs/>
          <w:noProof/>
          <w:sz w:val="24"/>
          <w:szCs w:val="24"/>
          <w:lang w:val="en-GB"/>
        </w:rPr>
        <w:t>evidence-based responses to emerging challenges that undermine fundamental rights, civic participation and EU values</w:t>
      </w:r>
      <w:r w:rsidRPr="00747C92">
        <w:rPr>
          <w:rFonts w:ascii="Times New Roman" w:hAnsi="Times New Roman" w:cs="Times New Roman"/>
          <w:noProof/>
          <w:sz w:val="24"/>
          <w:szCs w:val="24"/>
          <w:lang w:val="en-GB"/>
        </w:rPr>
        <w:t xml:space="preserve">. </w:t>
      </w:r>
      <w:r w:rsidRPr="002D26FA">
        <w:rPr>
          <w:rFonts w:ascii="Times New Roman" w:hAnsi="Times New Roman" w:cs="Times New Roman"/>
          <w:noProof/>
          <w:sz w:val="24"/>
          <w:szCs w:val="24"/>
          <w:lang w:val="en-GB"/>
        </w:rPr>
        <w:t>T</w:t>
      </w:r>
      <w:r>
        <w:rPr>
          <w:rFonts w:ascii="Times New Roman" w:hAnsi="Times New Roman" w:cs="Times New Roman"/>
          <w:noProof/>
          <w:sz w:val="24"/>
          <w:szCs w:val="24"/>
          <w:lang w:val="en-GB"/>
        </w:rPr>
        <w:t>he programme</w:t>
      </w:r>
      <w:r w:rsidRPr="002D26FA">
        <w:rPr>
          <w:rFonts w:ascii="Times New Roman" w:hAnsi="Times New Roman" w:cs="Times New Roman"/>
          <w:noProof/>
          <w:sz w:val="24"/>
          <w:szCs w:val="24"/>
          <w:lang w:val="en-GB"/>
        </w:rPr>
        <w:t xml:space="preserve"> has been able to re</w:t>
      </w:r>
      <w:r>
        <w:rPr>
          <w:rFonts w:ascii="Times New Roman" w:hAnsi="Times New Roman" w:cs="Times New Roman"/>
          <w:noProof/>
          <w:sz w:val="24"/>
          <w:szCs w:val="24"/>
          <w:lang w:val="en-GB"/>
        </w:rPr>
        <w:t>act</w:t>
      </w:r>
      <w:r w:rsidRPr="002D26FA">
        <w:rPr>
          <w:rFonts w:ascii="Times New Roman" w:hAnsi="Times New Roman" w:cs="Times New Roman"/>
          <w:noProof/>
          <w:sz w:val="24"/>
          <w:szCs w:val="24"/>
          <w:lang w:val="en-GB"/>
        </w:rPr>
        <w:t xml:space="preserve"> to challenges posed </w:t>
      </w:r>
      <w:r>
        <w:rPr>
          <w:rFonts w:ascii="Times New Roman" w:hAnsi="Times New Roman" w:cs="Times New Roman"/>
          <w:noProof/>
          <w:sz w:val="24"/>
          <w:szCs w:val="24"/>
          <w:lang w:val="en-GB"/>
        </w:rPr>
        <w:t>by</w:t>
      </w:r>
      <w:r w:rsidRPr="002D26FA">
        <w:rPr>
          <w:rFonts w:ascii="Times New Roman" w:hAnsi="Times New Roman" w:cs="Times New Roman"/>
          <w:noProof/>
          <w:sz w:val="24"/>
          <w:szCs w:val="24"/>
          <w:lang w:val="en-GB"/>
        </w:rPr>
        <w:t xml:space="preserve">, for instance, the digital transition </w:t>
      </w:r>
      <w:r>
        <w:rPr>
          <w:rFonts w:ascii="Times New Roman" w:hAnsi="Times New Roman" w:cs="Times New Roman"/>
          <w:noProof/>
          <w:sz w:val="24"/>
          <w:szCs w:val="24"/>
          <w:lang w:val="en-GB"/>
        </w:rPr>
        <w:t>and</w:t>
      </w:r>
      <w:r w:rsidRPr="002D26FA">
        <w:rPr>
          <w:rFonts w:ascii="Times New Roman" w:hAnsi="Times New Roman" w:cs="Times New Roman"/>
          <w:noProof/>
          <w:sz w:val="24"/>
          <w:szCs w:val="24"/>
          <w:lang w:val="en-GB"/>
        </w:rPr>
        <w:t xml:space="preserve"> AI</w:t>
      </w:r>
      <w:r w:rsidRPr="006364C3">
        <w:rPr>
          <w:rFonts w:ascii="Times New Roman" w:hAnsi="Times New Roman" w:cs="Times New Roman"/>
          <w:noProof/>
          <w:sz w:val="24"/>
          <w:szCs w:val="24"/>
          <w:lang w:val="en-GB"/>
        </w:rPr>
        <w:t xml:space="preserve"> with dedicated call priorities</w:t>
      </w:r>
      <w:r w:rsidRPr="002D26FA">
        <w:rPr>
          <w:rFonts w:ascii="Times New Roman" w:hAnsi="Times New Roman" w:cs="Times New Roman"/>
          <w:noProof/>
          <w:sz w:val="24"/>
          <w:szCs w:val="24"/>
          <w:lang w:val="en-GB"/>
        </w:rPr>
        <w:t>. An example is financial support to national data protection authorities</w:t>
      </w:r>
      <w:r>
        <w:rPr>
          <w:rFonts w:ascii="Times New Roman" w:hAnsi="Times New Roman" w:cs="Times New Roman"/>
          <w:noProof/>
          <w:sz w:val="24"/>
          <w:szCs w:val="24"/>
          <w:lang w:val="en-GB"/>
        </w:rPr>
        <w:t>’ activities</w:t>
      </w:r>
      <w:r w:rsidRPr="002D26FA">
        <w:rPr>
          <w:rFonts w:ascii="Times New Roman" w:hAnsi="Times New Roman" w:cs="Times New Roman"/>
          <w:noProof/>
          <w:sz w:val="24"/>
          <w:szCs w:val="24"/>
          <w:lang w:val="en-GB"/>
        </w:rPr>
        <w:t xml:space="preserve"> to raise public awareness and facilitate SMEs’ compliance with the right to data protection in the digital age.</w:t>
      </w:r>
      <w:r>
        <w:rPr>
          <w:rFonts w:ascii="Times New Roman" w:hAnsi="Times New Roman" w:cs="Times New Roman"/>
          <w:noProof/>
          <w:sz w:val="24"/>
          <w:szCs w:val="24"/>
          <w:lang w:val="en-GB"/>
        </w:rPr>
        <w:t xml:space="preserve"> </w:t>
      </w:r>
    </w:p>
    <w:p w14:paraId="719C8D62" w14:textId="5997CDC7" w:rsidR="002C0325" w:rsidRDefault="00A968BC" w:rsidP="002C0325">
      <w:pPr>
        <w:spacing w:before="120" w:after="120"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rPr>
        <w:t>T</w:t>
      </w:r>
      <w:r w:rsidR="002C0325">
        <w:rPr>
          <w:rFonts w:ascii="Times New Roman" w:hAnsi="Times New Roman" w:cs="Times New Roman"/>
          <w:noProof/>
          <w:sz w:val="24"/>
          <w:szCs w:val="24"/>
        </w:rPr>
        <w:t xml:space="preserve">he </w:t>
      </w:r>
      <w:r>
        <w:rPr>
          <w:rFonts w:ascii="Times New Roman" w:hAnsi="Times New Roman" w:cs="Times New Roman"/>
          <w:noProof/>
          <w:sz w:val="24"/>
          <w:szCs w:val="24"/>
        </w:rPr>
        <w:t xml:space="preserve">COVID-19 </w:t>
      </w:r>
      <w:r w:rsidR="002C0325">
        <w:rPr>
          <w:rFonts w:ascii="Times New Roman" w:hAnsi="Times New Roman" w:cs="Times New Roman"/>
          <w:noProof/>
          <w:sz w:val="24"/>
          <w:szCs w:val="24"/>
        </w:rPr>
        <w:t xml:space="preserve">pandemic posed significant challenges for </w:t>
      </w:r>
      <w:r w:rsidR="002C0325">
        <w:rPr>
          <w:rFonts w:ascii="Times New Roman" w:hAnsi="Times New Roman" w:cs="Times New Roman"/>
          <w:noProof/>
          <w:sz w:val="24"/>
          <w:szCs w:val="24"/>
          <w:lang w:val="en-GB"/>
        </w:rPr>
        <w:t xml:space="preserve">CERV projects, some of which were extended or </w:t>
      </w:r>
      <w:r w:rsidR="002C0325" w:rsidRPr="004A72B5">
        <w:rPr>
          <w:rFonts w:ascii="Times New Roman" w:hAnsi="Times New Roman" w:cs="Times New Roman"/>
          <w:noProof/>
          <w:sz w:val="24"/>
          <w:szCs w:val="24"/>
          <w:lang w:val="en-GB"/>
        </w:rPr>
        <w:t>postpon</w:t>
      </w:r>
      <w:r w:rsidR="002C0325">
        <w:rPr>
          <w:rFonts w:ascii="Times New Roman" w:hAnsi="Times New Roman" w:cs="Times New Roman"/>
          <w:noProof/>
          <w:sz w:val="24"/>
          <w:szCs w:val="24"/>
          <w:lang w:val="en-GB"/>
        </w:rPr>
        <w:t>ed</w:t>
      </w:r>
      <w:r w:rsidR="002C0325" w:rsidRPr="004A72B5">
        <w:rPr>
          <w:rFonts w:ascii="Times New Roman" w:hAnsi="Times New Roman" w:cs="Times New Roman"/>
          <w:noProof/>
          <w:sz w:val="24"/>
          <w:szCs w:val="24"/>
          <w:lang w:val="en-GB"/>
        </w:rPr>
        <w:t xml:space="preserve"> or </w:t>
      </w:r>
      <w:r w:rsidR="002C0325">
        <w:rPr>
          <w:rFonts w:ascii="Times New Roman" w:hAnsi="Times New Roman" w:cs="Times New Roman"/>
          <w:noProof/>
          <w:sz w:val="24"/>
          <w:szCs w:val="24"/>
          <w:lang w:val="en-GB"/>
        </w:rPr>
        <w:t xml:space="preserve">activities </w:t>
      </w:r>
      <w:r w:rsidR="002C0325" w:rsidRPr="004A72B5">
        <w:rPr>
          <w:rFonts w:ascii="Times New Roman" w:hAnsi="Times New Roman" w:cs="Times New Roman"/>
          <w:noProof/>
          <w:sz w:val="24"/>
          <w:szCs w:val="24"/>
          <w:lang w:val="en-GB"/>
        </w:rPr>
        <w:t>replac</w:t>
      </w:r>
      <w:r w:rsidR="002C0325">
        <w:rPr>
          <w:rFonts w:ascii="Times New Roman" w:hAnsi="Times New Roman" w:cs="Times New Roman"/>
          <w:noProof/>
          <w:sz w:val="24"/>
          <w:szCs w:val="24"/>
          <w:lang w:val="en-GB"/>
        </w:rPr>
        <w:t>ed</w:t>
      </w:r>
      <w:r w:rsidR="002C0325" w:rsidRPr="004A72B5">
        <w:rPr>
          <w:rFonts w:ascii="Times New Roman" w:hAnsi="Times New Roman" w:cs="Times New Roman"/>
          <w:noProof/>
          <w:sz w:val="24"/>
          <w:szCs w:val="24"/>
          <w:lang w:val="en-GB"/>
        </w:rPr>
        <w:t xml:space="preserve">. </w:t>
      </w:r>
      <w:r w:rsidR="002C0325">
        <w:rPr>
          <w:rFonts w:ascii="Times New Roman" w:hAnsi="Times New Roman" w:cs="Times New Roman"/>
          <w:noProof/>
          <w:sz w:val="24"/>
          <w:szCs w:val="24"/>
          <w:lang w:val="en-GB"/>
        </w:rPr>
        <w:t xml:space="preserve">In addition, certain ongoing projects address </w:t>
      </w:r>
      <w:r w:rsidR="002C0325" w:rsidRPr="004A72B5">
        <w:rPr>
          <w:rFonts w:ascii="Times New Roman" w:hAnsi="Times New Roman" w:cs="Times New Roman"/>
          <w:noProof/>
          <w:sz w:val="24"/>
          <w:szCs w:val="24"/>
          <w:lang w:val="en-GB"/>
        </w:rPr>
        <w:t xml:space="preserve">the effects of the pandemic, for instance </w:t>
      </w:r>
      <w:r w:rsidR="002C0325">
        <w:rPr>
          <w:rFonts w:ascii="Times New Roman" w:hAnsi="Times New Roman" w:cs="Times New Roman"/>
          <w:noProof/>
          <w:sz w:val="24"/>
          <w:szCs w:val="24"/>
          <w:lang w:val="en-GB"/>
        </w:rPr>
        <w:t xml:space="preserve">by </w:t>
      </w:r>
      <w:r w:rsidR="002C0325" w:rsidRPr="004A72B5">
        <w:rPr>
          <w:rFonts w:ascii="Times New Roman" w:hAnsi="Times New Roman" w:cs="Times New Roman"/>
          <w:noProof/>
          <w:sz w:val="24"/>
          <w:szCs w:val="24"/>
          <w:lang w:val="en-GB"/>
        </w:rPr>
        <w:t xml:space="preserve">exploring how </w:t>
      </w:r>
      <w:r w:rsidR="002C0325">
        <w:rPr>
          <w:rFonts w:ascii="Times New Roman" w:hAnsi="Times New Roman" w:cs="Times New Roman"/>
          <w:noProof/>
          <w:sz w:val="24"/>
          <w:szCs w:val="24"/>
          <w:lang w:val="en-GB"/>
        </w:rPr>
        <w:t>it</w:t>
      </w:r>
      <w:r w:rsidR="002C0325" w:rsidRPr="004A72B5">
        <w:rPr>
          <w:rFonts w:ascii="Times New Roman" w:hAnsi="Times New Roman" w:cs="Times New Roman"/>
          <w:noProof/>
          <w:sz w:val="24"/>
          <w:szCs w:val="24"/>
          <w:lang w:val="en-GB"/>
        </w:rPr>
        <w:t xml:space="preserve"> </w:t>
      </w:r>
      <w:r w:rsidR="002C0325">
        <w:rPr>
          <w:rFonts w:ascii="Times New Roman" w:hAnsi="Times New Roman" w:cs="Times New Roman"/>
          <w:noProof/>
          <w:sz w:val="24"/>
          <w:szCs w:val="24"/>
          <w:lang w:val="en-GB"/>
        </w:rPr>
        <w:t xml:space="preserve">impacted </w:t>
      </w:r>
      <w:r w:rsidR="002C0325" w:rsidRPr="004A72B5">
        <w:rPr>
          <w:rFonts w:ascii="Times New Roman" w:hAnsi="Times New Roman" w:cs="Times New Roman"/>
          <w:noProof/>
          <w:sz w:val="24"/>
          <w:szCs w:val="24"/>
          <w:lang w:val="en-GB"/>
        </w:rPr>
        <w:t xml:space="preserve">the democratic debate and </w:t>
      </w:r>
      <w:r w:rsidR="002C0325">
        <w:rPr>
          <w:rFonts w:ascii="Times New Roman" w:hAnsi="Times New Roman" w:cs="Times New Roman"/>
          <w:noProof/>
          <w:sz w:val="24"/>
          <w:szCs w:val="24"/>
          <w:lang w:val="en-GB"/>
        </w:rPr>
        <w:t xml:space="preserve">the </w:t>
      </w:r>
      <w:r w:rsidR="002C0325" w:rsidRPr="004A72B5">
        <w:rPr>
          <w:rFonts w:ascii="Times New Roman" w:hAnsi="Times New Roman" w:cs="Times New Roman"/>
          <w:noProof/>
          <w:sz w:val="24"/>
          <w:szCs w:val="24"/>
          <w:lang w:val="en-GB"/>
        </w:rPr>
        <w:t xml:space="preserve">enjoyment of fundamental rights. </w:t>
      </w:r>
      <w:r w:rsidR="002C0325">
        <w:rPr>
          <w:rFonts w:ascii="Times New Roman" w:hAnsi="Times New Roman" w:cs="Times New Roman"/>
          <w:noProof/>
          <w:sz w:val="24"/>
          <w:szCs w:val="24"/>
          <w:lang w:val="en-GB"/>
        </w:rPr>
        <w:t xml:space="preserve">Similarly, some CERV calls have paid attention </w:t>
      </w:r>
      <w:r w:rsidR="002C0325" w:rsidRPr="004A72B5">
        <w:rPr>
          <w:rFonts w:ascii="Times New Roman" w:hAnsi="Times New Roman" w:cs="Times New Roman"/>
          <w:noProof/>
          <w:sz w:val="24"/>
          <w:szCs w:val="24"/>
          <w:lang w:val="en-GB"/>
        </w:rPr>
        <w:t>to addressing the consequences of the Russia’s war of aggression against Ukraine</w:t>
      </w:r>
      <w:r w:rsidR="002C0325">
        <w:rPr>
          <w:rFonts w:ascii="Times New Roman" w:hAnsi="Times New Roman" w:cs="Times New Roman"/>
          <w:noProof/>
          <w:sz w:val="24"/>
          <w:szCs w:val="24"/>
          <w:lang w:val="en-GB"/>
        </w:rPr>
        <w:t xml:space="preserve"> – a targeted</w:t>
      </w:r>
      <w:r w:rsidR="002C0325" w:rsidRPr="004A72B5">
        <w:rPr>
          <w:rFonts w:ascii="Times New Roman" w:hAnsi="Times New Roman" w:cs="Times New Roman"/>
          <w:noProof/>
          <w:sz w:val="24"/>
          <w:szCs w:val="24"/>
          <w:lang w:val="en-GB"/>
        </w:rPr>
        <w:t xml:space="preserve"> </w:t>
      </w:r>
      <w:r w:rsidR="002C0325">
        <w:rPr>
          <w:rFonts w:ascii="Times New Roman" w:hAnsi="Times New Roman" w:cs="Times New Roman"/>
          <w:noProof/>
          <w:sz w:val="24"/>
          <w:szCs w:val="24"/>
          <w:lang w:val="en-GB"/>
        </w:rPr>
        <w:t>c</w:t>
      </w:r>
      <w:r w:rsidR="002C0325" w:rsidRPr="004A72B5">
        <w:rPr>
          <w:rFonts w:ascii="Times New Roman" w:hAnsi="Times New Roman" w:cs="Times New Roman"/>
          <w:noProof/>
          <w:sz w:val="24"/>
          <w:szCs w:val="24"/>
          <w:lang w:val="en-GB"/>
        </w:rPr>
        <w:t>all for proposal</w:t>
      </w:r>
      <w:r w:rsidR="002C0325">
        <w:rPr>
          <w:rStyle w:val="FootnoteReference"/>
          <w:noProof/>
          <w:lang w:val="en-GB"/>
        </w:rPr>
        <w:footnoteReference w:id="48"/>
      </w:r>
      <w:r w:rsidR="002C0325" w:rsidRPr="004A72B5">
        <w:rPr>
          <w:rFonts w:ascii="Times New Roman" w:hAnsi="Times New Roman" w:cs="Times New Roman"/>
          <w:noProof/>
          <w:sz w:val="24"/>
          <w:szCs w:val="24"/>
          <w:lang w:val="en-GB"/>
        </w:rPr>
        <w:t xml:space="preserve"> </w:t>
      </w:r>
      <w:r w:rsidR="002C0325">
        <w:rPr>
          <w:rFonts w:ascii="Times New Roman" w:hAnsi="Times New Roman" w:cs="Times New Roman"/>
          <w:noProof/>
          <w:sz w:val="24"/>
          <w:szCs w:val="24"/>
          <w:lang w:val="en-GB"/>
        </w:rPr>
        <w:t>addressed</w:t>
      </w:r>
      <w:r w:rsidR="002C0325" w:rsidRPr="004A72B5">
        <w:rPr>
          <w:rFonts w:ascii="Times New Roman" w:hAnsi="Times New Roman" w:cs="Times New Roman"/>
          <w:noProof/>
          <w:sz w:val="24"/>
          <w:szCs w:val="24"/>
          <w:lang w:val="en-GB"/>
        </w:rPr>
        <w:t xml:space="preserve"> children’s needs and challenges in the EU</w:t>
      </w:r>
      <w:r w:rsidR="002C0325">
        <w:rPr>
          <w:rFonts w:ascii="Times New Roman" w:hAnsi="Times New Roman" w:cs="Times New Roman"/>
          <w:noProof/>
          <w:sz w:val="24"/>
          <w:szCs w:val="24"/>
          <w:lang w:val="en-GB"/>
        </w:rPr>
        <w:t xml:space="preserve"> and paid</w:t>
      </w:r>
      <w:r w:rsidR="002C0325" w:rsidRPr="004A72B5">
        <w:rPr>
          <w:rFonts w:ascii="Times New Roman" w:hAnsi="Times New Roman" w:cs="Times New Roman"/>
          <w:noProof/>
          <w:sz w:val="24"/>
          <w:szCs w:val="24"/>
          <w:lang w:val="en-GB"/>
        </w:rPr>
        <w:t xml:space="preserve"> attention to the rights of children with specific vulnerabilities, including those </w:t>
      </w:r>
      <w:r w:rsidR="002C0325">
        <w:rPr>
          <w:rFonts w:ascii="Times New Roman" w:hAnsi="Times New Roman" w:cs="Times New Roman"/>
          <w:noProof/>
          <w:sz w:val="24"/>
          <w:szCs w:val="24"/>
          <w:lang w:val="en-GB"/>
        </w:rPr>
        <w:t xml:space="preserve">having </w:t>
      </w:r>
      <w:r w:rsidR="002C0325" w:rsidRPr="004A72B5">
        <w:rPr>
          <w:rFonts w:ascii="Times New Roman" w:hAnsi="Times New Roman" w:cs="Times New Roman"/>
          <w:noProof/>
          <w:sz w:val="24"/>
          <w:szCs w:val="24"/>
          <w:lang w:val="en-GB"/>
        </w:rPr>
        <w:t>fled</w:t>
      </w:r>
      <w:r w:rsidR="002C0325">
        <w:rPr>
          <w:rFonts w:ascii="Times New Roman" w:hAnsi="Times New Roman" w:cs="Times New Roman"/>
          <w:noProof/>
          <w:sz w:val="24"/>
          <w:szCs w:val="24"/>
          <w:lang w:val="en-GB"/>
        </w:rPr>
        <w:t xml:space="preserve"> from</w:t>
      </w:r>
      <w:r w:rsidR="002C0325" w:rsidRPr="004A72B5">
        <w:rPr>
          <w:rFonts w:ascii="Times New Roman" w:hAnsi="Times New Roman" w:cs="Times New Roman"/>
          <w:noProof/>
          <w:sz w:val="24"/>
          <w:szCs w:val="24"/>
          <w:lang w:val="en-GB"/>
        </w:rPr>
        <w:t xml:space="preserve"> Ukraine.</w:t>
      </w:r>
    </w:p>
    <w:p w14:paraId="1DE8CFA1" w14:textId="77777777" w:rsidR="002C0325" w:rsidRPr="00F3591E" w:rsidRDefault="002C0325" w:rsidP="002C0325">
      <w:pPr>
        <w:spacing w:before="120" w:after="120"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Several CERV projects focus on</w:t>
      </w:r>
      <w:r w:rsidRPr="004A72B5">
        <w:rPr>
          <w:rFonts w:ascii="Times New Roman" w:hAnsi="Times New Roman" w:cs="Times New Roman"/>
          <w:noProof/>
          <w:sz w:val="24"/>
          <w:szCs w:val="24"/>
          <w:lang w:val="en-GB"/>
        </w:rPr>
        <w:t xml:space="preserve"> the protection of democratic freedom</w:t>
      </w:r>
      <w:r>
        <w:rPr>
          <w:rFonts w:ascii="Times New Roman" w:hAnsi="Times New Roman" w:cs="Times New Roman"/>
          <w:noProof/>
          <w:sz w:val="24"/>
          <w:szCs w:val="24"/>
          <w:lang w:val="en-GB"/>
        </w:rPr>
        <w:t>s</w:t>
      </w:r>
      <w:r w:rsidRPr="004A72B5">
        <w:rPr>
          <w:rFonts w:ascii="Times New Roman" w:hAnsi="Times New Roman" w:cs="Times New Roman"/>
          <w:noProof/>
          <w:sz w:val="24"/>
          <w:szCs w:val="24"/>
          <w:lang w:val="en-GB"/>
        </w:rPr>
        <w:t xml:space="preserve"> and the enjoyment of fundamental rights </w:t>
      </w:r>
      <w:r>
        <w:rPr>
          <w:rFonts w:ascii="Times New Roman" w:hAnsi="Times New Roman" w:cs="Times New Roman"/>
          <w:noProof/>
          <w:sz w:val="24"/>
          <w:szCs w:val="24"/>
          <w:lang w:val="en-GB"/>
        </w:rPr>
        <w:t>by</w:t>
      </w:r>
      <w:r w:rsidRPr="004A72B5">
        <w:rPr>
          <w:rFonts w:ascii="Times New Roman" w:hAnsi="Times New Roman" w:cs="Times New Roman"/>
          <w:noProof/>
          <w:sz w:val="24"/>
          <w:szCs w:val="24"/>
          <w:lang w:val="en-GB"/>
        </w:rPr>
        <w:t xml:space="preserve"> all, in particular</w:t>
      </w:r>
      <w:r>
        <w:rPr>
          <w:rFonts w:ascii="Times New Roman" w:hAnsi="Times New Roman" w:cs="Times New Roman"/>
          <w:noProof/>
          <w:sz w:val="24"/>
          <w:szCs w:val="24"/>
          <w:lang w:val="en-GB"/>
        </w:rPr>
        <w:t xml:space="preserve"> </w:t>
      </w:r>
      <w:r w:rsidRPr="004A72B5">
        <w:rPr>
          <w:rFonts w:ascii="Times New Roman" w:hAnsi="Times New Roman" w:cs="Times New Roman"/>
          <w:noProof/>
          <w:sz w:val="24"/>
          <w:szCs w:val="24"/>
          <w:lang w:val="en-GB"/>
        </w:rPr>
        <w:t>people in the most vulnerable situations.</w:t>
      </w:r>
      <w:r>
        <w:rPr>
          <w:rFonts w:ascii="Times New Roman" w:hAnsi="Times New Roman" w:cs="Times New Roman"/>
          <w:noProof/>
          <w:sz w:val="24"/>
          <w:szCs w:val="24"/>
          <w:lang w:val="en-GB"/>
        </w:rPr>
        <w:t xml:space="preserve"> </w:t>
      </w:r>
    </w:p>
    <w:p w14:paraId="0772240A" w14:textId="77777777" w:rsidR="002C0325" w:rsidRPr="00800B4B" w:rsidRDefault="002C0325" w:rsidP="002C0325">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sidRPr="00800B4B">
        <w:rPr>
          <w:rFonts w:ascii="Times New Roman" w:hAnsi="Times New Roman" w:cs="Times New Roman"/>
          <w:b/>
          <w:noProof/>
          <w:sz w:val="20"/>
          <w:szCs w:val="20"/>
        </w:rPr>
        <w:t>Empowering Children’s Participation in Malta</w:t>
      </w:r>
      <w:r w:rsidRPr="00800B4B">
        <w:rPr>
          <w:rStyle w:val="FootnoteReference"/>
          <w:noProof/>
          <w:sz w:val="20"/>
          <w:szCs w:val="20"/>
        </w:rPr>
        <w:footnoteReference w:id="49"/>
      </w:r>
      <w:r w:rsidRPr="00800B4B">
        <w:rPr>
          <w:rFonts w:ascii="Times New Roman" w:hAnsi="Times New Roman" w:cs="Times New Roman"/>
          <w:noProof/>
          <w:sz w:val="20"/>
          <w:szCs w:val="20"/>
        </w:rPr>
        <w:t xml:space="preserve"> aims to empower children to participate in democratic life</w:t>
      </w:r>
      <w:r>
        <w:rPr>
          <w:rFonts w:ascii="Times New Roman" w:hAnsi="Times New Roman" w:cs="Times New Roman"/>
          <w:noProof/>
          <w:sz w:val="20"/>
          <w:szCs w:val="20"/>
        </w:rPr>
        <w:t xml:space="preserve">, </w:t>
      </w:r>
      <w:r w:rsidRPr="00800B4B">
        <w:rPr>
          <w:rFonts w:ascii="Times New Roman" w:hAnsi="Times New Roman" w:cs="Times New Roman"/>
          <w:noProof/>
          <w:sz w:val="20"/>
          <w:szCs w:val="20"/>
        </w:rPr>
        <w:t>freely express views and influence decisions affecting them. The project aims to develop an online child participation platform, build the capacity of policymakers to improve child participation in decision-making</w:t>
      </w:r>
      <w:r>
        <w:rPr>
          <w:rFonts w:ascii="Times New Roman" w:hAnsi="Times New Roman" w:cs="Times New Roman"/>
          <w:noProof/>
          <w:sz w:val="20"/>
          <w:szCs w:val="20"/>
        </w:rPr>
        <w:t>,</w:t>
      </w:r>
      <w:r w:rsidRPr="00800B4B">
        <w:rPr>
          <w:rFonts w:ascii="Times New Roman" w:hAnsi="Times New Roman" w:cs="Times New Roman"/>
          <w:noProof/>
          <w:sz w:val="20"/>
          <w:szCs w:val="20"/>
        </w:rPr>
        <w:t xml:space="preserve"> and raise awareness about children</w:t>
      </w:r>
      <w:r>
        <w:rPr>
          <w:rFonts w:ascii="Times New Roman" w:hAnsi="Times New Roman" w:cs="Times New Roman"/>
          <w:noProof/>
          <w:sz w:val="20"/>
          <w:szCs w:val="20"/>
        </w:rPr>
        <w:t>’s right</w:t>
      </w:r>
      <w:r w:rsidRPr="00800B4B">
        <w:rPr>
          <w:rFonts w:ascii="Times New Roman" w:hAnsi="Times New Roman" w:cs="Times New Roman"/>
          <w:noProof/>
          <w:sz w:val="20"/>
          <w:szCs w:val="20"/>
        </w:rPr>
        <w:t xml:space="preserve"> to be heard.</w:t>
      </w:r>
    </w:p>
    <w:p w14:paraId="40DD5139" w14:textId="77777777" w:rsidR="002C0325" w:rsidRPr="00800B4B" w:rsidRDefault="002C0325" w:rsidP="002C0325">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sidRPr="00800B4B">
        <w:rPr>
          <w:rFonts w:ascii="Times New Roman" w:hAnsi="Times New Roman" w:cs="Times New Roman"/>
          <w:b/>
          <w:noProof/>
          <w:sz w:val="20"/>
          <w:szCs w:val="20"/>
        </w:rPr>
        <w:t>Gender and Media - Rewriting the story: tackling media gender stereotypes in political and public life</w:t>
      </w:r>
      <w:r w:rsidRPr="00800B4B">
        <w:rPr>
          <w:rStyle w:val="FootnoteReference"/>
          <w:noProof/>
          <w:sz w:val="20"/>
          <w:szCs w:val="20"/>
        </w:rPr>
        <w:footnoteReference w:id="50"/>
      </w:r>
      <w:r w:rsidRPr="00800B4B">
        <w:rPr>
          <w:rFonts w:ascii="Times New Roman" w:hAnsi="Times New Roman" w:cs="Times New Roman"/>
          <w:noProof/>
          <w:sz w:val="20"/>
          <w:szCs w:val="20"/>
        </w:rPr>
        <w:t>: working with journalists, media managers, journalists’ associations, gender experts, self-regulatory media bodies, women in political life, academics and the next generation of media professionals, the project seeks to initiate reforms in European media with regard to newsroom culture</w:t>
      </w:r>
      <w:r>
        <w:rPr>
          <w:rFonts w:ascii="Times New Roman" w:hAnsi="Times New Roman" w:cs="Times New Roman"/>
          <w:noProof/>
          <w:sz w:val="20"/>
          <w:szCs w:val="20"/>
        </w:rPr>
        <w:t xml:space="preserve"> and</w:t>
      </w:r>
      <w:r w:rsidRPr="00800B4B">
        <w:rPr>
          <w:rFonts w:ascii="Times New Roman" w:hAnsi="Times New Roman" w:cs="Times New Roman"/>
          <w:noProof/>
          <w:sz w:val="20"/>
          <w:szCs w:val="20"/>
        </w:rPr>
        <w:t xml:space="preserve"> policies to improve practices on </w:t>
      </w:r>
      <w:r>
        <w:rPr>
          <w:rFonts w:ascii="Times New Roman" w:hAnsi="Times New Roman" w:cs="Times New Roman"/>
          <w:noProof/>
          <w:sz w:val="20"/>
          <w:szCs w:val="20"/>
        </w:rPr>
        <w:t xml:space="preserve">the </w:t>
      </w:r>
      <w:r w:rsidRPr="00800B4B">
        <w:rPr>
          <w:rFonts w:ascii="Times New Roman" w:hAnsi="Times New Roman" w:cs="Times New Roman"/>
          <w:noProof/>
          <w:sz w:val="20"/>
          <w:szCs w:val="20"/>
        </w:rPr>
        <w:t>portrayal of women and men in public life, allowing users to make more informed decisions on political participation.</w:t>
      </w:r>
    </w:p>
    <w:p w14:paraId="6216E519" w14:textId="682C5A51" w:rsidR="002C0325" w:rsidRDefault="002C0325" w:rsidP="002C0325">
      <w:pPr>
        <w:spacing w:before="120" w:after="120"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consultations </w:t>
      </w:r>
      <w:r w:rsidR="007F470D">
        <w:rPr>
          <w:rFonts w:ascii="Times New Roman" w:eastAsia="Times New Roman" w:hAnsi="Times New Roman"/>
          <w:noProof/>
          <w:sz w:val="24"/>
          <w:szCs w:val="24"/>
        </w:rPr>
        <w:t xml:space="preserve">conducted in support of this report </w:t>
      </w:r>
      <w:r>
        <w:rPr>
          <w:rFonts w:ascii="Times New Roman" w:hAnsi="Times New Roman" w:cs="Times New Roman"/>
          <w:noProof/>
          <w:sz w:val="24"/>
          <w:szCs w:val="24"/>
          <w:lang w:val="en-GB"/>
        </w:rPr>
        <w:t>show that the Commission needs to continue fostering the</w:t>
      </w:r>
      <w:r w:rsidRPr="004A72B5">
        <w:rPr>
          <w:rFonts w:ascii="Times New Roman" w:hAnsi="Times New Roman" w:cs="Times New Roman"/>
          <w:noProof/>
          <w:sz w:val="24"/>
          <w:szCs w:val="24"/>
          <w:lang w:val="en-GB"/>
        </w:rPr>
        <w:t xml:space="preserve"> accessibility of the programme </w:t>
      </w:r>
      <w:r>
        <w:rPr>
          <w:rFonts w:ascii="Times New Roman" w:hAnsi="Times New Roman" w:cs="Times New Roman"/>
          <w:noProof/>
          <w:sz w:val="24"/>
          <w:szCs w:val="24"/>
          <w:lang w:val="en-GB"/>
        </w:rPr>
        <w:t>for</w:t>
      </w:r>
      <w:r w:rsidRPr="004A72B5">
        <w:rPr>
          <w:rFonts w:ascii="Times New Roman" w:hAnsi="Times New Roman" w:cs="Times New Roman"/>
          <w:noProof/>
          <w:sz w:val="24"/>
          <w:szCs w:val="24"/>
          <w:lang w:val="en-GB"/>
        </w:rPr>
        <w:t xml:space="preserve"> potential applicants </w:t>
      </w:r>
      <w:r>
        <w:rPr>
          <w:rFonts w:ascii="Times New Roman" w:hAnsi="Times New Roman" w:cs="Times New Roman"/>
          <w:noProof/>
          <w:sz w:val="24"/>
          <w:szCs w:val="24"/>
          <w:lang w:val="en-GB"/>
        </w:rPr>
        <w:t xml:space="preserve">and </w:t>
      </w:r>
      <w:r w:rsidRPr="004A72B5">
        <w:rPr>
          <w:rFonts w:ascii="Times New Roman" w:hAnsi="Times New Roman" w:cs="Times New Roman"/>
          <w:noProof/>
          <w:sz w:val="24"/>
          <w:szCs w:val="24"/>
          <w:lang w:val="en-GB"/>
        </w:rPr>
        <w:t>the continuity</w:t>
      </w:r>
      <w:r>
        <w:rPr>
          <w:rFonts w:ascii="Times New Roman" w:hAnsi="Times New Roman" w:cs="Times New Roman"/>
          <w:noProof/>
          <w:sz w:val="24"/>
          <w:szCs w:val="24"/>
          <w:lang w:val="en-GB"/>
        </w:rPr>
        <w:t xml:space="preserve"> of funding</w:t>
      </w:r>
      <w:r w:rsidRPr="004A72B5">
        <w:rPr>
          <w:rFonts w:ascii="Times New Roman" w:hAnsi="Times New Roman" w:cs="Times New Roman"/>
          <w:noProof/>
          <w:sz w:val="24"/>
          <w:szCs w:val="24"/>
          <w:lang w:val="en-GB"/>
        </w:rPr>
        <w:t xml:space="preserve"> for the beneficiaries. </w:t>
      </w:r>
      <w:r>
        <w:rPr>
          <w:rFonts w:ascii="Times New Roman" w:hAnsi="Times New Roman" w:cs="Times New Roman"/>
          <w:noProof/>
          <w:sz w:val="24"/>
          <w:szCs w:val="24"/>
          <w:lang w:val="en-GB"/>
        </w:rPr>
        <w:t>F</w:t>
      </w:r>
      <w:r w:rsidRPr="004A72B5">
        <w:rPr>
          <w:rFonts w:ascii="Times New Roman" w:hAnsi="Times New Roman" w:cs="Times New Roman"/>
          <w:noProof/>
          <w:sz w:val="24"/>
          <w:szCs w:val="24"/>
          <w:lang w:val="en-GB"/>
        </w:rPr>
        <w:t xml:space="preserve">unding should </w:t>
      </w:r>
      <w:r>
        <w:rPr>
          <w:rFonts w:ascii="Times New Roman" w:hAnsi="Times New Roman" w:cs="Times New Roman"/>
          <w:noProof/>
          <w:sz w:val="24"/>
          <w:szCs w:val="24"/>
          <w:lang w:val="en-GB"/>
        </w:rPr>
        <w:t>remain</w:t>
      </w:r>
      <w:r w:rsidRPr="004A72B5">
        <w:rPr>
          <w:rFonts w:ascii="Times New Roman" w:hAnsi="Times New Roman" w:cs="Times New Roman"/>
          <w:noProof/>
          <w:sz w:val="24"/>
          <w:szCs w:val="24"/>
          <w:lang w:val="en-GB"/>
        </w:rPr>
        <w:t xml:space="preserve"> aligned with the policy needs on the ground, with the possibility to cover new </w:t>
      </w:r>
      <w:r>
        <w:rPr>
          <w:rFonts w:ascii="Times New Roman" w:hAnsi="Times New Roman" w:cs="Times New Roman"/>
          <w:noProof/>
          <w:sz w:val="24"/>
          <w:szCs w:val="24"/>
          <w:lang w:val="en-GB"/>
        </w:rPr>
        <w:t xml:space="preserve">and emerging </w:t>
      </w:r>
      <w:r w:rsidRPr="004A72B5">
        <w:rPr>
          <w:rFonts w:ascii="Times New Roman" w:hAnsi="Times New Roman" w:cs="Times New Roman"/>
          <w:noProof/>
          <w:sz w:val="24"/>
          <w:szCs w:val="24"/>
          <w:lang w:val="en-GB"/>
        </w:rPr>
        <w:t>needs</w:t>
      </w:r>
      <w:r>
        <w:rPr>
          <w:rFonts w:ascii="Times New Roman" w:hAnsi="Times New Roman" w:cs="Times New Roman"/>
          <w:noProof/>
          <w:sz w:val="24"/>
          <w:szCs w:val="24"/>
          <w:lang w:val="en-GB"/>
        </w:rPr>
        <w:t xml:space="preserve">. </w:t>
      </w:r>
      <w:r w:rsidRPr="004A72B5">
        <w:rPr>
          <w:rFonts w:ascii="Times New Roman" w:hAnsi="Times New Roman" w:cs="Times New Roman"/>
          <w:noProof/>
          <w:sz w:val="24"/>
          <w:szCs w:val="24"/>
          <w:lang w:val="en-GB"/>
        </w:rPr>
        <w:t>In view of this, developing synergies between national</w:t>
      </w:r>
      <w:r>
        <w:rPr>
          <w:rFonts w:ascii="Times New Roman" w:hAnsi="Times New Roman" w:cs="Times New Roman"/>
          <w:noProof/>
          <w:sz w:val="24"/>
          <w:szCs w:val="24"/>
          <w:lang w:val="en-GB"/>
        </w:rPr>
        <w:t xml:space="preserve"> funding </w:t>
      </w:r>
      <w:r w:rsidRPr="004A72B5">
        <w:rPr>
          <w:rFonts w:ascii="Times New Roman" w:hAnsi="Times New Roman" w:cs="Times New Roman"/>
          <w:noProof/>
          <w:sz w:val="24"/>
          <w:szCs w:val="24"/>
          <w:lang w:val="en-GB"/>
        </w:rPr>
        <w:t xml:space="preserve">and EU level </w:t>
      </w:r>
      <w:r>
        <w:rPr>
          <w:rFonts w:ascii="Times New Roman" w:hAnsi="Times New Roman" w:cs="Times New Roman"/>
          <w:noProof/>
          <w:sz w:val="24"/>
          <w:szCs w:val="24"/>
          <w:lang w:val="en-GB"/>
        </w:rPr>
        <w:t xml:space="preserve">funding from other EU funding programmes, </w:t>
      </w:r>
      <w:r w:rsidRPr="004A72B5">
        <w:rPr>
          <w:rFonts w:ascii="Times New Roman" w:hAnsi="Times New Roman" w:cs="Times New Roman"/>
          <w:noProof/>
          <w:sz w:val="24"/>
          <w:szCs w:val="24"/>
          <w:lang w:val="en-GB"/>
        </w:rPr>
        <w:t xml:space="preserve">remains a key </w:t>
      </w:r>
      <w:r>
        <w:rPr>
          <w:rFonts w:ascii="Times New Roman" w:hAnsi="Times New Roman" w:cs="Times New Roman"/>
          <w:noProof/>
          <w:sz w:val="24"/>
          <w:szCs w:val="24"/>
          <w:lang w:val="en-GB"/>
        </w:rPr>
        <w:t>objective for optimising the achievement of fundamental rights policy priorities</w:t>
      </w:r>
      <w:r w:rsidRPr="004A72B5">
        <w:rPr>
          <w:rFonts w:ascii="Times New Roman" w:hAnsi="Times New Roman" w:cs="Times New Roman"/>
          <w:noProof/>
          <w:sz w:val="24"/>
          <w:szCs w:val="24"/>
          <w:lang w:val="en-GB"/>
        </w:rPr>
        <w:t xml:space="preserve">. </w:t>
      </w:r>
    </w:p>
    <w:p w14:paraId="2C7F346B" w14:textId="77777777" w:rsidR="003503F4" w:rsidRPr="0033586E" w:rsidRDefault="003503F4" w:rsidP="002C0325">
      <w:pPr>
        <w:spacing w:before="120" w:after="120" w:line="276" w:lineRule="auto"/>
        <w:jc w:val="both"/>
        <w:rPr>
          <w:rFonts w:ascii="Times New Roman" w:hAnsi="Times New Roman" w:cs="Times New Roman"/>
          <w:noProof/>
          <w:sz w:val="24"/>
          <w:szCs w:val="24"/>
          <w:lang w:val="en-GB"/>
        </w:rPr>
      </w:pPr>
    </w:p>
    <w:p w14:paraId="235FCA86" w14:textId="2378687D" w:rsidR="002C0325" w:rsidRPr="009D456C" w:rsidRDefault="002C0325" w:rsidP="002C0325">
      <w:pPr>
        <w:pStyle w:val="Heading1"/>
        <w:rPr>
          <w:noProof/>
        </w:rPr>
      </w:pPr>
      <w:bookmarkStart w:id="12" w:name="_Toc178607504"/>
      <w:bookmarkStart w:id="13" w:name="_Hlk144715065"/>
      <w:bookmarkStart w:id="14" w:name="_Hlk146031750"/>
      <w:bookmarkEnd w:id="5"/>
      <w:bookmarkEnd w:id="11"/>
      <w:r w:rsidRPr="009D456C">
        <w:rPr>
          <w:noProof/>
        </w:rPr>
        <w:t>Promotion and protection of fundamental rights through other EU funding</w:t>
      </w:r>
      <w:r w:rsidR="007F69D2">
        <w:rPr>
          <w:noProof/>
        </w:rPr>
        <w:t xml:space="preserve"> programmes</w:t>
      </w:r>
      <w:bookmarkEnd w:id="12"/>
    </w:p>
    <w:p w14:paraId="2CE93360" w14:textId="2F851A9F" w:rsidR="002C0325" w:rsidRPr="006C1C91" w:rsidRDefault="002C0325" w:rsidP="002C0325">
      <w:pPr>
        <w:pStyle w:val="Style1"/>
        <w:rPr>
          <w:noProof/>
        </w:rPr>
      </w:pPr>
      <w:bookmarkStart w:id="15" w:name="_Toc147916084"/>
      <w:r w:rsidRPr="000E61C1">
        <w:rPr>
          <w:noProof/>
        </w:rPr>
        <w:t xml:space="preserve">EU funding contributes to the promotion and protection of fundamental rights </w:t>
      </w:r>
      <w:r>
        <w:rPr>
          <w:noProof/>
        </w:rPr>
        <w:t xml:space="preserve">across </w:t>
      </w:r>
      <w:r w:rsidR="007F69D2">
        <w:rPr>
          <w:noProof/>
        </w:rPr>
        <w:t>different</w:t>
      </w:r>
      <w:r w:rsidR="007F69D2" w:rsidRPr="000E61C1">
        <w:rPr>
          <w:noProof/>
        </w:rPr>
        <w:t xml:space="preserve"> </w:t>
      </w:r>
      <w:r w:rsidRPr="000E61C1">
        <w:rPr>
          <w:noProof/>
        </w:rPr>
        <w:t>policy areas</w:t>
      </w:r>
      <w:r>
        <w:rPr>
          <w:noProof/>
        </w:rPr>
        <w:t>. This chapter describes the relevant funding made available under the Justice programme, Horizon Europe, Erasmus+, Digital Europe and other programmes. It also looks at new funding mechanisms that make EU funding conditional on national reforms and examines</w:t>
      </w:r>
      <w:r w:rsidRPr="00180011">
        <w:rPr>
          <w:noProof/>
        </w:rPr>
        <w:t xml:space="preserve"> the </w:t>
      </w:r>
      <w:r>
        <w:rPr>
          <w:noProof/>
        </w:rPr>
        <w:t>Charter HEC</w:t>
      </w:r>
      <w:r w:rsidRPr="00180011">
        <w:rPr>
          <w:noProof/>
        </w:rPr>
        <w:t xml:space="preserve"> in </w:t>
      </w:r>
      <w:r>
        <w:rPr>
          <w:noProof/>
        </w:rPr>
        <w:t xml:space="preserve">promoting </w:t>
      </w:r>
      <w:r w:rsidRPr="00180011">
        <w:rPr>
          <w:noProof/>
        </w:rPr>
        <w:t>the respect for fundamental rights</w:t>
      </w:r>
      <w:r>
        <w:rPr>
          <w:noProof/>
        </w:rPr>
        <w:t xml:space="preserve"> in the implementation of the EU funds covered by the Common Provisions Regulation</w:t>
      </w:r>
      <w:r>
        <w:rPr>
          <w:rStyle w:val="FootnoteReference"/>
          <w:noProof/>
        </w:rPr>
        <w:footnoteReference w:id="51"/>
      </w:r>
      <w:r>
        <w:rPr>
          <w:noProof/>
        </w:rPr>
        <w:t xml:space="preserve">. </w:t>
      </w:r>
    </w:p>
    <w:p w14:paraId="0964A24D" w14:textId="77777777" w:rsidR="002C0325" w:rsidRPr="006E2709" w:rsidRDefault="002C0325" w:rsidP="002C0325">
      <w:pPr>
        <w:pStyle w:val="Headerlevel2"/>
      </w:pPr>
      <w:r>
        <w:t xml:space="preserve"> </w:t>
      </w:r>
      <w:r w:rsidRPr="004907CC">
        <w:t xml:space="preserve">The Justice </w:t>
      </w:r>
      <w:r>
        <w:t>p</w:t>
      </w:r>
      <w:r w:rsidRPr="004907CC">
        <w:t>rogramme</w:t>
      </w:r>
      <w:bookmarkEnd w:id="15"/>
      <w:r>
        <w:t xml:space="preserve"> </w:t>
      </w:r>
    </w:p>
    <w:p w14:paraId="74B30ED4" w14:textId="77777777" w:rsidR="002C0325" w:rsidRDefault="002C0325" w:rsidP="002C0325">
      <w:pPr>
        <w:spacing w:line="276" w:lineRule="auto"/>
        <w:jc w:val="both"/>
        <w:rPr>
          <w:rFonts w:ascii="Times New Roman" w:hAnsi="Times New Roman"/>
          <w:noProof/>
          <w:sz w:val="24"/>
          <w:szCs w:val="24"/>
        </w:rPr>
      </w:pPr>
      <w:r w:rsidRPr="002629A0">
        <w:rPr>
          <w:rFonts w:ascii="Times New Roman" w:hAnsi="Times New Roman"/>
          <w:noProof/>
          <w:sz w:val="24"/>
          <w:szCs w:val="24"/>
        </w:rPr>
        <w:t>National judges and</w:t>
      </w:r>
      <w:r>
        <w:rPr>
          <w:rFonts w:ascii="Times New Roman" w:hAnsi="Times New Roman"/>
          <w:noProof/>
          <w:sz w:val="24"/>
          <w:szCs w:val="24"/>
        </w:rPr>
        <w:t xml:space="preserve"> other</w:t>
      </w:r>
      <w:r w:rsidRPr="002629A0" w:rsidDel="005B036D">
        <w:rPr>
          <w:rFonts w:ascii="Times New Roman" w:hAnsi="Times New Roman"/>
          <w:noProof/>
          <w:sz w:val="24"/>
          <w:szCs w:val="24"/>
        </w:rPr>
        <w:t xml:space="preserve"> </w:t>
      </w:r>
      <w:r w:rsidRPr="002629A0">
        <w:rPr>
          <w:rFonts w:ascii="Times New Roman" w:hAnsi="Times New Roman"/>
          <w:noProof/>
          <w:sz w:val="24"/>
          <w:szCs w:val="24"/>
        </w:rPr>
        <w:t xml:space="preserve">justice practitioners play an important role in developing a European area of justice based on the rule of law, mutual recognition, mutual trust and </w:t>
      </w:r>
      <w:r>
        <w:rPr>
          <w:rFonts w:ascii="Times New Roman" w:hAnsi="Times New Roman"/>
          <w:noProof/>
          <w:sz w:val="24"/>
          <w:szCs w:val="24"/>
        </w:rPr>
        <w:t xml:space="preserve">judicial </w:t>
      </w:r>
      <w:r w:rsidRPr="002629A0">
        <w:rPr>
          <w:rFonts w:ascii="Times New Roman" w:hAnsi="Times New Roman"/>
          <w:noProof/>
          <w:sz w:val="24"/>
          <w:szCs w:val="24"/>
        </w:rPr>
        <w:t>cooperation</w:t>
      </w:r>
      <w:r>
        <w:rPr>
          <w:rFonts w:ascii="Times New Roman" w:hAnsi="Times New Roman"/>
          <w:noProof/>
          <w:sz w:val="24"/>
          <w:szCs w:val="24"/>
        </w:rPr>
        <w:t>. As acknowledged in the 2023 Charter report on effective legal protection and access to justice</w:t>
      </w:r>
      <w:r>
        <w:rPr>
          <w:rStyle w:val="FootnoteReference"/>
          <w:noProof/>
        </w:rPr>
        <w:footnoteReference w:id="52"/>
      </w:r>
      <w:r>
        <w:rPr>
          <w:rFonts w:ascii="Times New Roman" w:hAnsi="Times New Roman"/>
          <w:noProof/>
          <w:sz w:val="24"/>
          <w:szCs w:val="24"/>
        </w:rPr>
        <w:t>, they have a central role in ensuring that</w:t>
      </w:r>
      <w:r w:rsidRPr="00DD0E0E">
        <w:rPr>
          <w:rFonts w:ascii="Times New Roman" w:hAnsi="Times New Roman"/>
          <w:noProof/>
          <w:sz w:val="24"/>
          <w:szCs w:val="24"/>
        </w:rPr>
        <w:t xml:space="preserve"> individuals are able to effectively assert their rights, including fundamental rights</w:t>
      </w:r>
      <w:r>
        <w:rPr>
          <w:rFonts w:ascii="Times New Roman" w:hAnsi="Times New Roman"/>
          <w:noProof/>
          <w:sz w:val="24"/>
          <w:szCs w:val="24"/>
        </w:rPr>
        <w:t>, in line with Article 47 to 50 of the Charter</w:t>
      </w:r>
      <w:r w:rsidRPr="00DD0E0E">
        <w:rPr>
          <w:rFonts w:ascii="Times New Roman" w:hAnsi="Times New Roman"/>
          <w:noProof/>
          <w:sz w:val="24"/>
          <w:szCs w:val="24"/>
        </w:rPr>
        <w:t>.</w:t>
      </w:r>
      <w:r>
        <w:rPr>
          <w:rFonts w:ascii="Times New Roman" w:hAnsi="Times New Roman"/>
          <w:noProof/>
          <w:sz w:val="24"/>
          <w:szCs w:val="24"/>
        </w:rPr>
        <w:t xml:space="preserve"> </w:t>
      </w:r>
    </w:p>
    <w:p w14:paraId="144CD753" w14:textId="77777777" w:rsidR="002C0325" w:rsidRPr="00970388" w:rsidRDefault="002C0325" w:rsidP="002C0325">
      <w:pPr>
        <w:spacing w:line="276" w:lineRule="auto"/>
        <w:jc w:val="both"/>
        <w:rPr>
          <w:rFonts w:ascii="Times New Roman" w:hAnsi="Times New Roman"/>
          <w:noProof/>
          <w:sz w:val="24"/>
          <w:szCs w:val="24"/>
        </w:rPr>
      </w:pPr>
      <w:r w:rsidRPr="00970388">
        <w:rPr>
          <w:rFonts w:ascii="Times New Roman" w:hAnsi="Times New Roman"/>
          <w:noProof/>
          <w:sz w:val="24"/>
          <w:szCs w:val="24"/>
        </w:rPr>
        <w:t>The Justice programme</w:t>
      </w:r>
      <w:r w:rsidRPr="00970388">
        <w:rPr>
          <w:rStyle w:val="FootnoteReference"/>
          <w:noProof/>
        </w:rPr>
        <w:footnoteReference w:id="53"/>
      </w:r>
      <w:r w:rsidRPr="00970388">
        <w:rPr>
          <w:rFonts w:ascii="Times New Roman" w:hAnsi="Times New Roman"/>
          <w:noProof/>
          <w:sz w:val="24"/>
          <w:szCs w:val="24"/>
        </w:rPr>
        <w:t>,</w:t>
      </w:r>
      <w:r w:rsidRPr="00970388">
        <w:rPr>
          <w:rFonts w:ascii="Times New Roman" w:hAnsi="Times New Roman" w:cs="Times New Roman"/>
          <w:noProof/>
          <w:sz w:val="24"/>
          <w:szCs w:val="24"/>
        </w:rPr>
        <w:t xml:space="preserve"> </w:t>
      </w:r>
      <w:r w:rsidRPr="00970388">
        <w:rPr>
          <w:rFonts w:ascii="Times New Roman" w:eastAsia="Times New Roman" w:hAnsi="Times New Roman" w:cs="Times New Roman"/>
          <w:noProof/>
          <w:sz w:val="24"/>
          <w:szCs w:val="24"/>
        </w:rPr>
        <w:t xml:space="preserve">with a total budget of EUR 296.8 million for 2021-2027, </w:t>
      </w:r>
      <w:r w:rsidRPr="00970388">
        <w:rPr>
          <w:rFonts w:ascii="Times New Roman" w:hAnsi="Times New Roman"/>
          <w:noProof/>
          <w:sz w:val="24"/>
          <w:szCs w:val="24"/>
        </w:rPr>
        <w:t>funds the training of justice practitioners</w:t>
      </w:r>
      <w:r>
        <w:rPr>
          <w:rFonts w:ascii="Times New Roman" w:hAnsi="Times New Roman"/>
          <w:noProof/>
          <w:sz w:val="24"/>
          <w:szCs w:val="24"/>
        </w:rPr>
        <w:t xml:space="preserve">, </w:t>
      </w:r>
      <w:r w:rsidRPr="00970388">
        <w:rPr>
          <w:rFonts w:ascii="Times New Roman" w:hAnsi="Times New Roman"/>
          <w:noProof/>
          <w:sz w:val="24"/>
          <w:szCs w:val="24"/>
        </w:rPr>
        <w:t>supports judicial cooperation in civil and criminal matters</w:t>
      </w:r>
      <w:r>
        <w:rPr>
          <w:rStyle w:val="FootnoteReference"/>
          <w:noProof/>
        </w:rPr>
        <w:footnoteReference w:id="54"/>
      </w:r>
      <w:r w:rsidRPr="00970388">
        <w:rPr>
          <w:rFonts w:ascii="Times New Roman" w:hAnsi="Times New Roman"/>
          <w:noProof/>
          <w:sz w:val="24"/>
          <w:szCs w:val="24"/>
        </w:rPr>
        <w:t xml:space="preserve"> and effective access to justice for citizens and businesses. </w:t>
      </w:r>
    </w:p>
    <w:p w14:paraId="62ED4BD0" w14:textId="205B1377" w:rsidR="002C0325" w:rsidRPr="00144AEE" w:rsidRDefault="002C0325" w:rsidP="002C0325">
      <w:pPr>
        <w:spacing w:line="276" w:lineRule="auto"/>
        <w:jc w:val="both"/>
        <w:rPr>
          <w:rFonts w:ascii="Times New Roman" w:hAnsi="Times New Roman" w:cs="Times New Roman"/>
          <w:noProof/>
          <w:sz w:val="24"/>
          <w:szCs w:val="24"/>
        </w:rPr>
      </w:pPr>
      <w:r w:rsidRPr="00970388">
        <w:rPr>
          <w:rFonts w:ascii="Times New Roman" w:hAnsi="Times New Roman"/>
          <w:noProof/>
          <w:sz w:val="24"/>
          <w:szCs w:val="24"/>
        </w:rPr>
        <w:t xml:space="preserve">The largest share of the budget is dedicated to </w:t>
      </w:r>
      <w:r w:rsidRPr="004B0390">
        <w:rPr>
          <w:rFonts w:ascii="Times New Roman" w:hAnsi="Times New Roman"/>
          <w:b/>
          <w:bCs/>
          <w:noProof/>
          <w:sz w:val="24"/>
          <w:szCs w:val="24"/>
        </w:rPr>
        <w:t>judicial training</w:t>
      </w:r>
      <w:r w:rsidRPr="00970388">
        <w:rPr>
          <w:rFonts w:ascii="Times New Roman" w:hAnsi="Times New Roman"/>
          <w:noProof/>
          <w:sz w:val="24"/>
          <w:szCs w:val="24"/>
        </w:rPr>
        <w:t>, implemented in line with the Judicial Training Strategy 2021-2024</w:t>
      </w:r>
      <w:r w:rsidRPr="00970388">
        <w:rPr>
          <w:rStyle w:val="FootnoteReference"/>
          <w:noProof/>
        </w:rPr>
        <w:footnoteReference w:id="55"/>
      </w:r>
      <w:r w:rsidRPr="00970388">
        <w:rPr>
          <w:rFonts w:ascii="Times New Roman" w:hAnsi="Times New Roman"/>
          <w:noProof/>
          <w:sz w:val="24"/>
          <w:szCs w:val="24"/>
        </w:rPr>
        <w:t xml:space="preserve">. The </w:t>
      </w:r>
      <w:r w:rsidRPr="004B0390">
        <w:rPr>
          <w:rFonts w:ascii="Times New Roman" w:hAnsi="Times New Roman"/>
          <w:noProof/>
          <w:sz w:val="24"/>
          <w:szCs w:val="24"/>
        </w:rPr>
        <w:t>call for proposals for action grants</w:t>
      </w:r>
      <w:r w:rsidRPr="000B6BFA">
        <w:rPr>
          <w:rFonts w:ascii="Times New Roman" w:hAnsi="Times New Roman"/>
          <w:noProof/>
          <w:sz w:val="24"/>
          <w:szCs w:val="24"/>
        </w:rPr>
        <w:t xml:space="preserve"> to support transnational projects on judicial training covering civil law, criminal law or fundamental rights</w:t>
      </w:r>
      <w:r w:rsidRPr="004B0390">
        <w:rPr>
          <w:rStyle w:val="FootnoteReference"/>
          <w:noProof/>
        </w:rPr>
        <w:footnoteReference w:id="56"/>
      </w:r>
      <w:r w:rsidRPr="004B0390">
        <w:rPr>
          <w:rFonts w:ascii="Times New Roman" w:hAnsi="Times New Roman"/>
          <w:noProof/>
          <w:sz w:val="24"/>
          <w:szCs w:val="24"/>
        </w:rPr>
        <w:t xml:space="preserve"> aims to contrib</w:t>
      </w:r>
      <w:r w:rsidRPr="00970388">
        <w:rPr>
          <w:rFonts w:ascii="Times New Roman" w:hAnsi="Times New Roman"/>
          <w:noProof/>
          <w:sz w:val="24"/>
          <w:szCs w:val="24"/>
        </w:rPr>
        <w:t xml:space="preserve">ute to the effective and coherent application of EU civil and criminal law and fundamental rights by addressing the training needs of justice professionals. </w:t>
      </w:r>
      <w:r w:rsidRPr="00970388">
        <w:rPr>
          <w:rFonts w:ascii="Times New Roman" w:hAnsi="Times New Roman" w:cs="Times New Roman"/>
          <w:noProof/>
          <w:sz w:val="24"/>
          <w:szCs w:val="24"/>
        </w:rPr>
        <w:t>Fundamental rights are also incorporated into training on other areas of EU law. Attention is paid to the rights of people in vulnerable situations (such as people with disabilities, victims</w:t>
      </w:r>
      <w:r>
        <w:rPr>
          <w:rFonts w:ascii="Times New Roman" w:hAnsi="Times New Roman" w:cs="Times New Roman"/>
          <w:noProof/>
          <w:sz w:val="24"/>
          <w:szCs w:val="24"/>
        </w:rPr>
        <w:t xml:space="preserve"> of gender-based and domestic violence, racism and discrimination</w:t>
      </w:r>
      <w:r w:rsidR="007F69D2">
        <w:rPr>
          <w:rFonts w:ascii="Times New Roman" w:hAnsi="Times New Roman" w:cs="Times New Roman"/>
          <w:noProof/>
          <w:sz w:val="24"/>
          <w:szCs w:val="24"/>
        </w:rPr>
        <w:t xml:space="preserve"> on other grounds</w:t>
      </w:r>
      <w:r>
        <w:rPr>
          <w:rFonts w:ascii="Times New Roman" w:hAnsi="Times New Roman" w:cs="Times New Roman"/>
          <w:noProof/>
          <w:sz w:val="24"/>
          <w:szCs w:val="24"/>
        </w:rPr>
        <w:t xml:space="preserve">, and children). The </w:t>
      </w:r>
      <w:r w:rsidRPr="00691027">
        <w:rPr>
          <w:rFonts w:ascii="Times New Roman" w:hAnsi="Times New Roman" w:cs="Times New Roman"/>
          <w:noProof/>
          <w:sz w:val="24"/>
          <w:szCs w:val="24"/>
        </w:rPr>
        <w:t xml:space="preserve">largest share of the training budget </w:t>
      </w:r>
      <w:r>
        <w:rPr>
          <w:rFonts w:ascii="Times New Roman" w:hAnsi="Times New Roman" w:cs="Times New Roman"/>
          <w:noProof/>
          <w:sz w:val="24"/>
          <w:szCs w:val="24"/>
        </w:rPr>
        <w:t>is issued to t</w:t>
      </w:r>
      <w:r w:rsidRPr="00691027">
        <w:rPr>
          <w:rFonts w:ascii="Times New Roman" w:hAnsi="Times New Roman" w:cs="Times New Roman"/>
          <w:noProof/>
          <w:sz w:val="24"/>
          <w:szCs w:val="24"/>
        </w:rPr>
        <w:t xml:space="preserve">he </w:t>
      </w:r>
      <w:r w:rsidRPr="00D42956">
        <w:rPr>
          <w:rFonts w:ascii="Times New Roman" w:hAnsi="Times New Roman" w:cs="Times New Roman"/>
          <w:noProof/>
          <w:sz w:val="24"/>
          <w:szCs w:val="24"/>
        </w:rPr>
        <w:t>European Judicial Training Network</w:t>
      </w:r>
      <w:r w:rsidRPr="00691027">
        <w:rPr>
          <w:rStyle w:val="FootnoteReference"/>
          <w:noProof/>
        </w:rPr>
        <w:footnoteReference w:id="57"/>
      </w:r>
      <w:r w:rsidRPr="00691027">
        <w:rPr>
          <w:rFonts w:ascii="Times New Roman" w:hAnsi="Times New Roman" w:cs="Times New Roman"/>
          <w:noProof/>
          <w:sz w:val="24"/>
          <w:szCs w:val="24"/>
        </w:rPr>
        <w:t xml:space="preserve">. </w:t>
      </w:r>
      <w:r>
        <w:rPr>
          <w:rFonts w:ascii="Times New Roman" w:hAnsi="Times New Roman" w:cs="Times New Roman"/>
          <w:noProof/>
          <w:sz w:val="24"/>
          <w:szCs w:val="24"/>
        </w:rPr>
        <w:t xml:space="preserve">The </w:t>
      </w:r>
      <w:r w:rsidRPr="00144AEE">
        <w:rPr>
          <w:rFonts w:ascii="Times New Roman" w:hAnsi="Times New Roman" w:cs="Times New Roman"/>
          <w:noProof/>
          <w:sz w:val="24"/>
          <w:szCs w:val="24"/>
          <w:shd w:val="clear" w:color="auto" w:fill="FFFFFF"/>
        </w:rPr>
        <w:t>Human Rights Education for Legal professionals</w:t>
      </w:r>
      <w:r>
        <w:rPr>
          <w:rFonts w:ascii="Times New Roman" w:hAnsi="Times New Roman" w:cs="Times New Roman"/>
          <w:noProof/>
          <w:sz w:val="24"/>
          <w:szCs w:val="24"/>
          <w:shd w:val="clear" w:color="auto" w:fill="FFFFFF"/>
        </w:rPr>
        <w:t xml:space="preserve"> (HELP</w:t>
      </w:r>
      <w:r w:rsidRPr="00144AEE">
        <w:rPr>
          <w:rFonts w:ascii="Times New Roman" w:hAnsi="Times New Roman" w:cs="Times New Roman"/>
          <w:noProof/>
          <w:sz w:val="24"/>
          <w:szCs w:val="24"/>
          <w:shd w:val="clear" w:color="auto" w:fill="FFFFFF"/>
        </w:rPr>
        <w:t xml:space="preserve">) </w:t>
      </w:r>
      <w:r w:rsidRPr="00144AEE">
        <w:rPr>
          <w:rFonts w:ascii="Times New Roman" w:hAnsi="Times New Roman" w:cs="Times New Roman"/>
          <w:noProof/>
          <w:sz w:val="24"/>
          <w:szCs w:val="24"/>
        </w:rPr>
        <w:t xml:space="preserve">programme </w:t>
      </w:r>
      <w:r>
        <w:rPr>
          <w:rFonts w:ascii="Times New Roman" w:hAnsi="Times New Roman" w:cs="Times New Roman"/>
          <w:noProof/>
          <w:sz w:val="24"/>
          <w:szCs w:val="24"/>
        </w:rPr>
        <w:t>is</w:t>
      </w:r>
      <w:r w:rsidRPr="00144AEE">
        <w:rPr>
          <w:rFonts w:ascii="Times New Roman" w:hAnsi="Times New Roman" w:cs="Times New Roman"/>
          <w:noProof/>
          <w:sz w:val="24"/>
          <w:szCs w:val="24"/>
        </w:rPr>
        <w:t xml:space="preserve"> also </w:t>
      </w:r>
      <w:r>
        <w:rPr>
          <w:rFonts w:ascii="Times New Roman" w:hAnsi="Times New Roman" w:cs="Times New Roman"/>
          <w:noProof/>
          <w:sz w:val="24"/>
          <w:szCs w:val="24"/>
        </w:rPr>
        <w:t xml:space="preserve">co-financed </w:t>
      </w:r>
      <w:r w:rsidRPr="00144AEE">
        <w:rPr>
          <w:rFonts w:ascii="Times New Roman" w:hAnsi="Times New Roman" w:cs="Times New Roman"/>
          <w:noProof/>
          <w:sz w:val="24"/>
          <w:szCs w:val="24"/>
        </w:rPr>
        <w:t>from the Justice programme.</w:t>
      </w:r>
    </w:p>
    <w:p w14:paraId="44826166" w14:textId="77777777" w:rsidR="002C0325" w:rsidRDefault="002C0325" w:rsidP="002C0325">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sidRPr="00800B4B">
        <w:rPr>
          <w:rFonts w:ascii="Times New Roman" w:hAnsi="Times New Roman" w:cs="Times New Roman"/>
          <w:noProof/>
          <w:sz w:val="20"/>
          <w:szCs w:val="20"/>
        </w:rPr>
        <w:t>Developed in cooperation between the Council of Europe, the FRA</w:t>
      </w:r>
      <w:r>
        <w:rPr>
          <w:rFonts w:ascii="Times New Roman" w:hAnsi="Times New Roman" w:cs="Times New Roman"/>
          <w:noProof/>
          <w:sz w:val="20"/>
          <w:szCs w:val="20"/>
        </w:rPr>
        <w:t xml:space="preserve"> and the Commission</w:t>
      </w:r>
      <w:r w:rsidRPr="00800B4B">
        <w:rPr>
          <w:rFonts w:ascii="Times New Roman" w:hAnsi="Times New Roman" w:cs="Times New Roman"/>
          <w:noProof/>
          <w:sz w:val="20"/>
          <w:szCs w:val="20"/>
        </w:rPr>
        <w:t xml:space="preserve">, </w:t>
      </w:r>
      <w:r w:rsidRPr="00800B4B">
        <w:rPr>
          <w:rFonts w:ascii="Times New Roman" w:hAnsi="Times New Roman" w:cs="Times New Roman"/>
          <w:b/>
          <w:bCs/>
          <w:noProof/>
          <w:sz w:val="20"/>
          <w:szCs w:val="20"/>
        </w:rPr>
        <w:t>HELP</w:t>
      </w:r>
      <w:r w:rsidRPr="00800B4B">
        <w:rPr>
          <w:rFonts w:ascii="Times New Roman" w:hAnsi="Times New Roman" w:cs="Times New Roman"/>
          <w:noProof/>
          <w:sz w:val="20"/>
          <w:szCs w:val="20"/>
        </w:rPr>
        <w:t xml:space="preserve"> is a</w:t>
      </w:r>
      <w:r>
        <w:rPr>
          <w:rFonts w:ascii="Times New Roman" w:hAnsi="Times New Roman" w:cs="Times New Roman"/>
          <w:noProof/>
          <w:sz w:val="20"/>
          <w:szCs w:val="20"/>
        </w:rPr>
        <w:t xml:space="preserve"> free</w:t>
      </w:r>
      <w:r w:rsidRPr="00800B4B">
        <w:rPr>
          <w:rFonts w:ascii="Times New Roman" w:hAnsi="Times New Roman" w:cs="Times New Roman"/>
          <w:noProof/>
          <w:sz w:val="20"/>
          <w:szCs w:val="20"/>
        </w:rPr>
        <w:t xml:space="preserve"> e-learning course on the interplay between the Charter and the European Convention on Human Rights</w:t>
      </w:r>
      <w:r w:rsidRPr="00800B4B">
        <w:rPr>
          <w:rStyle w:val="FootnoteReference"/>
          <w:noProof/>
          <w:sz w:val="20"/>
          <w:szCs w:val="20"/>
        </w:rPr>
        <w:footnoteReference w:id="58"/>
      </w:r>
      <w:r w:rsidRPr="00800B4B">
        <w:rPr>
          <w:rFonts w:ascii="Times New Roman" w:hAnsi="Times New Roman" w:cs="Times New Roman"/>
          <w:noProof/>
          <w:sz w:val="20"/>
          <w:szCs w:val="20"/>
        </w:rPr>
        <w:t>. It is intended for judges, prosecutors and other lawyers to learn on European fundamental rights standards and their application.</w:t>
      </w:r>
    </w:p>
    <w:p w14:paraId="58DF630A" w14:textId="77777777" w:rsidR="002C0325" w:rsidRPr="00800B4B" w:rsidRDefault="002C0325" w:rsidP="002C0325">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sidRPr="00800B4B">
        <w:rPr>
          <w:rFonts w:ascii="Times New Roman" w:hAnsi="Times New Roman" w:cs="Times New Roman"/>
          <w:b/>
          <w:bCs/>
          <w:noProof/>
          <w:sz w:val="20"/>
          <w:szCs w:val="20"/>
        </w:rPr>
        <w:t>Justice, fundamental rights and artificial intelligence</w:t>
      </w:r>
      <w:r w:rsidRPr="00800B4B">
        <w:rPr>
          <w:rStyle w:val="FootnoteReference"/>
          <w:noProof/>
          <w:sz w:val="20"/>
          <w:szCs w:val="20"/>
        </w:rPr>
        <w:footnoteReference w:id="59"/>
      </w:r>
      <w:r w:rsidRPr="00800B4B">
        <w:rPr>
          <w:rFonts w:ascii="Times New Roman" w:hAnsi="Times New Roman" w:cs="Times New Roman"/>
          <w:noProof/>
          <w:sz w:val="20"/>
          <w:szCs w:val="20"/>
        </w:rPr>
        <w:t xml:space="preserve">: </w:t>
      </w:r>
      <w:r>
        <w:rPr>
          <w:rFonts w:ascii="Times New Roman" w:hAnsi="Times New Roman" w:cs="Times New Roman"/>
          <w:noProof/>
          <w:sz w:val="20"/>
          <w:szCs w:val="20"/>
        </w:rPr>
        <w:t>in light of</w:t>
      </w:r>
      <w:r w:rsidRPr="00800B4B">
        <w:rPr>
          <w:rFonts w:ascii="Times New Roman" w:hAnsi="Times New Roman" w:cs="Times New Roman"/>
          <w:noProof/>
          <w:sz w:val="20"/>
          <w:szCs w:val="20"/>
        </w:rPr>
        <w:t xml:space="preserve"> the </w:t>
      </w:r>
      <w:r>
        <w:rPr>
          <w:rFonts w:ascii="Times New Roman" w:hAnsi="Times New Roman" w:cs="Times New Roman"/>
          <w:noProof/>
          <w:sz w:val="20"/>
          <w:szCs w:val="20"/>
        </w:rPr>
        <w:t xml:space="preserve">recent </w:t>
      </w:r>
      <w:r w:rsidRPr="00800B4B">
        <w:rPr>
          <w:rFonts w:ascii="Times New Roman" w:hAnsi="Times New Roman" w:cs="Times New Roman"/>
          <w:noProof/>
          <w:sz w:val="20"/>
          <w:szCs w:val="20"/>
        </w:rPr>
        <w:t>developments in the EU</w:t>
      </w:r>
      <w:r>
        <w:rPr>
          <w:rFonts w:ascii="Times New Roman" w:hAnsi="Times New Roman" w:cs="Times New Roman"/>
          <w:noProof/>
          <w:sz w:val="20"/>
          <w:szCs w:val="20"/>
        </w:rPr>
        <w:t>’s</w:t>
      </w:r>
      <w:r w:rsidRPr="00800B4B">
        <w:rPr>
          <w:rFonts w:ascii="Times New Roman" w:hAnsi="Times New Roman" w:cs="Times New Roman"/>
          <w:noProof/>
          <w:sz w:val="20"/>
          <w:szCs w:val="20"/>
        </w:rPr>
        <w:t xml:space="preserve"> legal framework on artificial intelligence, th</w:t>
      </w:r>
      <w:r>
        <w:rPr>
          <w:rFonts w:ascii="Times New Roman" w:hAnsi="Times New Roman" w:cs="Times New Roman"/>
          <w:noProof/>
          <w:sz w:val="20"/>
          <w:szCs w:val="20"/>
        </w:rPr>
        <w:t>is</w:t>
      </w:r>
      <w:r w:rsidRPr="00800B4B">
        <w:rPr>
          <w:rFonts w:ascii="Times New Roman" w:hAnsi="Times New Roman" w:cs="Times New Roman"/>
          <w:noProof/>
          <w:sz w:val="20"/>
          <w:szCs w:val="20"/>
        </w:rPr>
        <w:t xml:space="preserve"> project </w:t>
      </w:r>
      <w:r>
        <w:rPr>
          <w:rFonts w:ascii="Times New Roman" w:hAnsi="Times New Roman" w:cs="Times New Roman"/>
          <w:noProof/>
          <w:sz w:val="20"/>
          <w:szCs w:val="20"/>
        </w:rPr>
        <w:t xml:space="preserve">analyses how </w:t>
      </w:r>
      <w:r w:rsidRPr="00800B4B">
        <w:rPr>
          <w:rFonts w:ascii="Times New Roman" w:hAnsi="Times New Roman" w:cs="Times New Roman"/>
          <w:noProof/>
          <w:sz w:val="20"/>
          <w:szCs w:val="20"/>
        </w:rPr>
        <w:t>semi</w:t>
      </w:r>
      <w:r>
        <w:rPr>
          <w:rFonts w:ascii="Times New Roman" w:hAnsi="Times New Roman" w:cs="Times New Roman"/>
          <w:noProof/>
          <w:sz w:val="20"/>
          <w:szCs w:val="20"/>
        </w:rPr>
        <w:t>-</w:t>
      </w:r>
      <w:r w:rsidRPr="00800B4B">
        <w:rPr>
          <w:rFonts w:ascii="Times New Roman" w:hAnsi="Times New Roman" w:cs="Times New Roman"/>
          <w:noProof/>
          <w:sz w:val="20"/>
          <w:szCs w:val="20"/>
        </w:rPr>
        <w:t>automated decision making</w:t>
      </w:r>
      <w:r>
        <w:rPr>
          <w:rFonts w:ascii="Times New Roman" w:hAnsi="Times New Roman" w:cs="Times New Roman"/>
          <w:noProof/>
          <w:sz w:val="20"/>
          <w:szCs w:val="20"/>
        </w:rPr>
        <w:t xml:space="preserve"> is used</w:t>
      </w:r>
      <w:r w:rsidRPr="00F52739">
        <w:rPr>
          <w:rFonts w:ascii="Times New Roman" w:hAnsi="Times New Roman" w:cs="Times New Roman"/>
          <w:noProof/>
          <w:sz w:val="20"/>
          <w:szCs w:val="20"/>
        </w:rPr>
        <w:t xml:space="preserve"> by courts, public administrations, and businesses, healthcare professionals and other</w:t>
      </w:r>
      <w:r>
        <w:rPr>
          <w:rFonts w:ascii="Times New Roman" w:hAnsi="Times New Roman" w:cs="Times New Roman"/>
          <w:noProof/>
          <w:sz w:val="20"/>
          <w:szCs w:val="20"/>
        </w:rPr>
        <w:t xml:space="preserve"> private actors</w:t>
      </w:r>
      <w:r w:rsidRPr="00F52739">
        <w:rPr>
          <w:rFonts w:ascii="Times New Roman" w:hAnsi="Times New Roman" w:cs="Times New Roman"/>
          <w:noProof/>
          <w:sz w:val="20"/>
          <w:szCs w:val="20"/>
        </w:rPr>
        <w:t>.</w:t>
      </w:r>
      <w:r>
        <w:rPr>
          <w:rFonts w:ascii="Times New Roman" w:hAnsi="Times New Roman" w:cs="Times New Roman"/>
          <w:noProof/>
          <w:sz w:val="20"/>
          <w:szCs w:val="20"/>
        </w:rPr>
        <w:t xml:space="preserve"> Through mutual learning, guidance and best practice dissemination, the project aims to build judges’</w:t>
      </w:r>
      <w:r w:rsidRPr="00800B4B">
        <w:rPr>
          <w:rFonts w:ascii="Times New Roman" w:hAnsi="Times New Roman" w:cs="Times New Roman"/>
          <w:noProof/>
          <w:sz w:val="20"/>
          <w:szCs w:val="20"/>
        </w:rPr>
        <w:t xml:space="preserve"> understanding of algorithmic decision making</w:t>
      </w:r>
      <w:r>
        <w:rPr>
          <w:rFonts w:ascii="Times New Roman" w:hAnsi="Times New Roman" w:cs="Times New Roman"/>
          <w:noProof/>
          <w:sz w:val="20"/>
          <w:szCs w:val="20"/>
        </w:rPr>
        <w:t xml:space="preserve"> and</w:t>
      </w:r>
      <w:r w:rsidRPr="00800B4B">
        <w:rPr>
          <w:rFonts w:ascii="Times New Roman" w:hAnsi="Times New Roman" w:cs="Times New Roman"/>
          <w:noProof/>
          <w:sz w:val="20"/>
          <w:szCs w:val="20"/>
        </w:rPr>
        <w:t xml:space="preserve"> its implications for the right to a fair trial, non-discrimination and other fundamental rights. </w:t>
      </w:r>
    </w:p>
    <w:p w14:paraId="0CE7606F" w14:textId="77777777" w:rsidR="002C0325" w:rsidRPr="004B0390" w:rsidRDefault="002C0325" w:rsidP="002C0325">
      <w:pPr>
        <w:spacing w:line="276" w:lineRule="auto"/>
        <w:jc w:val="both"/>
        <w:rPr>
          <w:rFonts w:ascii="Times New Roman" w:hAnsi="Times New Roman"/>
          <w:noProof/>
          <w:sz w:val="24"/>
          <w:szCs w:val="24"/>
        </w:rPr>
      </w:pPr>
      <w:r>
        <w:rPr>
          <w:rFonts w:ascii="Times New Roman" w:hAnsi="Times New Roman"/>
          <w:noProof/>
          <w:sz w:val="24"/>
          <w:szCs w:val="24"/>
        </w:rPr>
        <w:t>In addition, t</w:t>
      </w:r>
      <w:r w:rsidRPr="00814397">
        <w:rPr>
          <w:rFonts w:ascii="Times New Roman" w:hAnsi="Times New Roman"/>
          <w:noProof/>
          <w:sz w:val="24"/>
          <w:szCs w:val="24"/>
        </w:rPr>
        <w:t>he</w:t>
      </w:r>
      <w:r>
        <w:rPr>
          <w:rFonts w:ascii="Times New Roman" w:hAnsi="Times New Roman"/>
          <w:noProof/>
          <w:sz w:val="24"/>
          <w:szCs w:val="24"/>
        </w:rPr>
        <w:t xml:space="preserve"> </w:t>
      </w:r>
      <w:r w:rsidRPr="004B0390">
        <w:rPr>
          <w:rFonts w:ascii="Times New Roman" w:hAnsi="Times New Roman"/>
          <w:noProof/>
          <w:sz w:val="24"/>
          <w:szCs w:val="24"/>
        </w:rPr>
        <w:t xml:space="preserve">call for proposals for action grants </w:t>
      </w:r>
      <w:r w:rsidRPr="000B6BFA">
        <w:rPr>
          <w:rFonts w:ascii="Times New Roman" w:hAnsi="Times New Roman"/>
          <w:noProof/>
          <w:sz w:val="24"/>
          <w:szCs w:val="24"/>
        </w:rPr>
        <w:t>to support transnational projects in the fields of e-justice, victims’ rights and procedural rights</w:t>
      </w:r>
      <w:r w:rsidRPr="004B0390">
        <w:rPr>
          <w:rStyle w:val="FootnoteReference"/>
          <w:noProof/>
        </w:rPr>
        <w:footnoteReference w:id="60"/>
      </w:r>
      <w:r w:rsidRPr="004B0390">
        <w:rPr>
          <w:rFonts w:ascii="Times New Roman" w:hAnsi="Times New Roman"/>
          <w:noProof/>
          <w:sz w:val="24"/>
          <w:szCs w:val="24"/>
        </w:rPr>
        <w:t>,</w:t>
      </w:r>
      <w:r w:rsidRPr="00814397">
        <w:rPr>
          <w:rFonts w:ascii="Times New Roman" w:hAnsi="Times New Roman"/>
          <w:noProof/>
          <w:sz w:val="24"/>
          <w:szCs w:val="24"/>
        </w:rPr>
        <w:t xml:space="preserve"> </w:t>
      </w:r>
      <w:r>
        <w:rPr>
          <w:rFonts w:ascii="Times New Roman" w:hAnsi="Times New Roman"/>
          <w:noProof/>
          <w:sz w:val="24"/>
          <w:szCs w:val="24"/>
        </w:rPr>
        <w:t>aims</w:t>
      </w:r>
      <w:r w:rsidRPr="00814397">
        <w:rPr>
          <w:rFonts w:ascii="Times New Roman" w:hAnsi="Times New Roman"/>
          <w:noProof/>
          <w:sz w:val="24"/>
          <w:szCs w:val="24"/>
        </w:rPr>
        <w:t xml:space="preserve"> to ensure the effective implementation of the EU</w:t>
      </w:r>
      <w:r>
        <w:rPr>
          <w:rFonts w:ascii="Times New Roman" w:hAnsi="Times New Roman"/>
          <w:noProof/>
          <w:sz w:val="24"/>
          <w:szCs w:val="24"/>
        </w:rPr>
        <w:t xml:space="preserve"> law on</w:t>
      </w:r>
      <w:r w:rsidRPr="00814397">
        <w:rPr>
          <w:rFonts w:ascii="Times New Roman" w:hAnsi="Times New Roman"/>
          <w:noProof/>
          <w:sz w:val="24"/>
          <w:szCs w:val="24"/>
        </w:rPr>
        <w:t xml:space="preserve"> </w:t>
      </w:r>
      <w:r w:rsidRPr="000B6BFA">
        <w:rPr>
          <w:rFonts w:ascii="Times New Roman" w:hAnsi="Times New Roman"/>
          <w:b/>
          <w:bCs/>
          <w:noProof/>
          <w:sz w:val="24"/>
          <w:szCs w:val="24"/>
        </w:rPr>
        <w:t>procedural rights and victims’ rights</w:t>
      </w:r>
      <w:r w:rsidRPr="00814397">
        <w:rPr>
          <w:rFonts w:ascii="Times New Roman" w:hAnsi="Times New Roman"/>
          <w:noProof/>
          <w:sz w:val="24"/>
          <w:szCs w:val="24"/>
        </w:rPr>
        <w:t xml:space="preserve"> and </w:t>
      </w:r>
      <w:r>
        <w:rPr>
          <w:rFonts w:ascii="Times New Roman" w:hAnsi="Times New Roman"/>
          <w:noProof/>
          <w:sz w:val="24"/>
          <w:szCs w:val="24"/>
        </w:rPr>
        <w:t xml:space="preserve">the </w:t>
      </w:r>
      <w:r w:rsidRPr="00814397">
        <w:rPr>
          <w:rFonts w:ascii="Times New Roman" w:hAnsi="Times New Roman"/>
          <w:noProof/>
          <w:sz w:val="24"/>
          <w:szCs w:val="24"/>
        </w:rPr>
        <w:t xml:space="preserve">related </w:t>
      </w:r>
      <w:r>
        <w:rPr>
          <w:rFonts w:ascii="Times New Roman" w:hAnsi="Times New Roman"/>
          <w:noProof/>
          <w:sz w:val="24"/>
          <w:szCs w:val="24"/>
        </w:rPr>
        <w:t>fundamental</w:t>
      </w:r>
      <w:r w:rsidRPr="00814397">
        <w:rPr>
          <w:rFonts w:ascii="Times New Roman" w:hAnsi="Times New Roman"/>
          <w:noProof/>
          <w:sz w:val="24"/>
          <w:szCs w:val="24"/>
        </w:rPr>
        <w:t xml:space="preserve"> rights</w:t>
      </w:r>
      <w:r>
        <w:rPr>
          <w:rFonts w:ascii="Times New Roman" w:hAnsi="Times New Roman"/>
          <w:noProof/>
          <w:sz w:val="24"/>
          <w:szCs w:val="24"/>
        </w:rPr>
        <w:t xml:space="preserve"> (Articles 47 and 48 of the Charter)</w:t>
      </w:r>
      <w:r w:rsidRPr="00814397">
        <w:rPr>
          <w:rFonts w:ascii="Times New Roman" w:hAnsi="Times New Roman"/>
          <w:noProof/>
          <w:sz w:val="24"/>
          <w:szCs w:val="24"/>
        </w:rPr>
        <w:t xml:space="preserve">. </w:t>
      </w:r>
      <w:r>
        <w:rPr>
          <w:rFonts w:ascii="Times New Roman" w:hAnsi="Times New Roman"/>
          <w:noProof/>
          <w:sz w:val="24"/>
          <w:szCs w:val="24"/>
        </w:rPr>
        <w:t>Under the call, the Commission funds projects which</w:t>
      </w:r>
      <w:r w:rsidRPr="0072595C">
        <w:rPr>
          <w:rFonts w:ascii="Times New Roman" w:hAnsi="Times New Roman"/>
          <w:noProof/>
          <w:sz w:val="24"/>
          <w:szCs w:val="24"/>
        </w:rPr>
        <w:t xml:space="preserve"> </w:t>
      </w:r>
      <w:r w:rsidRPr="00B318E2">
        <w:rPr>
          <w:rFonts w:ascii="Times New Roman" w:hAnsi="Times New Roman"/>
          <w:noProof/>
          <w:sz w:val="24"/>
          <w:szCs w:val="24"/>
        </w:rPr>
        <w:t>facilitate</w:t>
      </w:r>
      <w:r w:rsidRPr="00814397">
        <w:rPr>
          <w:rFonts w:ascii="Times New Roman" w:hAnsi="Times New Roman"/>
          <w:noProof/>
          <w:sz w:val="24"/>
          <w:szCs w:val="24"/>
        </w:rPr>
        <w:t xml:space="preserve"> </w:t>
      </w:r>
      <w:r>
        <w:rPr>
          <w:rFonts w:ascii="Times New Roman" w:hAnsi="Times New Roman"/>
          <w:noProof/>
          <w:sz w:val="24"/>
          <w:szCs w:val="24"/>
        </w:rPr>
        <w:t xml:space="preserve">the </w:t>
      </w:r>
      <w:r w:rsidRPr="00814397">
        <w:rPr>
          <w:rFonts w:ascii="Times New Roman" w:hAnsi="Times New Roman"/>
          <w:noProof/>
          <w:sz w:val="24"/>
          <w:szCs w:val="24"/>
        </w:rPr>
        <w:t>non-discriminatory access to justice for all and effective judicial protection</w:t>
      </w:r>
      <w:r>
        <w:rPr>
          <w:rFonts w:ascii="Times New Roman" w:hAnsi="Times New Roman"/>
          <w:noProof/>
          <w:sz w:val="24"/>
          <w:szCs w:val="24"/>
        </w:rPr>
        <w:t xml:space="preserve">, </w:t>
      </w:r>
      <w:r w:rsidRPr="00A83A56">
        <w:rPr>
          <w:rFonts w:ascii="Times New Roman" w:hAnsi="Times New Roman"/>
          <w:noProof/>
          <w:sz w:val="24"/>
          <w:szCs w:val="24"/>
        </w:rPr>
        <w:t>including by electronic means (</w:t>
      </w:r>
      <w:r w:rsidRPr="000B6BFA">
        <w:rPr>
          <w:rFonts w:ascii="Times New Roman" w:hAnsi="Times New Roman"/>
          <w:b/>
          <w:bCs/>
          <w:noProof/>
          <w:sz w:val="24"/>
          <w:szCs w:val="24"/>
        </w:rPr>
        <w:t>e-justice</w:t>
      </w:r>
      <w:r w:rsidRPr="00A83A56">
        <w:rPr>
          <w:rFonts w:ascii="Times New Roman" w:hAnsi="Times New Roman"/>
          <w:noProof/>
          <w:sz w:val="24"/>
          <w:szCs w:val="24"/>
        </w:rPr>
        <w:t>)</w:t>
      </w:r>
      <w:r w:rsidRPr="00814397">
        <w:rPr>
          <w:rFonts w:ascii="Times New Roman" w:hAnsi="Times New Roman"/>
          <w:noProof/>
          <w:sz w:val="24"/>
          <w:szCs w:val="24"/>
        </w:rPr>
        <w:t xml:space="preserve">. </w:t>
      </w:r>
      <w:r>
        <w:rPr>
          <w:rFonts w:ascii="Times New Roman" w:hAnsi="Times New Roman"/>
          <w:noProof/>
          <w:sz w:val="24"/>
          <w:szCs w:val="24"/>
        </w:rPr>
        <w:t>The f</w:t>
      </w:r>
      <w:r w:rsidRPr="00814397">
        <w:rPr>
          <w:rFonts w:ascii="Times New Roman" w:hAnsi="Times New Roman"/>
          <w:noProof/>
          <w:sz w:val="24"/>
          <w:szCs w:val="24"/>
        </w:rPr>
        <w:t xml:space="preserve">ocus </w:t>
      </w:r>
      <w:r>
        <w:rPr>
          <w:rFonts w:ascii="Times New Roman" w:hAnsi="Times New Roman"/>
          <w:noProof/>
          <w:sz w:val="24"/>
          <w:szCs w:val="24"/>
        </w:rPr>
        <w:t>is on</w:t>
      </w:r>
      <w:r w:rsidRPr="00814397">
        <w:rPr>
          <w:rFonts w:ascii="Times New Roman" w:hAnsi="Times New Roman"/>
          <w:noProof/>
          <w:sz w:val="24"/>
          <w:szCs w:val="24"/>
        </w:rPr>
        <w:t xml:space="preserve"> the promotion of efficient and fair criminal proceedings,</w:t>
      </w:r>
      <w:r>
        <w:rPr>
          <w:rFonts w:ascii="Times New Roman" w:hAnsi="Times New Roman"/>
          <w:noProof/>
          <w:sz w:val="24"/>
          <w:szCs w:val="24"/>
        </w:rPr>
        <w:t xml:space="preserve"> </w:t>
      </w:r>
      <w:r w:rsidRPr="00424248">
        <w:rPr>
          <w:rFonts w:ascii="Times New Roman" w:hAnsi="Times New Roman"/>
          <w:noProof/>
          <w:sz w:val="24"/>
          <w:szCs w:val="24"/>
        </w:rPr>
        <w:t>and, with regard to victims of crime, related civil proceedings</w:t>
      </w:r>
      <w:r>
        <w:rPr>
          <w:rFonts w:ascii="Times New Roman" w:hAnsi="Times New Roman"/>
          <w:noProof/>
          <w:sz w:val="24"/>
          <w:szCs w:val="24"/>
        </w:rPr>
        <w:t xml:space="preserve">. The call covers monitoring and capacity building activities for ensuring the effective implementation </w:t>
      </w:r>
      <w:r w:rsidRPr="00814397">
        <w:rPr>
          <w:rFonts w:ascii="Times New Roman" w:hAnsi="Times New Roman"/>
          <w:noProof/>
          <w:sz w:val="24"/>
          <w:szCs w:val="24"/>
        </w:rPr>
        <w:t xml:space="preserve">of </w:t>
      </w:r>
      <w:r w:rsidRPr="004B0390">
        <w:rPr>
          <w:rFonts w:ascii="Times New Roman" w:hAnsi="Times New Roman"/>
          <w:noProof/>
          <w:sz w:val="24"/>
          <w:szCs w:val="24"/>
        </w:rPr>
        <w:t>the rights of all victims of crime and the procedural rights of suspects and accused persons in criminal proceedings</w:t>
      </w:r>
      <w:r w:rsidRPr="004B0390">
        <w:rPr>
          <w:rStyle w:val="FootnoteReference"/>
          <w:noProof/>
        </w:rPr>
        <w:footnoteReference w:id="61"/>
      </w:r>
      <w:r w:rsidRPr="004B0390">
        <w:rPr>
          <w:rFonts w:ascii="Times New Roman" w:hAnsi="Times New Roman"/>
          <w:noProof/>
          <w:sz w:val="24"/>
          <w:szCs w:val="24"/>
        </w:rPr>
        <w:t>.</w:t>
      </w:r>
    </w:p>
    <w:p w14:paraId="236B4816" w14:textId="77777777" w:rsidR="002C0325" w:rsidRDefault="002C0325" w:rsidP="002C0325">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sidRPr="00800B4B">
        <w:rPr>
          <w:rFonts w:ascii="Times New Roman" w:hAnsi="Times New Roman" w:cs="Times New Roman"/>
          <w:b/>
          <w:bCs/>
          <w:noProof/>
          <w:sz w:val="20"/>
          <w:szCs w:val="20"/>
        </w:rPr>
        <w:t>DigiRIGHTS – DIGItalisation of defence RIGHTS</w:t>
      </w:r>
      <w:r w:rsidRPr="00800B4B">
        <w:rPr>
          <w:rStyle w:val="FootnoteReference"/>
          <w:noProof/>
          <w:sz w:val="20"/>
          <w:szCs w:val="20"/>
        </w:rPr>
        <w:footnoteReference w:id="62"/>
      </w:r>
      <w:r w:rsidRPr="00800B4B">
        <w:rPr>
          <w:rFonts w:ascii="Times New Roman" w:hAnsi="Times New Roman" w:cs="Times New Roman"/>
          <w:noProof/>
          <w:sz w:val="20"/>
          <w:szCs w:val="20"/>
        </w:rPr>
        <w:t xml:space="preserve">: the ongoing project brings together research staff from </w:t>
      </w:r>
      <w:r>
        <w:rPr>
          <w:rFonts w:ascii="Times New Roman" w:hAnsi="Times New Roman" w:cs="Times New Roman"/>
          <w:noProof/>
          <w:sz w:val="20"/>
          <w:szCs w:val="20"/>
        </w:rPr>
        <w:t xml:space="preserve">six universities </w:t>
      </w:r>
      <w:r w:rsidRPr="00800B4B">
        <w:rPr>
          <w:rFonts w:ascii="Times New Roman" w:hAnsi="Times New Roman" w:cs="Times New Roman"/>
          <w:noProof/>
          <w:sz w:val="20"/>
          <w:szCs w:val="20"/>
        </w:rPr>
        <w:t>to map and assess the practices of digitalisation of criminal procedural rights. Focussing on the rights to interpretation, translation, access to the case file, legal assistance and legal aid, and the right to be present at trial, the project will develop guidelines to assure equivalence between offline and online procedural rights.</w:t>
      </w:r>
    </w:p>
    <w:p w14:paraId="65B92B96" w14:textId="77777777" w:rsidR="002C0325" w:rsidRPr="000B6BFA" w:rsidRDefault="002C0325" w:rsidP="002C0325">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sidRPr="000B6BFA">
        <w:rPr>
          <w:rFonts w:ascii="Times New Roman" w:eastAsia="Times New Roman" w:hAnsi="Times New Roman" w:cs="Times New Roman"/>
          <w:b/>
          <w:bCs/>
          <w:noProof/>
          <w:sz w:val="20"/>
          <w:szCs w:val="20"/>
          <w:lang w:val="en-GB"/>
        </w:rPr>
        <w:t>Infovictims III</w:t>
      </w:r>
      <w:r w:rsidRPr="000B6BFA">
        <w:rPr>
          <w:rStyle w:val="FootnoteReference"/>
          <w:rFonts w:eastAsia="Times New Roman"/>
          <w:noProof/>
          <w:lang w:val="en-GB"/>
        </w:rPr>
        <w:footnoteReference w:id="63"/>
      </w:r>
      <w:r w:rsidRPr="000B6BFA">
        <w:rPr>
          <w:rFonts w:ascii="Times New Roman" w:eastAsia="Times New Roman" w:hAnsi="Times New Roman" w:cs="Times New Roman"/>
          <w:noProof/>
          <w:sz w:val="20"/>
          <w:szCs w:val="20"/>
          <w:lang w:val="en-GB"/>
        </w:rPr>
        <w:t>: the project</w:t>
      </w:r>
      <w:r>
        <w:rPr>
          <w:rFonts w:ascii="Times New Roman" w:eastAsia="Times New Roman" w:hAnsi="Times New Roman" w:cs="Times New Roman"/>
          <w:noProof/>
          <w:sz w:val="20"/>
          <w:szCs w:val="20"/>
          <w:lang w:val="en-GB"/>
        </w:rPr>
        <w:t xml:space="preserve"> </w:t>
      </w:r>
      <w:r w:rsidRPr="000B6BFA">
        <w:rPr>
          <w:rFonts w:ascii="Times New Roman" w:eastAsia="Times New Roman" w:hAnsi="Times New Roman" w:cs="Times New Roman"/>
          <w:noProof/>
          <w:sz w:val="20"/>
          <w:szCs w:val="20"/>
          <w:lang w:val="en-GB"/>
        </w:rPr>
        <w:t>focused on strengthening victims’ rights to information by ensuring the availability of simple and accessible information on the rights provided under the Victims’ Rights Directive in the victims’ mother</w:t>
      </w:r>
      <w:r>
        <w:rPr>
          <w:rFonts w:ascii="Times New Roman" w:eastAsia="Times New Roman" w:hAnsi="Times New Roman" w:cs="Times New Roman"/>
          <w:noProof/>
          <w:sz w:val="20"/>
          <w:szCs w:val="20"/>
          <w:lang w:val="en-GB"/>
        </w:rPr>
        <w:t xml:space="preserve"> </w:t>
      </w:r>
      <w:r w:rsidRPr="000B6BFA">
        <w:rPr>
          <w:rFonts w:ascii="Times New Roman" w:eastAsia="Times New Roman" w:hAnsi="Times New Roman" w:cs="Times New Roman"/>
          <w:noProof/>
          <w:sz w:val="20"/>
          <w:szCs w:val="20"/>
          <w:lang w:val="en-GB"/>
        </w:rPr>
        <w:t>tongue, and through user-friendly websites and informative apps.</w:t>
      </w:r>
    </w:p>
    <w:p w14:paraId="0BCA1128" w14:textId="77777777" w:rsidR="002C0325" w:rsidRDefault="002C0325" w:rsidP="002C0325">
      <w:pPr>
        <w:spacing w:line="276" w:lineRule="auto"/>
        <w:jc w:val="both"/>
        <w:rPr>
          <w:rFonts w:ascii="Times New Roman" w:hAnsi="Times New Roman" w:cs="Times New Roman"/>
          <w:noProof/>
          <w:sz w:val="24"/>
          <w:szCs w:val="24"/>
        </w:rPr>
      </w:pPr>
      <w:r w:rsidRPr="007725C4">
        <w:rPr>
          <w:rFonts w:ascii="Times New Roman" w:hAnsi="Times New Roman" w:cs="Times New Roman"/>
          <w:noProof/>
          <w:sz w:val="24"/>
          <w:szCs w:val="24"/>
        </w:rPr>
        <w:t>T</w:t>
      </w:r>
      <w:r>
        <w:rPr>
          <w:rFonts w:ascii="Times New Roman" w:hAnsi="Times New Roman" w:cs="Times New Roman"/>
          <w:noProof/>
          <w:sz w:val="24"/>
          <w:szCs w:val="24"/>
        </w:rPr>
        <w:t xml:space="preserve">he Justice programme </w:t>
      </w:r>
      <w:r w:rsidRPr="007725C4">
        <w:rPr>
          <w:rFonts w:ascii="Times New Roman" w:hAnsi="Times New Roman" w:cs="Times New Roman"/>
          <w:noProof/>
          <w:sz w:val="24"/>
          <w:szCs w:val="24"/>
        </w:rPr>
        <w:t xml:space="preserve">also </w:t>
      </w:r>
      <w:r>
        <w:rPr>
          <w:rFonts w:ascii="Times New Roman" w:hAnsi="Times New Roman" w:cs="Times New Roman"/>
          <w:noProof/>
          <w:sz w:val="24"/>
          <w:szCs w:val="24"/>
        </w:rPr>
        <w:t xml:space="preserve">provides </w:t>
      </w:r>
      <w:r w:rsidRPr="007725C4">
        <w:rPr>
          <w:rFonts w:ascii="Times New Roman" w:hAnsi="Times New Roman" w:cs="Times New Roman"/>
          <w:noProof/>
          <w:sz w:val="24"/>
          <w:szCs w:val="24"/>
        </w:rPr>
        <w:t>funding for</w:t>
      </w:r>
      <w:r w:rsidRPr="0065431F">
        <w:rPr>
          <w:rFonts w:ascii="Times New Roman" w:hAnsi="Times New Roman" w:cs="Times New Roman"/>
          <w:noProof/>
          <w:sz w:val="24"/>
          <w:szCs w:val="24"/>
        </w:rPr>
        <w:t xml:space="preserve"> studies, expert groups and events, as well as the </w:t>
      </w:r>
      <w:r w:rsidRPr="000B6BFA">
        <w:rPr>
          <w:rFonts w:ascii="Times New Roman" w:hAnsi="Times New Roman" w:cs="Times New Roman"/>
          <w:b/>
          <w:bCs/>
          <w:noProof/>
          <w:sz w:val="24"/>
          <w:szCs w:val="24"/>
        </w:rPr>
        <w:t>European e-Justice Portal</w:t>
      </w:r>
      <w:r>
        <w:rPr>
          <w:rStyle w:val="FootnoteReference"/>
          <w:noProof/>
        </w:rPr>
        <w:footnoteReference w:id="64"/>
      </w:r>
      <w:r>
        <w:rPr>
          <w:rFonts w:ascii="Times New Roman" w:hAnsi="Times New Roman" w:cs="Times New Roman"/>
          <w:noProof/>
          <w:sz w:val="24"/>
          <w:szCs w:val="24"/>
        </w:rPr>
        <w:t>, a one-stop-shop for information related to justice in the EU</w:t>
      </w:r>
      <w:r w:rsidRPr="0065431F">
        <w:rPr>
          <w:rFonts w:ascii="Times New Roman" w:hAnsi="Times New Roman" w:cs="Times New Roman"/>
          <w:noProof/>
          <w:sz w:val="24"/>
          <w:szCs w:val="24"/>
        </w:rPr>
        <w:t>.</w:t>
      </w:r>
      <w:r>
        <w:rPr>
          <w:rFonts w:ascii="Times New Roman" w:hAnsi="Times New Roman" w:cs="Times New Roman"/>
          <w:noProof/>
          <w:sz w:val="24"/>
          <w:szCs w:val="24"/>
        </w:rPr>
        <w:t xml:space="preserve"> The Portal hosts extensive information on fundamental rights</w:t>
      </w:r>
      <w:r>
        <w:rPr>
          <w:rStyle w:val="FootnoteReference"/>
          <w:noProof/>
        </w:rPr>
        <w:footnoteReference w:id="65"/>
      </w:r>
      <w:r>
        <w:rPr>
          <w:rFonts w:ascii="Times New Roman" w:hAnsi="Times New Roman" w:cs="Times New Roman"/>
          <w:noProof/>
          <w:sz w:val="24"/>
          <w:szCs w:val="24"/>
        </w:rPr>
        <w:t xml:space="preserve">, the tool “Does the Charter Apply to my Case?” and a tutorial on the Charter as well as the </w:t>
      </w:r>
      <w:r w:rsidRPr="000B6BFA">
        <w:rPr>
          <w:rFonts w:ascii="Times New Roman" w:hAnsi="Times New Roman" w:cs="Times New Roman"/>
          <w:b/>
          <w:bCs/>
          <w:noProof/>
          <w:sz w:val="24"/>
          <w:szCs w:val="24"/>
        </w:rPr>
        <w:t>European Training Platform</w:t>
      </w:r>
      <w:r w:rsidRPr="000B6BFA">
        <w:rPr>
          <w:rStyle w:val="FootnoteReference"/>
          <w:noProof/>
        </w:rPr>
        <w:footnoteReference w:id="66"/>
      </w:r>
      <w:r>
        <w:rPr>
          <w:rFonts w:ascii="Times New Roman" w:hAnsi="Times New Roman" w:cs="Times New Roman"/>
          <w:noProof/>
          <w:sz w:val="24"/>
          <w:szCs w:val="24"/>
        </w:rPr>
        <w:t xml:space="preserve">. </w:t>
      </w:r>
    </w:p>
    <w:p w14:paraId="6200E214" w14:textId="77777777" w:rsidR="002C0325" w:rsidRDefault="002C0325" w:rsidP="002C0325">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In addition to action grants for individual projects, the Commission grants operating grants to select stakeholders to support their smooth functioning from the Justice programme.</w:t>
      </w:r>
    </w:p>
    <w:p w14:paraId="56EDFC18" w14:textId="77777777" w:rsidR="002C0325" w:rsidRPr="000B6BFA" w:rsidRDefault="002C0325" w:rsidP="002C0325">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sidRPr="000B6BFA">
        <w:rPr>
          <w:rFonts w:ascii="Times New Roman" w:hAnsi="Times New Roman" w:cs="Times New Roman"/>
          <w:noProof/>
          <w:sz w:val="20"/>
          <w:szCs w:val="20"/>
        </w:rPr>
        <w:t xml:space="preserve">The </w:t>
      </w:r>
      <w:r w:rsidRPr="000B6BFA">
        <w:rPr>
          <w:rFonts w:ascii="Times New Roman" w:hAnsi="Times New Roman" w:cs="Times New Roman"/>
          <w:b/>
          <w:bCs/>
          <w:noProof/>
          <w:sz w:val="20"/>
          <w:szCs w:val="20"/>
        </w:rPr>
        <w:t>Association of the European Network on Victims’ Rights</w:t>
      </w:r>
      <w:r>
        <w:rPr>
          <w:rFonts w:ascii="Times New Roman" w:hAnsi="Times New Roman" w:cs="Times New Roman"/>
          <w:noProof/>
          <w:sz w:val="20"/>
          <w:szCs w:val="20"/>
        </w:rPr>
        <w:t xml:space="preserve"> </w:t>
      </w:r>
      <w:r w:rsidRPr="000B6BFA">
        <w:rPr>
          <w:rFonts w:ascii="Times New Roman" w:hAnsi="Times New Roman" w:cs="Times New Roman"/>
          <w:noProof/>
          <w:sz w:val="20"/>
          <w:szCs w:val="20"/>
        </w:rPr>
        <w:t>has successfully developed effective means of cooperation and coordination between Member State professionals in the field of victims’ rights with a focus on cross-border</w:t>
      </w:r>
      <w:r>
        <w:rPr>
          <w:rFonts w:ascii="Times New Roman" w:hAnsi="Times New Roman" w:cs="Times New Roman"/>
          <w:noProof/>
          <w:sz w:val="20"/>
          <w:szCs w:val="20"/>
        </w:rPr>
        <w:t xml:space="preserve"> </w:t>
      </w:r>
      <w:r w:rsidRPr="000B6BFA">
        <w:rPr>
          <w:rFonts w:ascii="Times New Roman" w:hAnsi="Times New Roman" w:cs="Times New Roman"/>
          <w:noProof/>
          <w:sz w:val="20"/>
          <w:szCs w:val="20"/>
        </w:rPr>
        <w:t>cases. This has contributed significantly to the improvement of methods for implementation of the EU law and has enhanced victims’ access to their rights on a non-discriminatory basis.</w:t>
      </w:r>
    </w:p>
    <w:p w14:paraId="02ED14F7" w14:textId="77777777" w:rsidR="002C0325" w:rsidRPr="006E2709" w:rsidRDefault="002C0325" w:rsidP="002C0325">
      <w:pPr>
        <w:pStyle w:val="Headerlevel2"/>
      </w:pPr>
      <w:r w:rsidRPr="00691027">
        <w:rPr>
          <w:szCs w:val="24"/>
        </w:rPr>
        <w:t xml:space="preserve"> </w:t>
      </w:r>
      <w:r>
        <w:t>Digital Europe Programme</w:t>
      </w:r>
      <w:r w:rsidRPr="004907CC">
        <w:t xml:space="preserve"> </w:t>
      </w:r>
    </w:p>
    <w:p w14:paraId="5C49FEF4" w14:textId="77777777" w:rsidR="002C0325" w:rsidRDefault="002C0325" w:rsidP="002C0325">
      <w:p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rPr>
        <w:t>Initiatives regarding the digitalisation of justice</w:t>
      </w:r>
      <w:r>
        <w:rPr>
          <w:rStyle w:val="FootnoteReference"/>
          <w:noProof/>
        </w:rPr>
        <w:footnoteReference w:id="67"/>
      </w:r>
      <w:r>
        <w:rPr>
          <w:rFonts w:ascii="Times New Roman" w:hAnsi="Times New Roman" w:cs="Times New Roman"/>
          <w:noProof/>
          <w:sz w:val="24"/>
          <w:szCs w:val="24"/>
        </w:rPr>
        <w:t xml:space="preserve"> are partially funded from</w:t>
      </w:r>
      <w:r w:rsidRPr="0065431F">
        <w:rPr>
          <w:rFonts w:ascii="Times New Roman" w:hAnsi="Times New Roman" w:cs="Times New Roman"/>
          <w:noProof/>
          <w:sz w:val="24"/>
          <w:szCs w:val="24"/>
        </w:rPr>
        <w:t xml:space="preserve"> </w:t>
      </w:r>
      <w:r w:rsidRPr="000B6BFA">
        <w:rPr>
          <w:rFonts w:ascii="Times New Roman" w:hAnsi="Times New Roman" w:cs="Times New Roman"/>
          <w:noProof/>
          <w:sz w:val="24"/>
          <w:szCs w:val="24"/>
        </w:rPr>
        <w:t>the Digital Europe Programme (DEP)</w:t>
      </w:r>
      <w:r w:rsidRPr="005035EC">
        <w:rPr>
          <w:rStyle w:val="FootnoteReference"/>
          <w:noProof/>
        </w:rPr>
        <w:t xml:space="preserve"> </w:t>
      </w:r>
      <w:r>
        <w:rPr>
          <w:rStyle w:val="FootnoteReference"/>
          <w:noProof/>
        </w:rPr>
        <w:footnoteReference w:id="68"/>
      </w:r>
      <w:r w:rsidRPr="00144AEE">
        <w:rPr>
          <w:rFonts w:ascii="Times New Roman" w:hAnsi="Times New Roman" w:cs="Times New Roman"/>
          <w:noProof/>
          <w:sz w:val="24"/>
          <w:szCs w:val="24"/>
        </w:rPr>
        <w:t xml:space="preserve">, which </w:t>
      </w:r>
      <w:r w:rsidRPr="0065431F">
        <w:rPr>
          <w:rFonts w:ascii="Times New Roman" w:hAnsi="Times New Roman" w:cs="Times New Roman"/>
          <w:noProof/>
          <w:sz w:val="24"/>
          <w:szCs w:val="24"/>
        </w:rPr>
        <w:t>f</w:t>
      </w:r>
      <w:r>
        <w:rPr>
          <w:rFonts w:ascii="Times New Roman" w:hAnsi="Times New Roman" w:cs="Times New Roman"/>
          <w:noProof/>
          <w:sz w:val="24"/>
          <w:szCs w:val="24"/>
        </w:rPr>
        <w:t>ocuses on</w:t>
      </w:r>
      <w:r w:rsidRPr="0065431F">
        <w:rPr>
          <w:rFonts w:ascii="Times New Roman" w:hAnsi="Times New Roman" w:cs="Times New Roman"/>
          <w:noProof/>
          <w:sz w:val="24"/>
          <w:szCs w:val="24"/>
        </w:rPr>
        <w:t xml:space="preserve"> the maintenance and development of</w:t>
      </w:r>
      <w:r>
        <w:rPr>
          <w:rFonts w:ascii="Times New Roman" w:hAnsi="Times New Roman" w:cs="Times New Roman"/>
          <w:noProof/>
          <w:sz w:val="24"/>
          <w:szCs w:val="24"/>
        </w:rPr>
        <w:t xml:space="preserve"> </w:t>
      </w:r>
      <w:r w:rsidRPr="006705D7">
        <w:rPr>
          <w:rFonts w:ascii="Times New Roman" w:hAnsi="Times New Roman" w:cs="Times New Roman"/>
          <w:noProof/>
          <w:sz w:val="24"/>
          <w:szCs w:val="24"/>
        </w:rPr>
        <w:t xml:space="preserve">the </w:t>
      </w:r>
      <w:r w:rsidRPr="006705D7">
        <w:rPr>
          <w:rFonts w:ascii="Times New Roman" w:hAnsi="Times New Roman" w:cs="Times New Roman"/>
          <w:noProof/>
          <w:sz w:val="24"/>
          <w:szCs w:val="24"/>
          <w:lang w:val="en-GB"/>
        </w:rPr>
        <w:t xml:space="preserve">EU’s digital capacities </w:t>
      </w:r>
      <w:r>
        <w:rPr>
          <w:rFonts w:ascii="Times New Roman" w:hAnsi="Times New Roman" w:cs="Times New Roman"/>
          <w:noProof/>
          <w:sz w:val="24"/>
          <w:szCs w:val="24"/>
          <w:lang w:val="en-GB"/>
        </w:rPr>
        <w:t xml:space="preserve">in </w:t>
      </w:r>
      <w:r w:rsidRPr="006705D7">
        <w:rPr>
          <w:rFonts w:ascii="Times New Roman" w:hAnsi="Times New Roman" w:cs="Times New Roman"/>
          <w:noProof/>
          <w:sz w:val="24"/>
          <w:szCs w:val="24"/>
          <w:lang w:val="en-GB"/>
        </w:rPr>
        <w:t>key areas</w:t>
      </w:r>
      <w:r>
        <w:rPr>
          <w:rFonts w:ascii="Times New Roman" w:hAnsi="Times New Roman" w:cs="Times New Roman"/>
          <w:noProof/>
          <w:sz w:val="24"/>
          <w:szCs w:val="24"/>
          <w:lang w:val="en-GB"/>
        </w:rPr>
        <w:t>, including</w:t>
      </w:r>
      <w:r w:rsidRPr="006705D7">
        <w:rPr>
          <w:rFonts w:ascii="Times New Roman" w:hAnsi="Times New Roman" w:cs="Times New Roman"/>
          <w:noProof/>
          <w:sz w:val="24"/>
          <w:szCs w:val="24"/>
          <w:lang w:val="en-GB"/>
        </w:rPr>
        <w:t xml:space="preserve"> </w:t>
      </w:r>
      <w:r>
        <w:rPr>
          <w:rFonts w:ascii="Times New Roman" w:hAnsi="Times New Roman" w:cs="Times New Roman"/>
          <w:noProof/>
          <w:sz w:val="24"/>
          <w:szCs w:val="24"/>
          <w:lang w:val="en-GB"/>
        </w:rPr>
        <w:t>artificial intelligence (</w:t>
      </w:r>
      <w:r w:rsidRPr="006705D7">
        <w:rPr>
          <w:rFonts w:ascii="Times New Roman" w:hAnsi="Times New Roman" w:cs="Times New Roman"/>
          <w:noProof/>
          <w:sz w:val="24"/>
          <w:szCs w:val="24"/>
          <w:lang w:val="en-GB"/>
        </w:rPr>
        <w:t>AI</w:t>
      </w:r>
      <w:r>
        <w:rPr>
          <w:rFonts w:ascii="Times New Roman" w:hAnsi="Times New Roman" w:cs="Times New Roman"/>
          <w:noProof/>
          <w:sz w:val="24"/>
          <w:szCs w:val="24"/>
          <w:lang w:val="en-GB"/>
        </w:rPr>
        <w:t>)</w:t>
      </w:r>
      <w:r w:rsidRPr="006705D7">
        <w:rPr>
          <w:rFonts w:ascii="Times New Roman" w:hAnsi="Times New Roman" w:cs="Times New Roman"/>
          <w:noProof/>
          <w:sz w:val="24"/>
          <w:szCs w:val="24"/>
          <w:lang w:val="en-GB"/>
        </w:rPr>
        <w:t>, cybersecurity,</w:t>
      </w:r>
      <w:r>
        <w:rPr>
          <w:rFonts w:ascii="Times New Roman" w:hAnsi="Times New Roman" w:cs="Times New Roman"/>
          <w:noProof/>
          <w:sz w:val="24"/>
          <w:szCs w:val="24"/>
          <w:lang w:val="en-GB"/>
        </w:rPr>
        <w:t xml:space="preserve"> and</w:t>
      </w:r>
      <w:r w:rsidRPr="006705D7">
        <w:rPr>
          <w:rFonts w:ascii="Times New Roman" w:hAnsi="Times New Roman" w:cs="Times New Roman"/>
          <w:noProof/>
          <w:sz w:val="24"/>
          <w:szCs w:val="24"/>
          <w:lang w:val="en-GB"/>
        </w:rPr>
        <w:t xml:space="preserve"> </w:t>
      </w:r>
      <w:r>
        <w:rPr>
          <w:rFonts w:ascii="Times New Roman" w:hAnsi="Times New Roman" w:cs="Times New Roman"/>
          <w:noProof/>
          <w:sz w:val="24"/>
          <w:szCs w:val="24"/>
          <w:lang w:val="en-GB"/>
        </w:rPr>
        <w:t>technologies</w:t>
      </w:r>
      <w:r w:rsidRPr="006705D7">
        <w:rPr>
          <w:rFonts w:ascii="Times New Roman" w:hAnsi="Times New Roman" w:cs="Times New Roman"/>
          <w:noProof/>
          <w:sz w:val="24"/>
          <w:szCs w:val="24"/>
          <w:lang w:val="en-GB"/>
        </w:rPr>
        <w:t xml:space="preserve"> for sectors like energy, climate change and environment, manufacturing, agriculture and healthcare. </w:t>
      </w:r>
      <w:r>
        <w:rPr>
          <w:rFonts w:ascii="Times New Roman" w:hAnsi="Times New Roman" w:cs="Times New Roman"/>
          <w:noProof/>
          <w:sz w:val="24"/>
          <w:szCs w:val="24"/>
          <w:lang w:val="en-GB"/>
        </w:rPr>
        <w:t xml:space="preserve">The DEP has for instance been used to fund initiatives to support the preparation and the </w:t>
      </w:r>
      <w:r w:rsidRPr="00800B4B">
        <w:rPr>
          <w:rFonts w:ascii="Times New Roman" w:hAnsi="Times New Roman" w:cs="Times New Roman"/>
          <w:noProof/>
          <w:sz w:val="24"/>
          <w:szCs w:val="24"/>
          <w:lang w:val="en-GB"/>
        </w:rPr>
        <w:t xml:space="preserve">implementation of the </w:t>
      </w:r>
      <w:r w:rsidRPr="00251D9B">
        <w:rPr>
          <w:rFonts w:ascii="Times New Roman" w:hAnsi="Times New Roman" w:cs="Times New Roman"/>
          <w:b/>
          <w:bCs/>
          <w:noProof/>
          <w:sz w:val="24"/>
          <w:szCs w:val="24"/>
          <w:lang w:val="en-GB"/>
        </w:rPr>
        <w:t>Artificial Intelligence</w:t>
      </w:r>
      <w:r w:rsidRPr="002541CF">
        <w:rPr>
          <w:rFonts w:ascii="Times New Roman" w:hAnsi="Times New Roman" w:cs="Times New Roman"/>
          <w:b/>
          <w:bCs/>
          <w:noProof/>
          <w:sz w:val="24"/>
          <w:szCs w:val="24"/>
          <w:lang w:val="en-GB"/>
        </w:rPr>
        <w:t xml:space="preserve"> Act</w:t>
      </w:r>
      <w:r>
        <w:rPr>
          <w:rStyle w:val="FootnoteReference"/>
          <w:noProof/>
          <w:lang w:val="en-GB"/>
        </w:rPr>
        <w:footnoteReference w:id="69"/>
      </w:r>
      <w:r>
        <w:rPr>
          <w:rFonts w:ascii="Times New Roman" w:hAnsi="Times New Roman" w:cs="Times New Roman"/>
          <w:noProof/>
          <w:sz w:val="24"/>
          <w:szCs w:val="24"/>
          <w:lang w:val="en-GB"/>
        </w:rPr>
        <w:t xml:space="preserve">. </w:t>
      </w:r>
    </w:p>
    <w:p w14:paraId="1DC6AB77" w14:textId="77777777" w:rsidR="002C0325" w:rsidRPr="00063F22" w:rsidRDefault="002C0325" w:rsidP="002C0325">
      <w:p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Funding from the DEP has also been issued to support the </w:t>
      </w:r>
      <w:r w:rsidRPr="00800B4B">
        <w:rPr>
          <w:rFonts w:ascii="Times New Roman" w:hAnsi="Times New Roman" w:cs="Times New Roman"/>
          <w:noProof/>
          <w:sz w:val="24"/>
          <w:szCs w:val="24"/>
          <w:lang w:val="en-GB"/>
        </w:rPr>
        <w:t>implementation of the</w:t>
      </w:r>
      <w:r w:rsidRPr="00251D9B">
        <w:rPr>
          <w:rFonts w:ascii="Times New Roman" w:hAnsi="Times New Roman" w:cs="Times New Roman"/>
          <w:b/>
          <w:bCs/>
          <w:noProof/>
          <w:sz w:val="24"/>
          <w:szCs w:val="24"/>
          <w:lang w:val="en-GB"/>
        </w:rPr>
        <w:t xml:space="preserve"> Better internet for kids strategy (BIK+)</w:t>
      </w:r>
      <w:r>
        <w:rPr>
          <w:rStyle w:val="FootnoteReference"/>
          <w:noProof/>
          <w:lang w:val="en-GB"/>
        </w:rPr>
        <w:footnoteReference w:id="70"/>
      </w:r>
      <w:r w:rsidRPr="000B6BFA">
        <w:rPr>
          <w:rFonts w:ascii="Times New Roman" w:hAnsi="Times New Roman" w:cs="Times New Roman"/>
          <w:noProof/>
          <w:sz w:val="24"/>
          <w:szCs w:val="24"/>
          <w:lang w:val="en-GB"/>
        </w:rPr>
        <w:t>, contributing to the application of the rights of the child enshrined in Article 24 of the Charter</w:t>
      </w:r>
      <w:r w:rsidRPr="008E7A8D">
        <w:rPr>
          <w:rFonts w:ascii="Times New Roman" w:hAnsi="Times New Roman" w:cs="Times New Roman"/>
          <w:noProof/>
          <w:sz w:val="24"/>
          <w:szCs w:val="24"/>
          <w:lang w:val="en-GB"/>
        </w:rPr>
        <w:t xml:space="preserve">. </w:t>
      </w:r>
      <w:r>
        <w:rPr>
          <w:rFonts w:ascii="Times New Roman" w:hAnsi="Times New Roman" w:cs="Times New Roman"/>
          <w:noProof/>
          <w:sz w:val="24"/>
          <w:szCs w:val="24"/>
          <w:lang w:val="en-GB"/>
        </w:rPr>
        <w:t xml:space="preserve">Funding from the DEP is used to fund the network of Safer Internet Centres in </w:t>
      </w:r>
      <w:r w:rsidRPr="7E5E5E6C">
        <w:rPr>
          <w:rFonts w:ascii="Times New Roman" w:hAnsi="Times New Roman" w:cs="Times New Roman"/>
          <w:noProof/>
          <w:sz w:val="24"/>
          <w:szCs w:val="24"/>
          <w:lang w:val="en-GB"/>
        </w:rPr>
        <w:t xml:space="preserve">Member </w:t>
      </w:r>
      <w:r>
        <w:rPr>
          <w:rFonts w:ascii="Times New Roman" w:hAnsi="Times New Roman" w:cs="Times New Roman"/>
          <w:noProof/>
          <w:sz w:val="24"/>
          <w:szCs w:val="24"/>
          <w:lang w:val="en-GB"/>
        </w:rPr>
        <w:t xml:space="preserve">States and the BIK platform, which raise awareness on the digital rights of children and young people. The Centres allows the public to anonymously report child sexual abuse material and advice children on how to deal with harmful online content. The DEP has also been used to support the </w:t>
      </w:r>
      <w:r w:rsidRPr="00800B4B">
        <w:rPr>
          <w:rFonts w:ascii="Times New Roman" w:hAnsi="Times New Roman" w:cs="Times New Roman"/>
          <w:noProof/>
          <w:sz w:val="24"/>
          <w:szCs w:val="24"/>
          <w:lang w:val="en-GB"/>
        </w:rPr>
        <w:t>implementation of the</w:t>
      </w:r>
      <w:r w:rsidRPr="00343AD3">
        <w:rPr>
          <w:rFonts w:ascii="Times New Roman" w:hAnsi="Times New Roman" w:cs="Times New Roman"/>
          <w:b/>
          <w:bCs/>
          <w:noProof/>
          <w:sz w:val="24"/>
          <w:szCs w:val="24"/>
          <w:lang w:val="en-GB"/>
        </w:rPr>
        <w:t xml:space="preserve"> Web Accessibility Directive</w:t>
      </w:r>
      <w:r>
        <w:rPr>
          <w:rStyle w:val="FootnoteReference"/>
          <w:noProof/>
          <w:lang w:val="en-GB"/>
        </w:rPr>
        <w:footnoteReference w:id="71"/>
      </w:r>
      <w:r>
        <w:rPr>
          <w:rFonts w:ascii="Times New Roman" w:hAnsi="Times New Roman" w:cs="Times New Roman"/>
          <w:b/>
          <w:bCs/>
          <w:noProof/>
          <w:sz w:val="24"/>
          <w:szCs w:val="24"/>
          <w:lang w:val="en-GB"/>
        </w:rPr>
        <w:t xml:space="preserve"> </w:t>
      </w:r>
      <w:r w:rsidRPr="00343AD3">
        <w:rPr>
          <w:rFonts w:ascii="Times New Roman" w:hAnsi="Times New Roman" w:cs="Times New Roman"/>
          <w:noProof/>
          <w:sz w:val="24"/>
          <w:szCs w:val="24"/>
          <w:lang w:val="en-GB"/>
        </w:rPr>
        <w:t xml:space="preserve">and </w:t>
      </w:r>
      <w:r>
        <w:rPr>
          <w:rFonts w:ascii="Times New Roman" w:hAnsi="Times New Roman" w:cs="Times New Roman"/>
          <w:noProof/>
          <w:sz w:val="24"/>
          <w:szCs w:val="24"/>
          <w:lang w:val="en-GB"/>
        </w:rPr>
        <w:t>the development of</w:t>
      </w:r>
      <w:r w:rsidRPr="00343AD3">
        <w:rPr>
          <w:rFonts w:ascii="Times New Roman" w:hAnsi="Times New Roman" w:cs="Times New Roman"/>
          <w:noProof/>
          <w:sz w:val="24"/>
          <w:szCs w:val="24"/>
          <w:lang w:val="en-GB"/>
        </w:rPr>
        <w:t xml:space="preserve"> standards on digital accessibility</w:t>
      </w:r>
      <w:r w:rsidRPr="7E5E5E6C">
        <w:rPr>
          <w:rFonts w:ascii="Times New Roman" w:hAnsi="Times New Roman" w:cs="Times New Roman"/>
          <w:noProof/>
          <w:sz w:val="24"/>
          <w:szCs w:val="24"/>
          <w:lang w:val="en-GB"/>
        </w:rPr>
        <w:t>, contributing to the application of Article 25 of the Charter on the rights of the elderly and 26 on integration of persons with disabilities</w:t>
      </w:r>
      <w:r w:rsidRPr="00343AD3">
        <w:rPr>
          <w:rFonts w:ascii="Times New Roman" w:hAnsi="Times New Roman" w:cs="Times New Roman"/>
          <w:noProof/>
          <w:sz w:val="24"/>
          <w:szCs w:val="24"/>
          <w:lang w:val="en-GB"/>
        </w:rPr>
        <w:t>.</w:t>
      </w:r>
      <w:r>
        <w:rPr>
          <w:rFonts w:ascii="Times New Roman" w:hAnsi="Times New Roman" w:cs="Times New Roman"/>
          <w:b/>
          <w:bCs/>
          <w:noProof/>
          <w:sz w:val="24"/>
          <w:szCs w:val="24"/>
          <w:lang w:val="en-GB"/>
        </w:rPr>
        <w:t xml:space="preserve"> </w:t>
      </w:r>
    </w:p>
    <w:p w14:paraId="69ACB005" w14:textId="77777777" w:rsidR="002C0325" w:rsidRPr="004E360C" w:rsidRDefault="002C0325" w:rsidP="002C0325">
      <w:pPr>
        <w:spacing w:line="276" w:lineRule="auto"/>
        <w:jc w:val="both"/>
        <w:rPr>
          <w:rFonts w:ascii="Times New Roman" w:hAnsi="Times New Roman" w:cs="Times New Roman"/>
          <w:noProof/>
          <w:sz w:val="20"/>
          <w:szCs w:val="20"/>
        </w:rPr>
      </w:pPr>
      <w:r w:rsidRPr="7E5E5E6C">
        <w:rPr>
          <w:rFonts w:ascii="Times New Roman" w:eastAsia="Times New Roman" w:hAnsi="Times New Roman" w:cs="Times New Roman"/>
          <w:noProof/>
          <w:color w:val="000000" w:themeColor="text1"/>
          <w:sz w:val="24"/>
          <w:szCs w:val="24"/>
          <w:lang w:val="en-GB"/>
        </w:rPr>
        <w:t xml:space="preserve">Disinformation and misinformation threaten to undermine </w:t>
      </w:r>
      <w:r>
        <w:rPr>
          <w:rFonts w:ascii="Times New Roman" w:eastAsia="Times New Roman" w:hAnsi="Times New Roman" w:cs="Times New Roman"/>
          <w:noProof/>
          <w:color w:val="000000" w:themeColor="text1"/>
          <w:sz w:val="24"/>
          <w:szCs w:val="24"/>
          <w:lang w:val="en-GB"/>
        </w:rPr>
        <w:t xml:space="preserve">the </w:t>
      </w:r>
      <w:r w:rsidRPr="7E5E5E6C">
        <w:rPr>
          <w:rFonts w:ascii="Times New Roman" w:eastAsia="Times New Roman" w:hAnsi="Times New Roman" w:cs="Times New Roman"/>
          <w:noProof/>
          <w:color w:val="000000" w:themeColor="text1"/>
          <w:sz w:val="24"/>
          <w:szCs w:val="24"/>
          <w:lang w:val="en-GB"/>
        </w:rPr>
        <w:t>right of</w:t>
      </w:r>
      <w:r>
        <w:rPr>
          <w:rFonts w:ascii="Times New Roman" w:eastAsia="Times New Roman" w:hAnsi="Times New Roman" w:cs="Times New Roman"/>
          <w:noProof/>
          <w:color w:val="000000" w:themeColor="text1"/>
          <w:sz w:val="24"/>
          <w:szCs w:val="24"/>
          <w:lang w:val="en-GB"/>
        </w:rPr>
        <w:t xml:space="preserve"> everyone to receive and impart information and ideas without interference by public authority, enshrined in Article 11(1) of the Charter.</w:t>
      </w:r>
      <w:r w:rsidRPr="7E5E5E6C">
        <w:rPr>
          <w:rFonts w:ascii="Times New Roman" w:eastAsia="Times New Roman" w:hAnsi="Times New Roman" w:cs="Times New Roman"/>
          <w:noProof/>
          <w:color w:val="000000" w:themeColor="text1"/>
          <w:sz w:val="24"/>
          <w:szCs w:val="24"/>
          <w:lang w:val="en-GB"/>
        </w:rPr>
        <w:t xml:space="preserve"> Through </w:t>
      </w:r>
      <w:r>
        <w:rPr>
          <w:rFonts w:ascii="Times New Roman" w:eastAsia="Times New Roman" w:hAnsi="Times New Roman" w:cs="Times New Roman"/>
          <w:noProof/>
          <w:color w:val="000000" w:themeColor="text1"/>
          <w:sz w:val="24"/>
          <w:szCs w:val="24"/>
          <w:lang w:val="en-GB"/>
        </w:rPr>
        <w:t>the DEP</w:t>
      </w:r>
      <w:r w:rsidRPr="7E5E5E6C">
        <w:rPr>
          <w:rFonts w:ascii="Times New Roman" w:eastAsia="Times New Roman" w:hAnsi="Times New Roman" w:cs="Times New Roman"/>
          <w:noProof/>
          <w:color w:val="000000" w:themeColor="text1"/>
          <w:sz w:val="24"/>
          <w:szCs w:val="24"/>
          <w:lang w:val="en-GB"/>
        </w:rPr>
        <w:t xml:space="preserve">, the Commission supports the work of the </w:t>
      </w:r>
      <w:r w:rsidRPr="7E5E5E6C">
        <w:rPr>
          <w:rFonts w:ascii="Times New Roman" w:eastAsia="Times New Roman" w:hAnsi="Times New Roman" w:cs="Times New Roman"/>
          <w:b/>
          <w:bCs/>
          <w:noProof/>
          <w:color w:val="000000" w:themeColor="text1"/>
          <w:sz w:val="24"/>
          <w:szCs w:val="24"/>
          <w:lang w:val="en-GB"/>
        </w:rPr>
        <w:t>European Digital Media Observatory</w:t>
      </w:r>
      <w:r>
        <w:rPr>
          <w:rStyle w:val="FootnoteReference"/>
          <w:rFonts w:eastAsia="Times New Roman"/>
          <w:b/>
          <w:bCs/>
          <w:noProof/>
          <w:color w:val="000000" w:themeColor="text1"/>
          <w:lang w:val="en-GB"/>
        </w:rPr>
        <w:footnoteReference w:id="72"/>
      </w:r>
      <w:r>
        <w:rPr>
          <w:rFonts w:ascii="Times New Roman" w:eastAsia="Times New Roman" w:hAnsi="Times New Roman" w:cs="Times New Roman"/>
          <w:noProof/>
          <w:color w:val="000000" w:themeColor="text1"/>
          <w:sz w:val="24"/>
          <w:szCs w:val="24"/>
          <w:lang w:val="en-GB"/>
        </w:rPr>
        <w:t xml:space="preserve"> </w:t>
      </w:r>
      <w:r w:rsidRPr="7E5E5E6C">
        <w:rPr>
          <w:rFonts w:ascii="Times New Roman" w:eastAsia="Times New Roman" w:hAnsi="Times New Roman" w:cs="Times New Roman"/>
          <w:noProof/>
          <w:color w:val="000000" w:themeColor="text1"/>
          <w:sz w:val="24"/>
          <w:szCs w:val="24"/>
          <w:lang w:val="en-GB"/>
        </w:rPr>
        <w:t xml:space="preserve">and its network of </w:t>
      </w:r>
      <w:r w:rsidRPr="7E5E5E6C">
        <w:rPr>
          <w:rFonts w:ascii="Times New Roman" w:eastAsia="Times New Roman" w:hAnsi="Times New Roman" w:cs="Times New Roman"/>
          <w:noProof/>
          <w:color w:val="000000" w:themeColor="text1"/>
          <w:sz w:val="24"/>
          <w:szCs w:val="24"/>
        </w:rPr>
        <w:t>14 national or multinational hubs, which are active across 28 EU and EEA</w:t>
      </w:r>
      <w:r>
        <w:rPr>
          <w:rFonts w:ascii="Times New Roman" w:eastAsia="Times New Roman" w:hAnsi="Times New Roman" w:cs="Times New Roman"/>
          <w:noProof/>
          <w:color w:val="000000" w:themeColor="text1"/>
          <w:sz w:val="24"/>
          <w:szCs w:val="24"/>
        </w:rPr>
        <w:t xml:space="preserve"> countries</w:t>
      </w:r>
      <w:r w:rsidRPr="7E5E5E6C">
        <w:rPr>
          <w:rFonts w:ascii="Times New Roman" w:eastAsia="Times New Roman" w:hAnsi="Times New Roman" w:cs="Times New Roman"/>
          <w:noProof/>
          <w:color w:val="000000" w:themeColor="text1"/>
          <w:sz w:val="24"/>
          <w:szCs w:val="24"/>
        </w:rPr>
        <w:t>.</w:t>
      </w:r>
      <w:r w:rsidRPr="7E5E5E6C">
        <w:rPr>
          <w:rFonts w:ascii="Times New Roman" w:eastAsia="Times New Roman" w:hAnsi="Times New Roman" w:cs="Times New Roman"/>
          <w:noProof/>
          <w:color w:val="000000" w:themeColor="text1"/>
          <w:sz w:val="24"/>
          <w:szCs w:val="24"/>
          <w:lang w:val="en-GB"/>
        </w:rPr>
        <w:t xml:space="preserve"> The network strengthens – at European and</w:t>
      </w:r>
      <w:r>
        <w:rPr>
          <w:rFonts w:ascii="Times New Roman" w:eastAsia="Times New Roman" w:hAnsi="Times New Roman" w:cs="Times New Roman"/>
          <w:noProof/>
          <w:color w:val="000000" w:themeColor="text1"/>
          <w:sz w:val="24"/>
          <w:szCs w:val="24"/>
          <w:lang w:val="en-GB"/>
        </w:rPr>
        <w:t xml:space="preserve"> </w:t>
      </w:r>
      <w:r w:rsidRPr="7E5E5E6C">
        <w:rPr>
          <w:rFonts w:ascii="Times New Roman" w:eastAsia="Times New Roman" w:hAnsi="Times New Roman" w:cs="Times New Roman"/>
          <w:noProof/>
          <w:color w:val="000000" w:themeColor="text1"/>
          <w:sz w:val="24"/>
          <w:szCs w:val="24"/>
          <w:lang w:val="en-GB"/>
        </w:rPr>
        <w:t>local level</w:t>
      </w:r>
      <w:r>
        <w:rPr>
          <w:rFonts w:ascii="Times New Roman" w:eastAsia="Times New Roman" w:hAnsi="Times New Roman" w:cs="Times New Roman"/>
          <w:noProof/>
          <w:color w:val="000000" w:themeColor="text1"/>
          <w:sz w:val="24"/>
          <w:szCs w:val="24"/>
          <w:lang w:val="en-GB"/>
        </w:rPr>
        <w:t>s</w:t>
      </w:r>
      <w:r w:rsidRPr="7E5E5E6C">
        <w:rPr>
          <w:rFonts w:ascii="Times New Roman" w:eastAsia="Times New Roman" w:hAnsi="Times New Roman" w:cs="Times New Roman"/>
          <w:noProof/>
          <w:color w:val="000000" w:themeColor="text1"/>
          <w:sz w:val="24"/>
          <w:szCs w:val="24"/>
          <w:lang w:val="en-GB"/>
        </w:rPr>
        <w:t xml:space="preserve"> – the collaboration </w:t>
      </w:r>
      <w:r>
        <w:rPr>
          <w:rFonts w:ascii="Times New Roman" w:eastAsia="Times New Roman" w:hAnsi="Times New Roman" w:cs="Times New Roman"/>
          <w:noProof/>
          <w:color w:val="000000" w:themeColor="text1"/>
          <w:sz w:val="24"/>
          <w:szCs w:val="24"/>
          <w:lang w:val="en-GB"/>
        </w:rPr>
        <w:t>within</w:t>
      </w:r>
      <w:r w:rsidRPr="7E5E5E6C">
        <w:rPr>
          <w:rFonts w:ascii="Times New Roman" w:eastAsia="Times New Roman" w:hAnsi="Times New Roman" w:cs="Times New Roman"/>
          <w:noProof/>
          <w:color w:val="000000" w:themeColor="text1"/>
          <w:sz w:val="24"/>
          <w:szCs w:val="24"/>
          <w:lang w:val="en-GB"/>
        </w:rPr>
        <w:t xml:space="preserve"> a community of stakeholders tackling online disinformation.</w:t>
      </w:r>
      <w:r w:rsidRPr="00AF4B85" w:rsidDel="005035EC">
        <w:rPr>
          <w:rFonts w:ascii="Times New Roman" w:hAnsi="Times New Roman" w:cs="Times New Roman"/>
          <w:noProof/>
          <w:lang w:val="en-GB"/>
        </w:rPr>
        <w:t xml:space="preserve"> </w:t>
      </w:r>
    </w:p>
    <w:p w14:paraId="20E9AE13" w14:textId="77777777" w:rsidR="002C0325" w:rsidRPr="006E2709" w:rsidRDefault="002C0325" w:rsidP="002C0325">
      <w:pPr>
        <w:pStyle w:val="Headerlevel2"/>
      </w:pPr>
      <w:r>
        <w:t>Creative Europe</w:t>
      </w:r>
      <w:r w:rsidRPr="004907CC">
        <w:t xml:space="preserve"> </w:t>
      </w:r>
    </w:p>
    <w:p w14:paraId="3FC7C4DA" w14:textId="77777777" w:rsidR="002C0325" w:rsidRDefault="002C0325" w:rsidP="002C0325">
      <w:pPr>
        <w:spacing w:after="120" w:line="276" w:lineRule="auto"/>
        <w:jc w:val="both"/>
        <w:rPr>
          <w:rFonts w:ascii="Times New Roman" w:hAnsi="Times New Roman" w:cs="Times New Roman"/>
          <w:noProof/>
          <w:sz w:val="24"/>
          <w:szCs w:val="24"/>
          <w:lang w:val="en-GB"/>
        </w:rPr>
      </w:pPr>
      <w:r w:rsidRPr="005035EC">
        <w:rPr>
          <w:rFonts w:ascii="Times New Roman" w:hAnsi="Times New Roman" w:cs="Times New Roman"/>
          <w:noProof/>
          <w:sz w:val="24"/>
          <w:szCs w:val="24"/>
          <w:lang w:val="en-GB"/>
        </w:rPr>
        <w:t xml:space="preserve">The </w:t>
      </w:r>
      <w:r w:rsidRPr="005035EC">
        <w:rPr>
          <w:rFonts w:ascii="Times New Roman" w:hAnsi="Times New Roman" w:cs="Times New Roman"/>
          <w:noProof/>
          <w:sz w:val="24"/>
          <w:szCs w:val="24"/>
        </w:rPr>
        <w:t>Creative Europe programme (CE)</w:t>
      </w:r>
      <w:r>
        <w:rPr>
          <w:rFonts w:ascii="Times New Roman" w:hAnsi="Times New Roman" w:cs="Times New Roman"/>
          <w:noProof/>
          <w:sz w:val="24"/>
          <w:szCs w:val="24"/>
        </w:rPr>
        <w:t xml:space="preserve"> provides funding to foster</w:t>
      </w:r>
      <w:r w:rsidRPr="00BE73EC">
        <w:rPr>
          <w:rFonts w:ascii="Times New Roman" w:hAnsi="Times New Roman" w:cs="Times New Roman"/>
          <w:noProof/>
          <w:sz w:val="24"/>
          <w:szCs w:val="24"/>
        </w:rPr>
        <w:t xml:space="preserve"> cultural and linguistic diversity</w:t>
      </w:r>
      <w:r w:rsidRPr="00975E87">
        <w:rPr>
          <w:rFonts w:ascii="Times New Roman" w:hAnsi="Times New Roman" w:cs="Times New Roman"/>
          <w:noProof/>
          <w:sz w:val="24"/>
          <w:szCs w:val="24"/>
        </w:rPr>
        <w:t>, promote artistic expression, and boost the economic potential of the creative industries</w:t>
      </w:r>
      <w:r>
        <w:rPr>
          <w:rStyle w:val="FootnoteReference"/>
          <w:noProof/>
        </w:rPr>
        <w:footnoteReference w:id="73"/>
      </w:r>
      <w:r w:rsidRPr="00975E87">
        <w:rPr>
          <w:rFonts w:ascii="Times New Roman" w:hAnsi="Times New Roman" w:cs="Times New Roman"/>
          <w:noProof/>
          <w:sz w:val="24"/>
          <w:szCs w:val="24"/>
        </w:rPr>
        <w:t>.</w:t>
      </w:r>
      <w:r w:rsidRPr="00BE73EC">
        <w:rPr>
          <w:rFonts w:ascii="Times New Roman" w:hAnsi="Times New Roman" w:cs="Times New Roman"/>
          <w:noProof/>
          <w:sz w:val="24"/>
          <w:szCs w:val="24"/>
        </w:rPr>
        <w:t xml:space="preserve"> </w:t>
      </w:r>
      <w:r>
        <w:rPr>
          <w:rFonts w:ascii="Times New Roman" w:hAnsi="Times New Roman" w:cs="Times New Roman"/>
          <w:noProof/>
          <w:sz w:val="24"/>
          <w:szCs w:val="24"/>
        </w:rPr>
        <w:t xml:space="preserve">Its objectives contribute to the promotion of </w:t>
      </w:r>
      <w:r w:rsidRPr="00BE73EC">
        <w:rPr>
          <w:rFonts w:ascii="Times New Roman" w:hAnsi="Times New Roman" w:cs="Times New Roman"/>
          <w:noProof/>
          <w:sz w:val="24"/>
          <w:szCs w:val="24"/>
        </w:rPr>
        <w:t>non-discrimination</w:t>
      </w:r>
      <w:r>
        <w:rPr>
          <w:rFonts w:ascii="Times New Roman" w:hAnsi="Times New Roman" w:cs="Times New Roman"/>
          <w:noProof/>
          <w:sz w:val="24"/>
          <w:szCs w:val="24"/>
        </w:rPr>
        <w:t xml:space="preserve">, </w:t>
      </w:r>
      <w:r w:rsidRPr="00BE73EC">
        <w:rPr>
          <w:rFonts w:ascii="Times New Roman" w:hAnsi="Times New Roman" w:cs="Times New Roman"/>
          <w:noProof/>
          <w:sz w:val="24"/>
          <w:szCs w:val="24"/>
        </w:rPr>
        <w:t xml:space="preserve">equality between </w:t>
      </w:r>
      <w:r w:rsidRPr="7E5E5E6C">
        <w:rPr>
          <w:rFonts w:ascii="Times New Roman" w:hAnsi="Times New Roman" w:cs="Times New Roman"/>
          <w:noProof/>
          <w:sz w:val="24"/>
          <w:szCs w:val="24"/>
        </w:rPr>
        <w:t xml:space="preserve">women and </w:t>
      </w:r>
      <w:r w:rsidRPr="00BE73EC">
        <w:rPr>
          <w:rFonts w:ascii="Times New Roman" w:hAnsi="Times New Roman" w:cs="Times New Roman"/>
          <w:noProof/>
          <w:sz w:val="24"/>
          <w:szCs w:val="24"/>
        </w:rPr>
        <w:t>men</w:t>
      </w:r>
      <w:r w:rsidRPr="7E5E5E6C">
        <w:rPr>
          <w:rFonts w:ascii="Times New Roman" w:hAnsi="Times New Roman" w:cs="Times New Roman"/>
          <w:noProof/>
          <w:sz w:val="24"/>
          <w:szCs w:val="24"/>
        </w:rPr>
        <w:t xml:space="preserve"> </w:t>
      </w:r>
      <w:r>
        <w:rPr>
          <w:rFonts w:ascii="Times New Roman" w:hAnsi="Times New Roman" w:cs="Times New Roman"/>
          <w:noProof/>
          <w:sz w:val="24"/>
          <w:szCs w:val="24"/>
        </w:rPr>
        <w:t>and cultural and linguistic diversity</w:t>
      </w:r>
      <w:r w:rsidRPr="00BE73EC">
        <w:rPr>
          <w:rFonts w:ascii="Times New Roman" w:hAnsi="Times New Roman" w:cs="Times New Roman"/>
          <w:noProof/>
          <w:sz w:val="24"/>
          <w:szCs w:val="24"/>
          <w:vertAlign w:val="superscript"/>
        </w:rPr>
        <w:footnoteReference w:id="74"/>
      </w:r>
      <w:r>
        <w:rPr>
          <w:rFonts w:ascii="Times New Roman" w:hAnsi="Times New Roman" w:cs="Times New Roman"/>
          <w:noProof/>
          <w:sz w:val="24"/>
          <w:szCs w:val="24"/>
        </w:rPr>
        <w:t xml:space="preserve"> enshrined in Article 21, 22 and 23 of the Charter. </w:t>
      </w:r>
      <w:r>
        <w:rPr>
          <w:rFonts w:ascii="Times New Roman" w:hAnsi="Times New Roman" w:cs="Times New Roman"/>
          <w:noProof/>
          <w:sz w:val="24"/>
          <w:szCs w:val="24"/>
          <w:lang w:val="en-GB"/>
        </w:rPr>
        <w:t>T</w:t>
      </w:r>
      <w:r w:rsidRPr="575129B4">
        <w:rPr>
          <w:rFonts w:ascii="Times New Roman" w:hAnsi="Times New Roman" w:cs="Times New Roman"/>
          <w:noProof/>
          <w:sz w:val="24"/>
          <w:szCs w:val="24"/>
          <w:lang w:val="en-GB"/>
        </w:rPr>
        <w:t xml:space="preserve">he Commission has supported projects within the media sectors, contributing to the promotion of the freedom and pluralism of the media (Article 11(2) of the Charter). </w:t>
      </w:r>
    </w:p>
    <w:p w14:paraId="6DD7B0A4" w14:textId="77777777" w:rsidR="002C0325" w:rsidRPr="000B6BFA" w:rsidRDefault="002C0325" w:rsidP="002C0325">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lang w:val="en-GB"/>
        </w:rPr>
      </w:pPr>
      <w:r w:rsidRPr="000B6BFA">
        <w:rPr>
          <w:rFonts w:ascii="Times New Roman" w:hAnsi="Times New Roman" w:cs="Times New Roman"/>
          <w:noProof/>
          <w:sz w:val="20"/>
          <w:szCs w:val="20"/>
          <w:lang w:val="en-GB"/>
        </w:rPr>
        <w:t>Under the ‘</w:t>
      </w:r>
      <w:r w:rsidRPr="000B6BFA">
        <w:rPr>
          <w:rFonts w:ascii="Times New Roman" w:hAnsi="Times New Roman" w:cs="Times New Roman"/>
          <w:b/>
          <w:bCs/>
          <w:noProof/>
          <w:sz w:val="20"/>
          <w:szCs w:val="20"/>
          <w:lang w:val="en-GB"/>
        </w:rPr>
        <w:t>News initiative</w:t>
      </w:r>
      <w:r w:rsidRPr="000B6BFA">
        <w:rPr>
          <w:rFonts w:ascii="Times New Roman" w:hAnsi="Times New Roman" w:cs="Times New Roman"/>
          <w:noProof/>
          <w:sz w:val="20"/>
          <w:szCs w:val="20"/>
          <w:lang w:val="en-GB"/>
        </w:rPr>
        <w:t>’</w:t>
      </w:r>
      <w:r w:rsidRPr="004D7F63">
        <w:rPr>
          <w:rStyle w:val="FootnoteReference"/>
          <w:noProof/>
          <w:sz w:val="20"/>
          <w:szCs w:val="20"/>
          <w:lang w:val="en-GB"/>
        </w:rPr>
        <w:footnoteReference w:id="75"/>
      </w:r>
      <w:r w:rsidRPr="000B6BFA">
        <w:rPr>
          <w:rFonts w:ascii="Times New Roman" w:hAnsi="Times New Roman" w:cs="Times New Roman"/>
          <w:noProof/>
          <w:sz w:val="20"/>
          <w:szCs w:val="20"/>
          <w:lang w:val="en-GB"/>
        </w:rPr>
        <w:t>, media freedom and pluralism have been supported through the distribution of grants to media outlets contributing to the good functioning of democracy (for instance local, community and investigative outlets). Funding has also been issued to projects like the “</w:t>
      </w:r>
      <w:r w:rsidRPr="000B6BFA">
        <w:rPr>
          <w:rFonts w:ascii="Times New Roman" w:hAnsi="Times New Roman" w:cs="Times New Roman"/>
          <w:b/>
          <w:bCs/>
          <w:noProof/>
          <w:sz w:val="20"/>
          <w:szCs w:val="20"/>
          <w:lang w:val="en-GB"/>
        </w:rPr>
        <w:t>Europe-wide rapid response mechanism for violations of press and media freedom</w:t>
      </w:r>
      <w:r w:rsidRPr="000B6BFA">
        <w:rPr>
          <w:rFonts w:ascii="Times New Roman" w:hAnsi="Times New Roman" w:cs="Times New Roman"/>
          <w:noProof/>
          <w:sz w:val="20"/>
          <w:szCs w:val="20"/>
          <w:lang w:val="en-GB"/>
        </w:rPr>
        <w:t>”, an action to track and report on violations of press and media freedom and provide practical support to journalists in the form of advice and legal support as well as offering shelter and logistical assistance.</w:t>
      </w:r>
    </w:p>
    <w:p w14:paraId="06A06E6E" w14:textId="77777777" w:rsidR="002C0325" w:rsidRPr="00321A5B" w:rsidRDefault="002C0325" w:rsidP="002C0325">
      <w:p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Another focus of the CE</w:t>
      </w:r>
      <w:r w:rsidRPr="005B6C81">
        <w:rPr>
          <w:rFonts w:ascii="Times New Roman" w:hAnsi="Times New Roman" w:cs="Times New Roman"/>
          <w:noProof/>
          <w:sz w:val="24"/>
          <w:szCs w:val="24"/>
          <w:lang w:val="en-GB"/>
        </w:rPr>
        <w:t xml:space="preserve"> programme</w:t>
      </w:r>
      <w:r>
        <w:rPr>
          <w:rFonts w:ascii="Times New Roman" w:hAnsi="Times New Roman" w:cs="Times New Roman"/>
          <w:noProof/>
          <w:sz w:val="24"/>
          <w:szCs w:val="24"/>
          <w:lang w:val="en-GB"/>
        </w:rPr>
        <w:t xml:space="preserve"> is</w:t>
      </w:r>
      <w:r w:rsidRPr="0049143E">
        <w:rPr>
          <w:rFonts w:ascii="Times New Roman" w:hAnsi="Times New Roman" w:cs="Times New Roman"/>
          <w:noProof/>
          <w:sz w:val="24"/>
          <w:szCs w:val="24"/>
          <w:lang w:val="en-GB"/>
        </w:rPr>
        <w:t xml:space="preserve"> monitoring </w:t>
      </w:r>
      <w:r w:rsidRPr="00D64A70">
        <w:rPr>
          <w:rFonts w:ascii="Times New Roman" w:hAnsi="Times New Roman" w:cs="Times New Roman"/>
          <w:noProof/>
          <w:sz w:val="24"/>
          <w:szCs w:val="24"/>
          <w:lang w:val="en-GB"/>
        </w:rPr>
        <w:t>media pluralism and ownership</w:t>
      </w:r>
      <w:r w:rsidRPr="0049143E">
        <w:rPr>
          <w:rFonts w:ascii="Times New Roman" w:hAnsi="Times New Roman" w:cs="Times New Roman"/>
          <w:noProof/>
          <w:sz w:val="24"/>
          <w:szCs w:val="24"/>
          <w:lang w:val="en-GB"/>
        </w:rPr>
        <w:t xml:space="preserve"> through studies</w:t>
      </w:r>
      <w:r>
        <w:rPr>
          <w:rFonts w:ascii="Times New Roman" w:hAnsi="Times New Roman" w:cs="Times New Roman"/>
          <w:noProof/>
          <w:sz w:val="24"/>
          <w:szCs w:val="24"/>
          <w:lang w:val="en-GB"/>
        </w:rPr>
        <w:t xml:space="preserve"> to</w:t>
      </w:r>
      <w:r w:rsidRPr="0049143E">
        <w:rPr>
          <w:rFonts w:ascii="Times New Roman" w:hAnsi="Times New Roman" w:cs="Times New Roman"/>
          <w:noProof/>
          <w:sz w:val="24"/>
          <w:szCs w:val="24"/>
          <w:lang w:val="en-GB"/>
        </w:rPr>
        <w:t xml:space="preserve"> support </w:t>
      </w:r>
      <w:r>
        <w:rPr>
          <w:rFonts w:ascii="Times New Roman" w:hAnsi="Times New Roman" w:cs="Times New Roman"/>
          <w:noProof/>
          <w:sz w:val="24"/>
          <w:szCs w:val="24"/>
          <w:lang w:val="en-GB"/>
        </w:rPr>
        <w:t xml:space="preserve">proposals for </w:t>
      </w:r>
      <w:r w:rsidRPr="0049143E">
        <w:rPr>
          <w:rFonts w:ascii="Times New Roman" w:hAnsi="Times New Roman" w:cs="Times New Roman"/>
          <w:noProof/>
          <w:sz w:val="24"/>
          <w:szCs w:val="24"/>
          <w:lang w:val="en-GB"/>
        </w:rPr>
        <w:t>legislation</w:t>
      </w:r>
      <w:r>
        <w:rPr>
          <w:rFonts w:ascii="Times New Roman" w:hAnsi="Times New Roman" w:cs="Times New Roman"/>
          <w:noProof/>
          <w:sz w:val="24"/>
          <w:szCs w:val="24"/>
          <w:lang w:val="en-GB"/>
        </w:rPr>
        <w:t>,</w:t>
      </w:r>
      <w:r w:rsidRPr="0049143E">
        <w:rPr>
          <w:rFonts w:ascii="Times New Roman" w:hAnsi="Times New Roman" w:cs="Times New Roman"/>
          <w:noProof/>
          <w:sz w:val="24"/>
          <w:szCs w:val="24"/>
          <w:lang w:val="en-GB"/>
        </w:rPr>
        <w:t xml:space="preserve"> such as the </w:t>
      </w:r>
      <w:r w:rsidRPr="00800B4B">
        <w:rPr>
          <w:rFonts w:ascii="Times New Roman" w:hAnsi="Times New Roman" w:cs="Times New Roman"/>
          <w:b/>
          <w:bCs/>
          <w:noProof/>
          <w:sz w:val="24"/>
          <w:szCs w:val="24"/>
          <w:lang w:val="en-GB"/>
        </w:rPr>
        <w:t>European Media Freedom Act</w:t>
      </w:r>
      <w:r>
        <w:rPr>
          <w:rStyle w:val="FootnoteReference"/>
          <w:noProof/>
          <w:lang w:val="en-GB"/>
        </w:rPr>
        <w:footnoteReference w:id="76"/>
      </w:r>
      <w:r w:rsidRPr="0049143E">
        <w:rPr>
          <w:rFonts w:ascii="Times New Roman" w:hAnsi="Times New Roman" w:cs="Times New Roman"/>
          <w:noProof/>
          <w:sz w:val="24"/>
          <w:szCs w:val="24"/>
          <w:lang w:val="en-GB"/>
        </w:rPr>
        <w:t>.</w:t>
      </w:r>
      <w:r>
        <w:rPr>
          <w:rFonts w:ascii="Times New Roman" w:hAnsi="Times New Roman" w:cs="Times New Roman"/>
          <w:noProof/>
          <w:sz w:val="24"/>
          <w:szCs w:val="24"/>
          <w:lang w:val="en-GB"/>
        </w:rPr>
        <w:t xml:space="preserve"> </w:t>
      </w:r>
      <w:r w:rsidRPr="00321A5B">
        <w:rPr>
          <w:rFonts w:ascii="Times New Roman" w:hAnsi="Times New Roman" w:cs="Times New Roman"/>
          <w:noProof/>
          <w:sz w:val="24"/>
          <w:szCs w:val="24"/>
          <w:lang w:val="en-GB"/>
        </w:rPr>
        <w:t xml:space="preserve">Support has also been made available to strengthen the economic resilience of </w:t>
      </w:r>
      <w:r>
        <w:rPr>
          <w:rFonts w:ascii="Times New Roman" w:hAnsi="Times New Roman" w:cs="Times New Roman"/>
          <w:noProof/>
          <w:sz w:val="24"/>
          <w:szCs w:val="24"/>
          <w:lang w:val="en-GB"/>
        </w:rPr>
        <w:t xml:space="preserve">the </w:t>
      </w:r>
      <w:r w:rsidRPr="00321A5B">
        <w:rPr>
          <w:rFonts w:ascii="Times New Roman" w:hAnsi="Times New Roman" w:cs="Times New Roman"/>
          <w:noProof/>
          <w:sz w:val="24"/>
          <w:szCs w:val="24"/>
          <w:lang w:val="en-GB"/>
        </w:rPr>
        <w:t xml:space="preserve">media through innovations to help </w:t>
      </w:r>
      <w:r>
        <w:rPr>
          <w:rFonts w:ascii="Times New Roman" w:hAnsi="Times New Roman" w:cs="Times New Roman"/>
          <w:noProof/>
          <w:sz w:val="24"/>
          <w:szCs w:val="24"/>
          <w:lang w:val="en-GB"/>
        </w:rPr>
        <w:t>it</w:t>
      </w:r>
      <w:r w:rsidRPr="00321A5B">
        <w:rPr>
          <w:rFonts w:ascii="Times New Roman" w:hAnsi="Times New Roman" w:cs="Times New Roman"/>
          <w:noProof/>
          <w:sz w:val="24"/>
          <w:szCs w:val="24"/>
          <w:lang w:val="en-GB"/>
        </w:rPr>
        <w:t xml:space="preserve"> grow revenues. Media organisations c</w:t>
      </w:r>
      <w:r>
        <w:rPr>
          <w:rFonts w:ascii="Times New Roman" w:hAnsi="Times New Roman" w:cs="Times New Roman"/>
          <w:noProof/>
          <w:sz w:val="24"/>
          <w:szCs w:val="24"/>
          <w:lang w:val="en-GB"/>
        </w:rPr>
        <w:t>an</w:t>
      </w:r>
      <w:r w:rsidRPr="00321A5B">
        <w:rPr>
          <w:rFonts w:ascii="Times New Roman" w:hAnsi="Times New Roman" w:cs="Times New Roman"/>
          <w:noProof/>
          <w:sz w:val="24"/>
          <w:szCs w:val="24"/>
          <w:lang w:val="en-GB"/>
        </w:rPr>
        <w:t xml:space="preserve"> receive training, develop business models together, or pay for editorial work</w:t>
      </w:r>
      <w:r w:rsidRPr="00321A5B">
        <w:rPr>
          <w:rStyle w:val="FootnoteReference"/>
          <w:noProof/>
          <w:lang w:val="en-GB"/>
        </w:rPr>
        <w:footnoteReference w:id="77"/>
      </w:r>
      <w:r w:rsidRPr="00321A5B">
        <w:rPr>
          <w:rFonts w:ascii="Times New Roman" w:hAnsi="Times New Roman" w:cs="Times New Roman"/>
          <w:noProof/>
          <w:sz w:val="24"/>
          <w:szCs w:val="24"/>
          <w:lang w:val="en-GB"/>
        </w:rPr>
        <w:t xml:space="preserve">. </w:t>
      </w:r>
    </w:p>
    <w:p w14:paraId="53B92656" w14:textId="03805919" w:rsidR="002C0325" w:rsidRDefault="002C0325" w:rsidP="002C0325">
      <w:pPr>
        <w:spacing w:line="276" w:lineRule="auto"/>
        <w:jc w:val="both"/>
        <w:rPr>
          <w:rFonts w:ascii="Times New Roman" w:hAnsi="Times New Roman" w:cs="Times New Roman"/>
          <w:noProof/>
          <w:sz w:val="24"/>
          <w:szCs w:val="24"/>
        </w:rPr>
      </w:pPr>
      <w:r w:rsidRPr="575129B4">
        <w:rPr>
          <w:rFonts w:ascii="Times New Roman" w:hAnsi="Times New Roman" w:cs="Times New Roman"/>
          <w:noProof/>
          <w:sz w:val="24"/>
          <w:szCs w:val="24"/>
          <w:lang w:val="en-GB"/>
        </w:rPr>
        <w:t>Decisions at EU level impact people’s life but are often underreported</w:t>
      </w:r>
      <w:r w:rsidR="007F69D2">
        <w:rPr>
          <w:rFonts w:ascii="Times New Roman" w:hAnsi="Times New Roman" w:cs="Times New Roman"/>
          <w:noProof/>
          <w:sz w:val="24"/>
          <w:szCs w:val="24"/>
          <w:lang w:val="en-GB"/>
        </w:rPr>
        <w:t xml:space="preserve"> in the media</w:t>
      </w:r>
      <w:r w:rsidRPr="575129B4">
        <w:rPr>
          <w:rFonts w:ascii="Times New Roman" w:hAnsi="Times New Roman" w:cs="Times New Roman"/>
          <w:noProof/>
          <w:sz w:val="24"/>
          <w:szCs w:val="24"/>
          <w:lang w:val="en-GB"/>
        </w:rPr>
        <w:t>. Under the “</w:t>
      </w:r>
      <w:r w:rsidRPr="575129B4">
        <w:rPr>
          <w:rFonts w:ascii="Times New Roman" w:hAnsi="Times New Roman" w:cs="Times New Roman"/>
          <w:b/>
          <w:bCs/>
          <w:noProof/>
          <w:sz w:val="24"/>
          <w:szCs w:val="24"/>
          <w:lang w:val="en-GB"/>
        </w:rPr>
        <w:t>Multimedia Actions</w:t>
      </w:r>
      <w:r w:rsidRPr="575129B4">
        <w:rPr>
          <w:rFonts w:ascii="Times New Roman" w:hAnsi="Times New Roman" w:cs="Times New Roman"/>
          <w:noProof/>
          <w:sz w:val="24"/>
          <w:szCs w:val="24"/>
          <w:lang w:val="en-GB"/>
        </w:rPr>
        <w:t>”</w:t>
      </w:r>
      <w:r w:rsidRPr="00321A5B">
        <w:rPr>
          <w:rStyle w:val="FootnoteReference"/>
          <w:noProof/>
          <w:lang w:val="en-GB"/>
        </w:rPr>
        <w:footnoteReference w:id="78"/>
      </w:r>
      <w:r w:rsidRPr="575129B4">
        <w:rPr>
          <w:rFonts w:ascii="Times New Roman" w:hAnsi="Times New Roman" w:cs="Times New Roman"/>
          <w:noProof/>
          <w:sz w:val="24"/>
          <w:szCs w:val="24"/>
          <w:lang w:val="en-GB"/>
        </w:rPr>
        <w:t xml:space="preserve"> budget line, funding has been made available to media organisations </w:t>
      </w:r>
      <w:r>
        <w:rPr>
          <w:rFonts w:ascii="Times New Roman" w:hAnsi="Times New Roman" w:cs="Times New Roman"/>
          <w:noProof/>
          <w:sz w:val="24"/>
          <w:szCs w:val="24"/>
          <w:lang w:val="en-GB"/>
        </w:rPr>
        <w:t>and</w:t>
      </w:r>
      <w:r w:rsidRPr="575129B4">
        <w:rPr>
          <w:rFonts w:ascii="Times New Roman" w:hAnsi="Times New Roman" w:cs="Times New Roman"/>
          <w:noProof/>
          <w:sz w:val="24"/>
          <w:szCs w:val="24"/>
          <w:lang w:val="en-GB"/>
        </w:rPr>
        <w:t xml:space="preserve"> national press agencies to provide independent information. The funding can for example help target areas where media pluralism is low, contributing to the promotion of everyone’s right to receive and impart information in a context where 64% of citizens consider themselves insufficiently informed on European matters. The availability and pluralism of the media has also been supported through projects to </w:t>
      </w:r>
      <w:r w:rsidRPr="000B6BFA">
        <w:rPr>
          <w:rFonts w:ascii="Times New Roman" w:hAnsi="Times New Roman" w:cs="Times New Roman"/>
          <w:b/>
          <w:bCs/>
          <w:noProof/>
          <w:sz w:val="24"/>
          <w:szCs w:val="24"/>
          <w:lang w:val="en-GB"/>
        </w:rPr>
        <w:t>fight the emergence of news deserts and to help independent media professionals</w:t>
      </w:r>
      <w:r w:rsidRPr="575129B4">
        <w:rPr>
          <w:rFonts w:ascii="Times New Roman" w:hAnsi="Times New Roman" w:cs="Times New Roman"/>
          <w:noProof/>
          <w:sz w:val="24"/>
          <w:szCs w:val="24"/>
          <w:lang w:val="en-GB"/>
        </w:rPr>
        <w:t xml:space="preserve"> from Russia and Belarus exiled into the EU after the start of the Russian war of aggression</w:t>
      </w:r>
      <w:r>
        <w:rPr>
          <w:rFonts w:ascii="Times New Roman" w:hAnsi="Times New Roman" w:cs="Times New Roman"/>
          <w:noProof/>
          <w:sz w:val="24"/>
          <w:szCs w:val="24"/>
          <w:lang w:val="en-GB"/>
        </w:rPr>
        <w:t xml:space="preserve"> against Ukraine</w:t>
      </w:r>
      <w:r w:rsidRPr="575129B4">
        <w:rPr>
          <w:rFonts w:ascii="Times New Roman" w:hAnsi="Times New Roman" w:cs="Times New Roman"/>
          <w:noProof/>
          <w:sz w:val="24"/>
          <w:szCs w:val="24"/>
          <w:lang w:val="en-GB"/>
        </w:rPr>
        <w:t>.</w:t>
      </w:r>
    </w:p>
    <w:p w14:paraId="010089D0" w14:textId="77777777" w:rsidR="002C0325" w:rsidRPr="00800B4B" w:rsidRDefault="002C0325" w:rsidP="002C0325">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sidRPr="00800B4B">
        <w:rPr>
          <w:rFonts w:ascii="Times New Roman" w:hAnsi="Times New Roman" w:cs="Times New Roman"/>
          <w:b/>
          <w:bCs/>
          <w:noProof/>
          <w:sz w:val="20"/>
          <w:szCs w:val="20"/>
        </w:rPr>
        <w:t>Europe Beyond Access</w:t>
      </w:r>
      <w:r w:rsidRPr="00800B4B">
        <w:rPr>
          <w:rStyle w:val="FootnoteReference"/>
          <w:noProof/>
          <w:sz w:val="20"/>
          <w:szCs w:val="20"/>
        </w:rPr>
        <w:footnoteReference w:id="79"/>
      </w:r>
      <w:r w:rsidRPr="00800B4B">
        <w:rPr>
          <w:rFonts w:ascii="Times New Roman" w:hAnsi="Times New Roman" w:cs="Times New Roman"/>
          <w:b/>
          <w:bCs/>
          <w:noProof/>
          <w:sz w:val="20"/>
          <w:szCs w:val="20"/>
        </w:rPr>
        <w:t xml:space="preserve"> </w:t>
      </w:r>
      <w:r w:rsidRPr="00800B4B">
        <w:rPr>
          <w:rFonts w:ascii="Times New Roman" w:hAnsi="Times New Roman" w:cs="Times New Roman"/>
          <w:noProof/>
          <w:sz w:val="20"/>
          <w:szCs w:val="20"/>
        </w:rPr>
        <w:t xml:space="preserve">is a large cooperation project of ten partners </w:t>
      </w:r>
      <w:r>
        <w:rPr>
          <w:rFonts w:ascii="Times New Roman" w:hAnsi="Times New Roman" w:cs="Times New Roman"/>
          <w:noProof/>
          <w:sz w:val="20"/>
          <w:szCs w:val="20"/>
        </w:rPr>
        <w:t>who</w:t>
      </w:r>
      <w:r w:rsidRPr="00800B4B">
        <w:rPr>
          <w:rFonts w:ascii="Times New Roman" w:hAnsi="Times New Roman" w:cs="Times New Roman"/>
          <w:noProof/>
          <w:sz w:val="20"/>
          <w:szCs w:val="20"/>
        </w:rPr>
        <w:t xml:space="preserve"> support artists with disabilit</w:t>
      </w:r>
      <w:r>
        <w:rPr>
          <w:rFonts w:ascii="Times New Roman" w:hAnsi="Times New Roman" w:cs="Times New Roman"/>
          <w:noProof/>
          <w:sz w:val="20"/>
          <w:szCs w:val="20"/>
        </w:rPr>
        <w:t>ies</w:t>
      </w:r>
      <w:r w:rsidRPr="00800B4B">
        <w:rPr>
          <w:rFonts w:ascii="Times New Roman" w:hAnsi="Times New Roman" w:cs="Times New Roman"/>
          <w:noProof/>
          <w:sz w:val="20"/>
          <w:szCs w:val="20"/>
        </w:rPr>
        <w:t xml:space="preserve">. The project </w:t>
      </w:r>
      <w:r>
        <w:rPr>
          <w:rFonts w:ascii="Times New Roman" w:hAnsi="Times New Roman" w:cs="Times New Roman"/>
          <w:noProof/>
          <w:sz w:val="20"/>
          <w:szCs w:val="20"/>
        </w:rPr>
        <w:t>supports</w:t>
      </w:r>
      <w:r w:rsidRPr="00800B4B">
        <w:rPr>
          <w:rFonts w:ascii="Times New Roman" w:hAnsi="Times New Roman" w:cs="Times New Roman"/>
          <w:noProof/>
          <w:sz w:val="20"/>
          <w:szCs w:val="20"/>
        </w:rPr>
        <w:t xml:space="preserve"> transnational creation and circulation, capacity building and institutional learning</w:t>
      </w:r>
      <w:r>
        <w:rPr>
          <w:rFonts w:ascii="Times New Roman" w:hAnsi="Times New Roman" w:cs="Times New Roman"/>
          <w:noProof/>
          <w:sz w:val="20"/>
          <w:szCs w:val="20"/>
        </w:rPr>
        <w:t>,</w:t>
      </w:r>
      <w:r w:rsidRPr="00800B4B">
        <w:rPr>
          <w:rFonts w:ascii="Times New Roman" w:hAnsi="Times New Roman" w:cs="Times New Roman"/>
          <w:noProof/>
          <w:sz w:val="20"/>
          <w:szCs w:val="20"/>
        </w:rPr>
        <w:t xml:space="preserve"> with the objective to eliminate ableism in Europe’s cultural arena. </w:t>
      </w:r>
    </w:p>
    <w:p w14:paraId="0CB39881" w14:textId="77777777" w:rsidR="002C0325" w:rsidRPr="006E2709" w:rsidRDefault="002C0325" w:rsidP="002C0325">
      <w:pPr>
        <w:pStyle w:val="Headerlevel2"/>
      </w:pPr>
      <w:r>
        <w:t>Erasmus+</w:t>
      </w:r>
    </w:p>
    <w:p w14:paraId="60EE3938" w14:textId="77777777" w:rsidR="002C0325" w:rsidRDefault="002C0325" w:rsidP="002C0325">
      <w:pPr>
        <w:spacing w:after="120" w:line="276" w:lineRule="auto"/>
        <w:jc w:val="both"/>
        <w:rPr>
          <w:rFonts w:ascii="Times New Roman" w:hAnsi="Times New Roman" w:cs="Times New Roman"/>
          <w:noProof/>
          <w:color w:val="000000"/>
          <w:sz w:val="24"/>
          <w:szCs w:val="24"/>
        </w:rPr>
      </w:pPr>
      <w:r w:rsidRPr="00321A5B">
        <w:rPr>
          <w:rFonts w:ascii="Times New Roman" w:hAnsi="Times New Roman" w:cs="Times New Roman"/>
          <w:noProof/>
          <w:color w:val="000000"/>
          <w:sz w:val="24"/>
          <w:szCs w:val="24"/>
        </w:rPr>
        <w:t>The Erasmus+ programme encourages young people’s participation in democratic life, including by supporting activities that contribute to citizenship education and projects to engage in civil society</w:t>
      </w:r>
      <w:r>
        <w:rPr>
          <w:rFonts w:ascii="Times New Roman" w:hAnsi="Times New Roman" w:cs="Times New Roman"/>
          <w:noProof/>
          <w:color w:val="000000"/>
          <w:sz w:val="24"/>
          <w:szCs w:val="24"/>
        </w:rPr>
        <w:t xml:space="preserve"> activities</w:t>
      </w:r>
      <w:r w:rsidRPr="00321A5B">
        <w:rPr>
          <w:rFonts w:ascii="Times New Roman" w:hAnsi="Times New Roman" w:cs="Times New Roman"/>
          <w:noProof/>
          <w:color w:val="000000"/>
          <w:sz w:val="24"/>
          <w:szCs w:val="24"/>
          <w:vertAlign w:val="superscript"/>
        </w:rPr>
        <w:footnoteReference w:id="80"/>
      </w:r>
      <w:r>
        <w:rPr>
          <w:rFonts w:ascii="Times New Roman" w:hAnsi="Times New Roman" w:cs="Times New Roman"/>
          <w:noProof/>
          <w:color w:val="000000"/>
          <w:sz w:val="24"/>
          <w:szCs w:val="24"/>
        </w:rPr>
        <w:t>. In</w:t>
      </w:r>
      <w:r w:rsidRPr="00CD408C">
        <w:rPr>
          <w:rFonts w:ascii="Times New Roman" w:hAnsi="Times New Roman" w:cs="Times New Roman"/>
          <w:noProof/>
          <w:color w:val="000000"/>
          <w:sz w:val="24"/>
          <w:szCs w:val="24"/>
        </w:rPr>
        <w:t xml:space="preserve"> these areas, the programme is a valuable funding source for </w:t>
      </w:r>
      <w:r>
        <w:rPr>
          <w:rFonts w:ascii="Times New Roman" w:hAnsi="Times New Roman" w:cs="Times New Roman"/>
          <w:noProof/>
          <w:color w:val="000000"/>
          <w:sz w:val="24"/>
          <w:szCs w:val="24"/>
        </w:rPr>
        <w:t>CSOs</w:t>
      </w:r>
      <w:r>
        <w:rPr>
          <w:rStyle w:val="FootnoteReference"/>
          <w:noProof/>
          <w:color w:val="000000"/>
        </w:rPr>
        <w:footnoteReference w:id="81"/>
      </w:r>
      <w:r>
        <w:rPr>
          <w:rFonts w:ascii="Times New Roman" w:hAnsi="Times New Roman" w:cs="Times New Roman"/>
          <w:noProof/>
          <w:color w:val="000000"/>
          <w:sz w:val="24"/>
          <w:szCs w:val="24"/>
        </w:rPr>
        <w:t xml:space="preserve">. </w:t>
      </w:r>
    </w:p>
    <w:p w14:paraId="2E161311" w14:textId="77777777" w:rsidR="002C0325" w:rsidRPr="00321A5B" w:rsidRDefault="002C0325" w:rsidP="002C0325">
      <w:pPr>
        <w:spacing w:after="120" w:line="276" w:lineRule="auto"/>
        <w:jc w:val="both"/>
        <w:rPr>
          <w:rFonts w:ascii="Times New Roman" w:hAnsi="Times New Roman" w:cs="Times New Roman"/>
          <w:noProof/>
          <w:sz w:val="24"/>
          <w:szCs w:val="24"/>
        </w:rPr>
      </w:pPr>
      <w:r w:rsidRPr="00321A5B">
        <w:rPr>
          <w:rFonts w:ascii="Times New Roman" w:hAnsi="Times New Roman" w:cs="Times New Roman"/>
          <w:noProof/>
          <w:color w:val="000000"/>
          <w:sz w:val="24"/>
          <w:szCs w:val="24"/>
        </w:rPr>
        <w:t>According to the Erasmus+ Regulation</w:t>
      </w:r>
      <w:r w:rsidRPr="00FE5C99">
        <w:rPr>
          <w:rFonts w:ascii="Times New Roman" w:hAnsi="Times New Roman" w:cs="Times New Roman"/>
          <w:noProof/>
          <w:color w:val="000000"/>
          <w:sz w:val="24"/>
          <w:szCs w:val="24"/>
          <w:vertAlign w:val="superscript"/>
        </w:rPr>
        <w:footnoteReference w:id="82"/>
      </w:r>
      <w:r w:rsidRPr="00FE5C99">
        <w:rPr>
          <w:rFonts w:ascii="Times New Roman" w:hAnsi="Times New Roman" w:cs="Times New Roman"/>
          <w:noProof/>
          <w:color w:val="000000"/>
          <w:sz w:val="24"/>
          <w:szCs w:val="24"/>
        </w:rPr>
        <w:t>,</w:t>
      </w:r>
      <w:r w:rsidRPr="00321A5B">
        <w:rPr>
          <w:rFonts w:ascii="Times New Roman" w:hAnsi="Times New Roman" w:cs="Times New Roman"/>
          <w:noProof/>
          <w:color w:val="000000"/>
          <w:sz w:val="24"/>
          <w:szCs w:val="24"/>
        </w:rPr>
        <w:t xml:space="preserve"> the programme contributes in particular to the respect for academic freedom</w:t>
      </w:r>
      <w:r>
        <w:rPr>
          <w:rFonts w:ascii="Times New Roman" w:hAnsi="Times New Roman" w:cs="Times New Roman"/>
          <w:noProof/>
          <w:color w:val="000000"/>
          <w:sz w:val="24"/>
          <w:szCs w:val="24"/>
        </w:rPr>
        <w:t xml:space="preserve">, enshrined in Article 13 of the Charter. To a lesser extent, the programme </w:t>
      </w:r>
      <w:r w:rsidRPr="00321A5B">
        <w:rPr>
          <w:rFonts w:ascii="Times New Roman" w:hAnsi="Times New Roman" w:cs="Times New Roman"/>
          <w:noProof/>
          <w:color w:val="000000"/>
          <w:sz w:val="24"/>
          <w:szCs w:val="24"/>
        </w:rPr>
        <w:t>seeks to ensure respect for other fundamental rights, including the right to equality and non-discrimination</w:t>
      </w:r>
      <w:r>
        <w:rPr>
          <w:rFonts w:ascii="Times New Roman" w:hAnsi="Times New Roman" w:cs="Times New Roman"/>
          <w:noProof/>
          <w:color w:val="000000"/>
          <w:sz w:val="24"/>
          <w:szCs w:val="24"/>
        </w:rPr>
        <w:t xml:space="preserve"> with </w:t>
      </w:r>
      <w:r w:rsidRPr="00321A5B">
        <w:rPr>
          <w:rFonts w:ascii="Times New Roman" w:hAnsi="Times New Roman" w:cs="Times New Roman"/>
          <w:noProof/>
          <w:color w:val="000000"/>
          <w:sz w:val="24"/>
          <w:szCs w:val="24"/>
        </w:rPr>
        <w:t>a focus on fundamental rights</w:t>
      </w:r>
      <w:r>
        <w:rPr>
          <w:rFonts w:ascii="Times New Roman" w:hAnsi="Times New Roman" w:cs="Times New Roman"/>
          <w:noProof/>
          <w:color w:val="000000"/>
          <w:sz w:val="24"/>
          <w:szCs w:val="24"/>
        </w:rPr>
        <w:t xml:space="preserve"> in some actions</w:t>
      </w:r>
      <w:r w:rsidRPr="00321A5B">
        <w:rPr>
          <w:rStyle w:val="FootnoteReference"/>
          <w:noProof/>
          <w:color w:val="000000"/>
        </w:rPr>
        <w:footnoteReference w:id="83"/>
      </w:r>
      <w:r w:rsidRPr="00321A5B">
        <w:rPr>
          <w:rFonts w:ascii="Times New Roman" w:hAnsi="Times New Roman" w:cs="Times New Roman"/>
          <w:noProof/>
          <w:color w:val="000000"/>
          <w:sz w:val="24"/>
          <w:szCs w:val="24"/>
        </w:rPr>
        <w:t>.</w:t>
      </w:r>
      <w:r>
        <w:rPr>
          <w:rFonts w:ascii="Times New Roman" w:hAnsi="Times New Roman" w:cs="Times New Roman"/>
          <w:noProof/>
          <w:color w:val="000000"/>
          <w:sz w:val="24"/>
          <w:szCs w:val="24"/>
        </w:rPr>
        <w:t xml:space="preserve"> </w:t>
      </w:r>
      <w:r w:rsidRPr="00321A5B">
        <w:rPr>
          <w:rFonts w:ascii="Times New Roman" w:hAnsi="Times New Roman" w:cs="Times New Roman"/>
          <w:noProof/>
          <w:color w:val="000000"/>
          <w:sz w:val="24"/>
          <w:szCs w:val="24"/>
        </w:rPr>
        <w:t xml:space="preserve">These include </w:t>
      </w:r>
      <w:r w:rsidRPr="00321A5B">
        <w:rPr>
          <w:rFonts w:ascii="Times New Roman" w:hAnsi="Times New Roman" w:cs="Times New Roman"/>
          <w:b/>
          <w:bCs/>
          <w:noProof/>
          <w:color w:val="000000"/>
          <w:sz w:val="24"/>
          <w:szCs w:val="24"/>
        </w:rPr>
        <w:t>Erasmus+ youth participation activities</w:t>
      </w:r>
      <w:r w:rsidRPr="00321A5B">
        <w:rPr>
          <w:rFonts w:ascii="Times New Roman" w:hAnsi="Times New Roman" w:cs="Times New Roman"/>
          <w:noProof/>
          <w:color w:val="000000"/>
          <w:sz w:val="24"/>
          <w:szCs w:val="24"/>
        </w:rPr>
        <w:t xml:space="preserve">, which support projects outside the formal education and training </w:t>
      </w:r>
      <w:r>
        <w:rPr>
          <w:rFonts w:ascii="Times New Roman" w:hAnsi="Times New Roman" w:cs="Times New Roman"/>
          <w:noProof/>
          <w:color w:val="000000"/>
          <w:sz w:val="24"/>
          <w:szCs w:val="24"/>
        </w:rPr>
        <w:t>and</w:t>
      </w:r>
      <w:r w:rsidRPr="00321A5B">
        <w:rPr>
          <w:rFonts w:ascii="Times New Roman" w:hAnsi="Times New Roman" w:cs="Times New Roman"/>
          <w:noProof/>
          <w:color w:val="000000"/>
          <w:sz w:val="24"/>
          <w:szCs w:val="24"/>
        </w:rPr>
        <w:t xml:space="preserve"> encourage participation in democratic life</w:t>
      </w:r>
      <w:r w:rsidRPr="00321A5B">
        <w:rPr>
          <w:rFonts w:ascii="Times New Roman" w:hAnsi="Times New Roman" w:cs="Times New Roman"/>
          <w:noProof/>
          <w:color w:val="000000"/>
          <w:sz w:val="24"/>
          <w:szCs w:val="24"/>
          <w:vertAlign w:val="superscript"/>
        </w:rPr>
        <w:footnoteReference w:id="84"/>
      </w:r>
      <w:r w:rsidRPr="00321A5B">
        <w:rPr>
          <w:rFonts w:ascii="Times New Roman" w:hAnsi="Times New Roman" w:cs="Times New Roman"/>
          <w:noProof/>
          <w:color w:val="000000"/>
          <w:sz w:val="24"/>
          <w:szCs w:val="24"/>
        </w:rPr>
        <w:t xml:space="preserve">. </w:t>
      </w:r>
      <w:r w:rsidRPr="00321A5B">
        <w:rPr>
          <w:rFonts w:ascii="Times New Roman" w:hAnsi="Times New Roman" w:cs="Times New Roman"/>
          <w:b/>
          <w:bCs/>
          <w:noProof/>
          <w:color w:val="000000"/>
          <w:sz w:val="24"/>
          <w:szCs w:val="24"/>
        </w:rPr>
        <w:t>Erasmus+ cooperation projects among organisations and institutions</w:t>
      </w:r>
      <w:r w:rsidRPr="00321A5B">
        <w:rPr>
          <w:rFonts w:ascii="Times New Roman" w:hAnsi="Times New Roman" w:cs="Times New Roman"/>
          <w:noProof/>
          <w:color w:val="000000"/>
          <w:sz w:val="24"/>
          <w:szCs w:val="24"/>
        </w:rPr>
        <w:t xml:space="preserve"> are </w:t>
      </w:r>
      <w:r>
        <w:rPr>
          <w:rFonts w:ascii="Times New Roman" w:hAnsi="Times New Roman" w:cs="Times New Roman"/>
          <w:noProof/>
          <w:color w:val="000000"/>
          <w:sz w:val="24"/>
          <w:szCs w:val="24"/>
        </w:rPr>
        <w:t xml:space="preserve">further </w:t>
      </w:r>
      <w:r w:rsidRPr="00321A5B">
        <w:rPr>
          <w:rFonts w:ascii="Times New Roman" w:hAnsi="Times New Roman" w:cs="Times New Roman"/>
          <w:noProof/>
          <w:color w:val="000000"/>
          <w:sz w:val="24"/>
          <w:szCs w:val="24"/>
        </w:rPr>
        <w:t>expected to reinforce education and training systems’ and youth policies’ responses to today’s</w:t>
      </w:r>
      <w:r>
        <w:rPr>
          <w:rFonts w:ascii="Times New Roman" w:hAnsi="Times New Roman" w:cs="Times New Roman"/>
          <w:noProof/>
          <w:color w:val="000000"/>
          <w:sz w:val="24"/>
          <w:szCs w:val="24"/>
        </w:rPr>
        <w:t xml:space="preserve"> </w:t>
      </w:r>
      <w:r w:rsidRPr="00321A5B">
        <w:rPr>
          <w:rFonts w:ascii="Times New Roman" w:hAnsi="Times New Roman" w:cs="Times New Roman"/>
          <w:noProof/>
          <w:color w:val="000000"/>
          <w:sz w:val="24"/>
          <w:szCs w:val="24"/>
        </w:rPr>
        <w:t>challenges, including in the area of fundamental rights</w:t>
      </w:r>
      <w:r w:rsidRPr="00321A5B">
        <w:rPr>
          <w:rFonts w:ascii="Times New Roman" w:hAnsi="Times New Roman" w:cs="Times New Roman"/>
          <w:noProof/>
          <w:color w:val="000000"/>
          <w:sz w:val="24"/>
          <w:szCs w:val="24"/>
          <w:vertAlign w:val="superscript"/>
        </w:rPr>
        <w:footnoteReference w:id="85"/>
      </w:r>
      <w:r w:rsidRPr="00321A5B">
        <w:rPr>
          <w:rFonts w:ascii="Times New Roman" w:hAnsi="Times New Roman" w:cs="Times New Roman"/>
          <w:noProof/>
          <w:color w:val="000000"/>
          <w:sz w:val="24"/>
          <w:szCs w:val="24"/>
        </w:rPr>
        <w:t xml:space="preserve">. </w:t>
      </w:r>
    </w:p>
    <w:p w14:paraId="1FE63CC2" w14:textId="77777777" w:rsidR="002C0325" w:rsidRDefault="002C0325" w:rsidP="002C0325">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noProof/>
          <w:color w:val="000000"/>
          <w:sz w:val="20"/>
          <w:szCs w:val="20"/>
        </w:rPr>
      </w:pPr>
      <w:r w:rsidRPr="00A55751">
        <w:rPr>
          <w:rFonts w:ascii="Times New Roman" w:hAnsi="Times New Roman" w:cs="Times New Roman"/>
          <w:noProof/>
          <w:color w:val="000000"/>
          <w:sz w:val="20"/>
          <w:szCs w:val="20"/>
        </w:rPr>
        <w:t xml:space="preserve">The </w:t>
      </w:r>
      <w:r w:rsidRPr="00A55751">
        <w:rPr>
          <w:rFonts w:ascii="Times New Roman" w:hAnsi="Times New Roman" w:cs="Times New Roman"/>
          <w:b/>
          <w:bCs/>
          <w:noProof/>
          <w:color w:val="000000"/>
          <w:sz w:val="20"/>
          <w:szCs w:val="20"/>
        </w:rPr>
        <w:t>Erasmus+ European Universities initiative</w:t>
      </w:r>
      <w:r w:rsidRPr="00A55751">
        <w:rPr>
          <w:rFonts w:ascii="Times New Roman" w:hAnsi="Times New Roman" w:cs="Times New Roman"/>
          <w:noProof/>
          <w:color w:val="000000"/>
          <w:sz w:val="20"/>
          <w:szCs w:val="20"/>
        </w:rPr>
        <w:t xml:space="preserve"> funds alliances of higher education institutions. They enable students and university staff to study across countries, languages, sectors, and disciplines, benefiting from diverse knowledge. Establishing long-term strategic alliances between European universities aims to promote European values and identity</w:t>
      </w:r>
      <w:r w:rsidRPr="00A55751">
        <w:rPr>
          <w:rFonts w:ascii="Times New Roman" w:hAnsi="Times New Roman" w:cs="Times New Roman"/>
          <w:b/>
          <w:bCs/>
          <w:noProof/>
          <w:color w:val="000000"/>
          <w:sz w:val="20"/>
          <w:szCs w:val="20"/>
        </w:rPr>
        <w:t xml:space="preserve"> </w:t>
      </w:r>
      <w:r w:rsidRPr="00A55751">
        <w:rPr>
          <w:rFonts w:ascii="Times New Roman" w:hAnsi="Times New Roman" w:cs="Times New Roman"/>
          <w:noProof/>
          <w:color w:val="000000"/>
          <w:sz w:val="20"/>
          <w:szCs w:val="20"/>
        </w:rPr>
        <w:t>as well as excellence</w:t>
      </w:r>
      <w:r>
        <w:rPr>
          <w:rFonts w:ascii="Times New Roman" w:hAnsi="Times New Roman" w:cs="Times New Roman"/>
          <w:noProof/>
          <w:color w:val="000000"/>
          <w:sz w:val="20"/>
          <w:szCs w:val="20"/>
        </w:rPr>
        <w:t xml:space="preserve"> of science </w:t>
      </w:r>
      <w:r w:rsidRPr="00A55751">
        <w:rPr>
          <w:rFonts w:ascii="Times New Roman" w:hAnsi="Times New Roman" w:cs="Times New Roman"/>
          <w:noProof/>
          <w:color w:val="000000"/>
          <w:sz w:val="20"/>
          <w:szCs w:val="20"/>
        </w:rPr>
        <w:t>and inclusion</w:t>
      </w:r>
      <w:r w:rsidRPr="00A55751">
        <w:rPr>
          <w:rStyle w:val="FootnoteReference"/>
          <w:b/>
          <w:bCs/>
          <w:noProof/>
          <w:color w:val="000000"/>
          <w:sz w:val="20"/>
          <w:szCs w:val="20"/>
        </w:rPr>
        <w:footnoteReference w:id="86"/>
      </w:r>
      <w:r w:rsidRPr="00A55751">
        <w:rPr>
          <w:rFonts w:ascii="Times New Roman" w:hAnsi="Times New Roman" w:cs="Times New Roman"/>
          <w:noProof/>
          <w:color w:val="000000"/>
          <w:sz w:val="20"/>
          <w:szCs w:val="20"/>
        </w:rPr>
        <w:t xml:space="preserve">. </w:t>
      </w:r>
    </w:p>
    <w:p w14:paraId="5EB5A030" w14:textId="77777777" w:rsidR="002C0325" w:rsidRPr="00A55751" w:rsidRDefault="002C0325" w:rsidP="002C0325">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noProof/>
          <w:sz w:val="20"/>
          <w:szCs w:val="20"/>
        </w:rPr>
      </w:pPr>
      <w:r w:rsidRPr="00A55751">
        <w:rPr>
          <w:rFonts w:ascii="Times New Roman" w:hAnsi="Times New Roman" w:cs="Times New Roman"/>
          <w:b/>
          <w:bCs/>
          <w:noProof/>
          <w:color w:val="000000"/>
          <w:sz w:val="20"/>
          <w:szCs w:val="20"/>
        </w:rPr>
        <w:t>Erasmus+ Teacher Academies</w:t>
      </w:r>
      <w:r w:rsidRPr="00A55751">
        <w:rPr>
          <w:rFonts w:ascii="Times New Roman" w:hAnsi="Times New Roman" w:cs="Times New Roman"/>
          <w:noProof/>
          <w:color w:val="000000"/>
          <w:sz w:val="20"/>
          <w:szCs w:val="20"/>
        </w:rPr>
        <w:t xml:space="preserve"> fund projects to develop teacher education and training and encourage </w:t>
      </w:r>
      <w:r w:rsidRPr="00A55751">
        <w:rPr>
          <w:rFonts w:ascii="Times New Roman" w:hAnsi="Times New Roman" w:cs="Times New Roman"/>
          <w:noProof/>
          <w:sz w:val="20"/>
          <w:szCs w:val="20"/>
        </w:rPr>
        <w:t>the development of courses, modules and other learning opportunities on common values, civic engagement and participation</w:t>
      </w:r>
      <w:r w:rsidRPr="00A55751">
        <w:rPr>
          <w:rFonts w:ascii="Times New Roman" w:hAnsi="Times New Roman" w:cs="Times New Roman"/>
          <w:noProof/>
          <w:color w:val="000000"/>
          <w:sz w:val="20"/>
          <w:szCs w:val="20"/>
        </w:rPr>
        <w:t xml:space="preserve">. </w:t>
      </w:r>
    </w:p>
    <w:p w14:paraId="78CF36BD" w14:textId="77777777" w:rsidR="002C0325" w:rsidRPr="00321A5B" w:rsidRDefault="002C0325" w:rsidP="002C0325">
      <w:pPr>
        <w:spacing w:after="120" w:line="276" w:lineRule="auto"/>
        <w:jc w:val="both"/>
        <w:rPr>
          <w:rFonts w:ascii="Times New Roman" w:hAnsi="Times New Roman" w:cs="Times New Roman"/>
          <w:noProof/>
          <w:color w:val="000000"/>
          <w:sz w:val="24"/>
          <w:szCs w:val="24"/>
        </w:rPr>
      </w:pPr>
      <w:r w:rsidRPr="00321A5B">
        <w:rPr>
          <w:rFonts w:ascii="Times New Roman" w:hAnsi="Times New Roman" w:cs="Times New Roman"/>
          <w:b/>
          <w:bCs/>
          <w:noProof/>
          <w:color w:val="000000"/>
          <w:sz w:val="24"/>
          <w:szCs w:val="24"/>
        </w:rPr>
        <w:t xml:space="preserve">Erasmus+ Jean Monnet </w:t>
      </w:r>
      <w:r>
        <w:rPr>
          <w:rFonts w:ascii="Times New Roman" w:hAnsi="Times New Roman" w:cs="Times New Roman"/>
          <w:b/>
          <w:bCs/>
          <w:noProof/>
          <w:color w:val="000000"/>
          <w:sz w:val="24"/>
          <w:szCs w:val="24"/>
        </w:rPr>
        <w:t>actions</w:t>
      </w:r>
      <w:r w:rsidRPr="00321A5B">
        <w:rPr>
          <w:rFonts w:ascii="Times New Roman" w:hAnsi="Times New Roman" w:cs="Times New Roman"/>
          <w:noProof/>
          <w:color w:val="000000"/>
          <w:sz w:val="24"/>
          <w:szCs w:val="24"/>
        </w:rPr>
        <w:t xml:space="preserve"> have been particularly instrumental in promoting fundamental rights</w:t>
      </w:r>
      <w:r>
        <w:rPr>
          <w:rFonts w:ascii="Times New Roman" w:hAnsi="Times New Roman" w:cs="Times New Roman"/>
          <w:noProof/>
          <w:color w:val="000000"/>
          <w:sz w:val="24"/>
          <w:szCs w:val="24"/>
        </w:rPr>
        <w:t xml:space="preserve"> through </w:t>
      </w:r>
      <w:r w:rsidRPr="00321A5B">
        <w:rPr>
          <w:rFonts w:ascii="Times New Roman" w:hAnsi="Times New Roman" w:cs="Times New Roman"/>
          <w:noProof/>
          <w:color w:val="000000"/>
          <w:sz w:val="24"/>
          <w:szCs w:val="24"/>
        </w:rPr>
        <w:t>teaching, learning and research</w:t>
      </w:r>
      <w:r>
        <w:rPr>
          <w:rFonts w:ascii="Times New Roman" w:hAnsi="Times New Roman" w:cs="Times New Roman"/>
          <w:noProof/>
          <w:color w:val="000000"/>
          <w:sz w:val="24"/>
          <w:szCs w:val="24"/>
        </w:rPr>
        <w:t>.</w:t>
      </w:r>
    </w:p>
    <w:p w14:paraId="4073E0AE" w14:textId="77777777" w:rsidR="002C0325" w:rsidRPr="004E360C" w:rsidRDefault="002C0325" w:rsidP="002C0325">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noProof/>
          <w:sz w:val="20"/>
          <w:szCs w:val="20"/>
        </w:rPr>
      </w:pPr>
      <w:r w:rsidRPr="00800B4B">
        <w:rPr>
          <w:rFonts w:ascii="Times New Roman" w:hAnsi="Times New Roman" w:cs="Times New Roman"/>
          <w:noProof/>
          <w:sz w:val="20"/>
          <w:szCs w:val="20"/>
        </w:rPr>
        <w:t xml:space="preserve">Numerous </w:t>
      </w:r>
      <w:r w:rsidRPr="00800B4B">
        <w:rPr>
          <w:rFonts w:ascii="Times New Roman" w:hAnsi="Times New Roman" w:cs="Times New Roman"/>
          <w:b/>
          <w:bCs/>
          <w:noProof/>
          <w:sz w:val="20"/>
          <w:szCs w:val="20"/>
        </w:rPr>
        <w:t>Jean Monnet projects</w:t>
      </w:r>
      <w:r w:rsidRPr="00800B4B">
        <w:rPr>
          <w:rFonts w:ascii="Times New Roman" w:hAnsi="Times New Roman" w:cs="Times New Roman"/>
          <w:noProof/>
          <w:sz w:val="20"/>
          <w:szCs w:val="20"/>
        </w:rPr>
        <w:t xml:space="preserve"> bring fundamental rights education to classrooms by providing </w:t>
      </w:r>
      <w:r>
        <w:rPr>
          <w:rFonts w:ascii="Times New Roman" w:hAnsi="Times New Roman" w:cs="Times New Roman"/>
          <w:noProof/>
          <w:sz w:val="20"/>
          <w:szCs w:val="20"/>
        </w:rPr>
        <w:t xml:space="preserve">a </w:t>
      </w:r>
      <w:r w:rsidRPr="00B025FB">
        <w:rPr>
          <w:rFonts w:ascii="Times New Roman" w:hAnsi="Times New Roman" w:cs="Times New Roman"/>
          <w:noProof/>
          <w:sz w:val="20"/>
          <w:szCs w:val="20"/>
        </w:rPr>
        <w:t>general introduction to the Charter and fundamental rights</w:t>
      </w:r>
      <w:r w:rsidRPr="00B025FB">
        <w:rPr>
          <w:rStyle w:val="FootnoteReference"/>
          <w:noProof/>
          <w:sz w:val="20"/>
          <w:szCs w:val="20"/>
        </w:rPr>
        <w:footnoteReference w:id="87"/>
      </w:r>
      <w:r w:rsidRPr="00073A01">
        <w:rPr>
          <w:rFonts w:ascii="Times New Roman" w:hAnsi="Times New Roman" w:cs="Times New Roman"/>
          <w:noProof/>
          <w:sz w:val="20"/>
          <w:szCs w:val="20"/>
        </w:rPr>
        <w:t>, and focusing on</w:t>
      </w:r>
      <w:r w:rsidRPr="00B025FB">
        <w:rPr>
          <w:rFonts w:ascii="Times New Roman" w:hAnsi="Times New Roman" w:cs="Times New Roman"/>
          <w:noProof/>
          <w:sz w:val="20"/>
          <w:szCs w:val="20"/>
        </w:rPr>
        <w:t xml:space="preserve"> specific fundamental rights aspects,</w:t>
      </w:r>
      <w:r>
        <w:rPr>
          <w:rFonts w:ascii="Times New Roman" w:hAnsi="Times New Roman" w:cs="Times New Roman"/>
          <w:b/>
          <w:bCs/>
          <w:noProof/>
          <w:sz w:val="20"/>
          <w:szCs w:val="20"/>
        </w:rPr>
        <w:t xml:space="preserve"> </w:t>
      </w:r>
      <w:r w:rsidRPr="00800B4B">
        <w:rPr>
          <w:rFonts w:ascii="Times New Roman" w:hAnsi="Times New Roman" w:cs="Times New Roman"/>
          <w:noProof/>
          <w:sz w:val="20"/>
          <w:szCs w:val="20"/>
        </w:rPr>
        <w:t>such as the right to conduct a business, non-discrimination and equality between women and men, cultural and linguistic diversity, environmental protection and fundamental rights in</w:t>
      </w:r>
      <w:r>
        <w:rPr>
          <w:rFonts w:ascii="Times New Roman" w:hAnsi="Times New Roman" w:cs="Times New Roman"/>
          <w:noProof/>
          <w:sz w:val="20"/>
          <w:szCs w:val="20"/>
        </w:rPr>
        <w:t xml:space="preserve"> the</w:t>
      </w:r>
      <w:r w:rsidRPr="00800B4B">
        <w:rPr>
          <w:rFonts w:ascii="Times New Roman" w:hAnsi="Times New Roman" w:cs="Times New Roman"/>
          <w:noProof/>
          <w:sz w:val="20"/>
          <w:szCs w:val="20"/>
        </w:rPr>
        <w:t xml:space="preserve"> digital</w:t>
      </w:r>
      <w:r>
        <w:rPr>
          <w:rFonts w:ascii="Times New Roman" w:hAnsi="Times New Roman" w:cs="Times New Roman"/>
          <w:noProof/>
          <w:sz w:val="20"/>
          <w:szCs w:val="20"/>
        </w:rPr>
        <w:t xml:space="preserve"> world</w:t>
      </w:r>
      <w:r w:rsidRPr="00800B4B">
        <w:rPr>
          <w:rStyle w:val="FootnoteReference"/>
          <w:noProof/>
          <w:sz w:val="20"/>
          <w:szCs w:val="20"/>
        </w:rPr>
        <w:footnoteReference w:id="88"/>
      </w:r>
      <w:r w:rsidRPr="00800B4B">
        <w:rPr>
          <w:rFonts w:ascii="Times New Roman" w:hAnsi="Times New Roman" w:cs="Times New Roman"/>
          <w:noProof/>
          <w:sz w:val="20"/>
          <w:szCs w:val="20"/>
        </w:rPr>
        <w:t xml:space="preserve">, </w:t>
      </w:r>
      <w:r w:rsidRPr="008E38D3">
        <w:rPr>
          <w:rFonts w:ascii="Times New Roman" w:hAnsi="Times New Roman" w:cs="Times New Roman"/>
          <w:noProof/>
          <w:sz w:val="20"/>
          <w:szCs w:val="20"/>
        </w:rPr>
        <w:t>In addition, some projects prepare countries for the EU accession</w:t>
      </w:r>
      <w:r>
        <w:rPr>
          <w:rStyle w:val="FootnoteReference"/>
          <w:noProof/>
          <w:sz w:val="20"/>
          <w:szCs w:val="20"/>
        </w:rPr>
        <w:footnoteReference w:id="89"/>
      </w:r>
      <w:r w:rsidRPr="008E38D3">
        <w:rPr>
          <w:rFonts w:ascii="Times New Roman" w:hAnsi="Times New Roman" w:cs="Times New Roman"/>
          <w:noProof/>
          <w:sz w:val="20"/>
          <w:szCs w:val="20"/>
        </w:rPr>
        <w:t xml:space="preserve">, or draw inspiration from the EU’s fundamental rights </w:t>
      </w:r>
      <w:r>
        <w:rPr>
          <w:rFonts w:ascii="Times New Roman" w:hAnsi="Times New Roman" w:cs="Times New Roman"/>
          <w:noProof/>
          <w:sz w:val="20"/>
          <w:szCs w:val="20"/>
        </w:rPr>
        <w:t>frame</w:t>
      </w:r>
      <w:r w:rsidRPr="008E38D3">
        <w:rPr>
          <w:rFonts w:ascii="Times New Roman" w:hAnsi="Times New Roman" w:cs="Times New Roman"/>
          <w:noProof/>
          <w:sz w:val="20"/>
          <w:szCs w:val="20"/>
        </w:rPr>
        <w:t>work for elsewhere in the world.</w:t>
      </w:r>
    </w:p>
    <w:p w14:paraId="387F3BF8" w14:textId="77777777" w:rsidR="002C0325" w:rsidRPr="000B6BFA" w:rsidRDefault="002C0325" w:rsidP="002C0325">
      <w:pPr>
        <w:spacing w:after="120" w:line="276" w:lineRule="auto"/>
        <w:jc w:val="both"/>
        <w:rPr>
          <w:rFonts w:ascii="Times New Roman" w:hAnsi="Times New Roman" w:cs="Times New Roman"/>
          <w:noProof/>
          <w:sz w:val="24"/>
          <w:szCs w:val="24"/>
        </w:rPr>
      </w:pPr>
      <w:r w:rsidRPr="00321A5B">
        <w:rPr>
          <w:rFonts w:ascii="Times New Roman" w:hAnsi="Times New Roman" w:cs="Times New Roman"/>
          <w:noProof/>
          <w:sz w:val="24"/>
          <w:szCs w:val="24"/>
        </w:rPr>
        <w:t xml:space="preserve">The Erasmus+ programme’s opportunities can also be taken up by projects operating in third countries in partnership with </w:t>
      </w:r>
      <w:r>
        <w:rPr>
          <w:rFonts w:ascii="Times New Roman" w:hAnsi="Times New Roman" w:cs="Times New Roman"/>
          <w:noProof/>
          <w:sz w:val="24"/>
          <w:szCs w:val="24"/>
        </w:rPr>
        <w:t>EU</w:t>
      </w:r>
      <w:r w:rsidRPr="00321A5B">
        <w:rPr>
          <w:rFonts w:ascii="Times New Roman" w:hAnsi="Times New Roman" w:cs="Times New Roman"/>
          <w:noProof/>
          <w:sz w:val="24"/>
          <w:szCs w:val="24"/>
        </w:rPr>
        <w:t xml:space="preserve"> institutions. </w:t>
      </w:r>
    </w:p>
    <w:p w14:paraId="042C5AE3" w14:textId="77777777" w:rsidR="002C0325" w:rsidRPr="004E360C" w:rsidRDefault="002C0325" w:rsidP="002C0325">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noProof/>
          <w:sz w:val="20"/>
          <w:szCs w:val="20"/>
        </w:rPr>
      </w:pPr>
      <w:r w:rsidRPr="00800B4B">
        <w:rPr>
          <w:rFonts w:ascii="Times New Roman" w:hAnsi="Times New Roman" w:cs="Times New Roman"/>
          <w:b/>
          <w:bCs/>
          <w:noProof/>
          <w:sz w:val="20"/>
          <w:szCs w:val="20"/>
        </w:rPr>
        <w:t>ACT - Virtual exchanges for Active CiTizenship</w:t>
      </w:r>
      <w:r w:rsidRPr="00800B4B">
        <w:rPr>
          <w:rStyle w:val="FootnoteReference"/>
          <w:noProof/>
          <w:sz w:val="20"/>
          <w:szCs w:val="20"/>
        </w:rPr>
        <w:footnoteReference w:id="90"/>
      </w:r>
      <w:r w:rsidRPr="00800B4B">
        <w:rPr>
          <w:rFonts w:ascii="Times New Roman" w:hAnsi="Times New Roman" w:cs="Times New Roman"/>
          <w:b/>
          <w:bCs/>
          <w:noProof/>
          <w:sz w:val="20"/>
          <w:szCs w:val="20"/>
        </w:rPr>
        <w:t xml:space="preserve"> </w:t>
      </w:r>
      <w:r w:rsidRPr="00800B4B">
        <w:rPr>
          <w:rFonts w:ascii="Times New Roman" w:hAnsi="Times New Roman" w:cs="Times New Roman"/>
          <w:noProof/>
          <w:sz w:val="20"/>
          <w:szCs w:val="20"/>
        </w:rPr>
        <w:t>aims to develop active citizenship, freedom, tolerance, and non-discrimination by connecting students and university staff of European and Southern Neighbourhood region countries through formal and informal online activities. Th</w:t>
      </w:r>
      <w:r>
        <w:rPr>
          <w:rFonts w:ascii="Times New Roman" w:hAnsi="Times New Roman" w:cs="Times New Roman"/>
          <w:noProof/>
          <w:sz w:val="20"/>
          <w:szCs w:val="20"/>
        </w:rPr>
        <w:t>e</w:t>
      </w:r>
      <w:r w:rsidRPr="00800B4B">
        <w:rPr>
          <w:rFonts w:ascii="Times New Roman" w:hAnsi="Times New Roman" w:cs="Times New Roman"/>
          <w:noProof/>
          <w:sz w:val="20"/>
          <w:szCs w:val="20"/>
        </w:rPr>
        <w:t xml:space="preserve"> project engages young Europeans and their peers from Palestine, Lebanon, Libya, Morocco, and Tunisia.</w:t>
      </w:r>
    </w:p>
    <w:p w14:paraId="34A75603" w14:textId="77777777" w:rsidR="002C0325" w:rsidRDefault="002C0325" w:rsidP="002C0325">
      <w:pPr>
        <w:spacing w:after="120" w:line="276" w:lineRule="auto"/>
        <w:jc w:val="both"/>
        <w:textAlignment w:val="baseline"/>
        <w:rPr>
          <w:rFonts w:ascii="Times New Roman" w:eastAsia="Times New Roman" w:hAnsi="Times New Roman" w:cs="Times New Roman"/>
          <w:noProof/>
          <w:color w:val="000000"/>
          <w:sz w:val="24"/>
          <w:szCs w:val="24"/>
          <w:lang w:val="en-GB" w:eastAsia="en-IE"/>
        </w:rPr>
      </w:pPr>
      <w:r w:rsidRPr="00321A5B">
        <w:rPr>
          <w:rFonts w:ascii="Times New Roman" w:eastAsia="Times New Roman" w:hAnsi="Times New Roman" w:cs="Times New Roman"/>
          <w:noProof/>
          <w:color w:val="000000"/>
          <w:sz w:val="24"/>
          <w:szCs w:val="24"/>
          <w:lang w:val="en-GB" w:eastAsia="en-IE"/>
        </w:rPr>
        <w:t xml:space="preserve">To promote equal opportunities and diversity, a Framework on inclusion measures, as well as a specific </w:t>
      </w:r>
      <w:r>
        <w:rPr>
          <w:rFonts w:ascii="Times New Roman" w:eastAsia="Times New Roman" w:hAnsi="Times New Roman" w:cs="Times New Roman"/>
          <w:noProof/>
          <w:color w:val="000000"/>
          <w:sz w:val="24"/>
          <w:szCs w:val="24"/>
          <w:lang w:val="en-GB" w:eastAsia="en-IE"/>
        </w:rPr>
        <w:t>‘</w:t>
      </w:r>
      <w:r w:rsidRPr="00321A5B">
        <w:rPr>
          <w:rFonts w:ascii="Times New Roman" w:eastAsia="Times New Roman" w:hAnsi="Times New Roman" w:cs="Times New Roman"/>
          <w:noProof/>
          <w:color w:val="000000"/>
          <w:sz w:val="24"/>
          <w:szCs w:val="24"/>
          <w:lang w:val="en-GB" w:eastAsia="en-IE"/>
        </w:rPr>
        <w:t>Inclusion and diversity strategy</w:t>
      </w:r>
      <w:r>
        <w:rPr>
          <w:rFonts w:ascii="Times New Roman" w:eastAsia="Times New Roman" w:hAnsi="Times New Roman" w:cs="Times New Roman"/>
          <w:noProof/>
          <w:color w:val="000000"/>
          <w:sz w:val="24"/>
          <w:szCs w:val="24"/>
          <w:lang w:val="en-GB" w:eastAsia="en-IE"/>
        </w:rPr>
        <w:t>’</w:t>
      </w:r>
      <w:r w:rsidRPr="00321A5B">
        <w:rPr>
          <w:rFonts w:ascii="Times New Roman" w:eastAsia="Times New Roman" w:hAnsi="Times New Roman" w:cs="Times New Roman"/>
          <w:noProof/>
          <w:color w:val="000000"/>
          <w:sz w:val="24"/>
          <w:szCs w:val="24"/>
          <w:lang w:val="en-GB" w:eastAsia="en-IE"/>
        </w:rPr>
        <w:t>, have been developed to support an easier access to funding for a wider range of organisations and applicants.</w:t>
      </w:r>
      <w:r w:rsidRPr="00321A5B">
        <w:rPr>
          <w:rFonts w:ascii="Times New Roman" w:eastAsia="Times New Roman" w:hAnsi="Times New Roman" w:cs="Times New Roman"/>
          <w:noProof/>
          <w:color w:val="000000"/>
          <w:sz w:val="24"/>
          <w:szCs w:val="24"/>
          <w:vertAlign w:val="superscript"/>
          <w:lang w:val="en-GB" w:eastAsia="en-IE"/>
        </w:rPr>
        <w:footnoteReference w:id="91"/>
      </w:r>
      <w:r w:rsidRPr="00321A5B">
        <w:rPr>
          <w:rFonts w:ascii="Times New Roman" w:eastAsia="Times New Roman" w:hAnsi="Times New Roman" w:cs="Times New Roman"/>
          <w:noProof/>
          <w:color w:val="000000"/>
          <w:sz w:val="24"/>
          <w:szCs w:val="24"/>
          <w:lang w:val="en-GB" w:eastAsia="en-IE"/>
        </w:rPr>
        <w:t xml:space="preserve"> </w:t>
      </w:r>
      <w:r>
        <w:rPr>
          <w:rFonts w:ascii="Times New Roman" w:eastAsia="Times New Roman" w:hAnsi="Times New Roman" w:cs="Times New Roman"/>
          <w:noProof/>
          <w:color w:val="000000"/>
          <w:sz w:val="24"/>
          <w:szCs w:val="24"/>
          <w:lang w:val="en-GB" w:eastAsia="en-IE"/>
        </w:rPr>
        <w:t>N</w:t>
      </w:r>
      <w:r w:rsidRPr="00321A5B">
        <w:rPr>
          <w:rFonts w:ascii="Times New Roman" w:eastAsia="Times New Roman" w:hAnsi="Times New Roman" w:cs="Times New Roman"/>
          <w:noProof/>
          <w:color w:val="000000"/>
          <w:sz w:val="24"/>
          <w:szCs w:val="24"/>
          <w:lang w:val="en-GB" w:eastAsia="en-IE"/>
        </w:rPr>
        <w:t xml:space="preserve">ational agencies are </w:t>
      </w:r>
      <w:r>
        <w:rPr>
          <w:rFonts w:ascii="Times New Roman" w:eastAsia="Times New Roman" w:hAnsi="Times New Roman" w:cs="Times New Roman"/>
          <w:noProof/>
          <w:color w:val="000000"/>
          <w:sz w:val="24"/>
          <w:szCs w:val="24"/>
          <w:lang w:val="en-GB" w:eastAsia="en-IE"/>
        </w:rPr>
        <w:t xml:space="preserve">furthermore </w:t>
      </w:r>
      <w:r w:rsidRPr="00321A5B">
        <w:rPr>
          <w:rFonts w:ascii="Times New Roman" w:eastAsia="Times New Roman" w:hAnsi="Times New Roman" w:cs="Times New Roman"/>
          <w:noProof/>
          <w:color w:val="000000"/>
          <w:sz w:val="24"/>
          <w:szCs w:val="24"/>
          <w:lang w:val="en-GB" w:eastAsia="en-IE"/>
        </w:rPr>
        <w:t xml:space="preserve">required to draw up inclusion and diversity plans </w:t>
      </w:r>
      <w:r>
        <w:rPr>
          <w:rFonts w:ascii="Times New Roman" w:eastAsia="Times New Roman" w:hAnsi="Times New Roman" w:cs="Times New Roman"/>
          <w:noProof/>
          <w:color w:val="000000"/>
          <w:sz w:val="24"/>
          <w:szCs w:val="24"/>
          <w:lang w:val="en-GB" w:eastAsia="en-IE"/>
        </w:rPr>
        <w:t>and</w:t>
      </w:r>
      <w:r w:rsidRPr="00321A5B">
        <w:rPr>
          <w:rFonts w:ascii="Times New Roman" w:eastAsia="Times New Roman" w:hAnsi="Times New Roman" w:cs="Times New Roman"/>
          <w:noProof/>
          <w:color w:val="000000"/>
          <w:sz w:val="24"/>
          <w:szCs w:val="24"/>
          <w:lang w:val="en-GB" w:eastAsia="en-IE"/>
        </w:rPr>
        <w:t xml:space="preserve"> dedicated support is made available for organisations and participants with fewer opportunities.</w:t>
      </w:r>
    </w:p>
    <w:p w14:paraId="129B76A0" w14:textId="77777777" w:rsidR="002C0325" w:rsidRPr="00760DBB" w:rsidRDefault="002C0325" w:rsidP="002C0325">
      <w:pPr>
        <w:pStyle w:val="Headerlevel2"/>
      </w:pPr>
      <w:r w:rsidRPr="00760DBB">
        <w:t xml:space="preserve"> Horizon Europe</w:t>
      </w:r>
    </w:p>
    <w:p w14:paraId="7122A12D" w14:textId="77777777" w:rsidR="002C0325" w:rsidRDefault="002C0325" w:rsidP="002C0325">
      <w:pPr>
        <w:spacing w:line="276" w:lineRule="auto"/>
        <w:jc w:val="both"/>
        <w:rPr>
          <w:rFonts w:ascii="Times New Roman" w:hAnsi="Times New Roman" w:cs="Times New Roman"/>
          <w:noProof/>
          <w:sz w:val="24"/>
          <w:szCs w:val="24"/>
        </w:rPr>
      </w:pPr>
      <w:r w:rsidRPr="00B466D9">
        <w:rPr>
          <w:rFonts w:ascii="Times New Roman" w:eastAsia="Times New Roman" w:hAnsi="Times New Roman" w:cs="Times New Roman"/>
          <w:noProof/>
          <w:sz w:val="24"/>
          <w:szCs w:val="24"/>
        </w:rPr>
        <w:t>Horizon Europe (HE), the</w:t>
      </w:r>
      <w:r>
        <w:rPr>
          <w:rFonts w:ascii="Times New Roman" w:eastAsia="Times New Roman" w:hAnsi="Times New Roman" w:cs="Times New Roman"/>
          <w:noProof/>
          <w:sz w:val="24"/>
          <w:szCs w:val="24"/>
        </w:rPr>
        <w:t xml:space="preserve"> </w:t>
      </w:r>
      <w:r w:rsidRPr="00B466D9">
        <w:rPr>
          <w:rFonts w:ascii="Times New Roman" w:eastAsia="Times New Roman" w:hAnsi="Times New Roman" w:cs="Times New Roman"/>
          <w:noProof/>
          <w:sz w:val="24"/>
          <w:szCs w:val="24"/>
        </w:rPr>
        <w:t>Framework Programme for Research and Innovation</w:t>
      </w:r>
      <w:r>
        <w:rPr>
          <w:rFonts w:ascii="Times New Roman" w:eastAsia="Times New Roman" w:hAnsi="Times New Roman" w:cs="Times New Roman"/>
          <w:noProof/>
          <w:sz w:val="24"/>
          <w:szCs w:val="24"/>
        </w:rPr>
        <w:t xml:space="preserve"> has </w:t>
      </w:r>
      <w:r w:rsidRPr="00D6051F">
        <w:rPr>
          <w:rFonts w:ascii="Times New Roman" w:eastAsia="Times New Roman" w:hAnsi="Times New Roman" w:cs="Times New Roman"/>
          <w:noProof/>
          <w:sz w:val="24"/>
          <w:szCs w:val="24"/>
        </w:rPr>
        <w:t>a total budget of EUR 95.5 billion</w:t>
      </w:r>
      <w:r>
        <w:rPr>
          <w:rStyle w:val="FootnoteReference"/>
          <w:rFonts w:eastAsia="Times New Roman"/>
          <w:noProof/>
        </w:rPr>
        <w:footnoteReference w:id="92"/>
      </w:r>
      <w:r>
        <w:rPr>
          <w:rFonts w:ascii="Times New Roman" w:eastAsia="Times New Roman" w:hAnsi="Times New Roman" w:cs="Times New Roman"/>
          <w:noProof/>
          <w:sz w:val="24"/>
          <w:szCs w:val="24"/>
        </w:rPr>
        <w:t xml:space="preserve"> and is </w:t>
      </w:r>
      <w:r w:rsidRPr="00B466D9">
        <w:rPr>
          <w:rFonts w:ascii="Times New Roman" w:eastAsia="Times New Roman" w:hAnsi="Times New Roman" w:cs="Times New Roman"/>
          <w:noProof/>
          <w:sz w:val="24"/>
          <w:szCs w:val="24"/>
        </w:rPr>
        <w:t xml:space="preserve">aimed at strengthening the EU’s scientific and technological basis. </w:t>
      </w:r>
      <w:r w:rsidRPr="00B466D9">
        <w:rPr>
          <w:rFonts w:ascii="Times New Roman" w:hAnsi="Times New Roman" w:cs="Times New Roman"/>
          <w:noProof/>
          <w:sz w:val="24"/>
          <w:szCs w:val="24"/>
        </w:rPr>
        <w:t>It</w:t>
      </w:r>
      <w:r>
        <w:rPr>
          <w:rFonts w:ascii="Times New Roman" w:hAnsi="Times New Roman" w:cs="Times New Roman"/>
          <w:noProof/>
          <w:sz w:val="24"/>
          <w:szCs w:val="24"/>
        </w:rPr>
        <w:t xml:space="preserve"> guarantees scientific excellence and</w:t>
      </w:r>
      <w:r w:rsidRPr="00B466D9">
        <w:rPr>
          <w:rFonts w:ascii="Times New Roman" w:hAnsi="Times New Roman" w:cs="Times New Roman"/>
          <w:noProof/>
          <w:sz w:val="24"/>
          <w:szCs w:val="24"/>
        </w:rPr>
        <w:t xml:space="preserve"> </w:t>
      </w:r>
      <w:r>
        <w:rPr>
          <w:rFonts w:ascii="Times New Roman" w:hAnsi="Times New Roman" w:cs="Times New Roman"/>
          <w:noProof/>
          <w:sz w:val="24"/>
          <w:szCs w:val="24"/>
        </w:rPr>
        <w:t>promotes</w:t>
      </w:r>
      <w:r w:rsidRPr="00B466D9">
        <w:rPr>
          <w:rFonts w:ascii="Times New Roman" w:hAnsi="Times New Roman" w:cs="Times New Roman"/>
          <w:noProof/>
          <w:sz w:val="24"/>
          <w:szCs w:val="24"/>
        </w:rPr>
        <w:t xml:space="preserve"> the respect of academic freedom</w:t>
      </w:r>
      <w:r>
        <w:rPr>
          <w:rFonts w:ascii="Times New Roman" w:hAnsi="Times New Roman" w:cs="Times New Roman"/>
          <w:noProof/>
          <w:sz w:val="24"/>
          <w:szCs w:val="24"/>
        </w:rPr>
        <w:t>, enshrined in Article 13 of the Charter,</w:t>
      </w:r>
      <w:r w:rsidRPr="00B466D9">
        <w:rPr>
          <w:rFonts w:ascii="Times New Roman" w:hAnsi="Times New Roman" w:cs="Times New Roman"/>
          <w:noProof/>
          <w:sz w:val="24"/>
          <w:szCs w:val="24"/>
        </w:rPr>
        <w:t xml:space="preserve"> in all EU and non-EU countries benefiting from its </w:t>
      </w:r>
      <w:r w:rsidRPr="009D1687">
        <w:rPr>
          <w:rFonts w:ascii="Times New Roman" w:hAnsi="Times New Roman" w:cs="Times New Roman"/>
          <w:noProof/>
          <w:sz w:val="24"/>
          <w:szCs w:val="24"/>
        </w:rPr>
        <w:t>funds</w:t>
      </w:r>
      <w:r w:rsidRPr="009D1687">
        <w:rPr>
          <w:rStyle w:val="FootnoteReference"/>
          <w:noProof/>
        </w:rPr>
        <w:footnoteReference w:id="93"/>
      </w:r>
      <w:r w:rsidRPr="009D1687">
        <w:rPr>
          <w:rFonts w:ascii="Times New Roman" w:hAnsi="Times New Roman" w:cs="Times New Roman"/>
          <w:noProof/>
          <w:sz w:val="24"/>
          <w:szCs w:val="24"/>
        </w:rPr>
        <w:t>.</w:t>
      </w:r>
      <w:r w:rsidRPr="00B466D9">
        <w:rPr>
          <w:rFonts w:ascii="Times New Roman" w:eastAsia="Times New Roman" w:hAnsi="Times New Roman" w:cs="Times New Roman"/>
          <w:noProof/>
          <w:sz w:val="24"/>
          <w:szCs w:val="24"/>
        </w:rPr>
        <w:t xml:space="preserve"> </w:t>
      </w:r>
      <w:r>
        <w:rPr>
          <w:rFonts w:ascii="Times New Roman" w:hAnsi="Times New Roman" w:cs="Times New Roman"/>
          <w:noProof/>
          <w:sz w:val="24"/>
          <w:szCs w:val="24"/>
          <w:lang w:val="en-GB"/>
        </w:rPr>
        <w:t>The r</w:t>
      </w:r>
      <w:r w:rsidRPr="00B466D9">
        <w:rPr>
          <w:rFonts w:ascii="Times New Roman" w:hAnsi="Times New Roman" w:cs="Times New Roman"/>
          <w:noProof/>
          <w:sz w:val="24"/>
          <w:szCs w:val="24"/>
          <w:lang w:val="en-GB"/>
        </w:rPr>
        <w:t>esearch topics</w:t>
      </w:r>
      <w:r>
        <w:rPr>
          <w:rFonts w:ascii="Times New Roman" w:hAnsi="Times New Roman" w:cs="Times New Roman"/>
          <w:noProof/>
          <w:sz w:val="24"/>
          <w:szCs w:val="24"/>
          <w:lang w:val="en-GB"/>
        </w:rPr>
        <w:t xml:space="preserve"> should</w:t>
      </w:r>
      <w:r w:rsidRPr="00B466D9">
        <w:rPr>
          <w:rFonts w:ascii="Times New Roman" w:hAnsi="Times New Roman" w:cs="Times New Roman"/>
          <w:noProof/>
          <w:sz w:val="24"/>
          <w:szCs w:val="24"/>
          <w:lang w:val="en-GB"/>
        </w:rPr>
        <w:t xml:space="preserve"> promote a human-centred approach based on </w:t>
      </w:r>
      <w:r>
        <w:rPr>
          <w:rFonts w:ascii="Times New Roman" w:hAnsi="Times New Roman" w:cs="Times New Roman"/>
          <w:noProof/>
          <w:sz w:val="24"/>
          <w:szCs w:val="24"/>
          <w:lang w:val="en-GB"/>
        </w:rPr>
        <w:t xml:space="preserve">the </w:t>
      </w:r>
      <w:r w:rsidRPr="00B466D9">
        <w:rPr>
          <w:rFonts w:ascii="Times New Roman" w:hAnsi="Times New Roman" w:cs="Times New Roman"/>
          <w:noProof/>
          <w:sz w:val="24"/>
          <w:szCs w:val="24"/>
          <w:lang w:val="en-GB"/>
        </w:rPr>
        <w:t>respect for fundamental rights and in line with ethical and societal values</w:t>
      </w:r>
      <w:r w:rsidRPr="00B466D9">
        <w:rPr>
          <w:rFonts w:ascii="Times New Roman" w:hAnsi="Times New Roman" w:cs="Times New Roman"/>
          <w:noProof/>
          <w:sz w:val="24"/>
          <w:szCs w:val="24"/>
        </w:rPr>
        <w:t xml:space="preserve">. These underlie each of the </w:t>
      </w:r>
      <w:r w:rsidRPr="00EE67FD">
        <w:rPr>
          <w:rFonts w:ascii="Times New Roman" w:hAnsi="Times New Roman" w:cs="Times New Roman"/>
          <w:noProof/>
          <w:sz w:val="24"/>
          <w:szCs w:val="24"/>
        </w:rPr>
        <w:t xml:space="preserve">three </w:t>
      </w:r>
      <w:r w:rsidRPr="00800B4B">
        <w:rPr>
          <w:rFonts w:ascii="Times New Roman" w:hAnsi="Times New Roman" w:cs="Times New Roman"/>
          <w:noProof/>
          <w:sz w:val="24"/>
          <w:szCs w:val="24"/>
        </w:rPr>
        <w:t>pillars of the programme</w:t>
      </w:r>
      <w:r w:rsidRPr="00A83457">
        <w:rPr>
          <w:rFonts w:ascii="Times New Roman" w:hAnsi="Times New Roman" w:cs="Times New Roman"/>
          <w:noProof/>
          <w:sz w:val="24"/>
          <w:szCs w:val="24"/>
        </w:rPr>
        <w:t xml:space="preserve">: </w:t>
      </w:r>
      <w:r w:rsidRPr="000B6BFA">
        <w:rPr>
          <w:rFonts w:ascii="Times New Roman" w:hAnsi="Times New Roman" w:cs="Times New Roman"/>
          <w:noProof/>
          <w:sz w:val="24"/>
          <w:szCs w:val="24"/>
        </w:rPr>
        <w:t>excellent science; global challenges and European industrial competitiveness;</w:t>
      </w:r>
      <w:r w:rsidRPr="00A83457">
        <w:rPr>
          <w:rFonts w:ascii="Times New Roman" w:hAnsi="Times New Roman" w:cs="Times New Roman"/>
          <w:noProof/>
          <w:sz w:val="24"/>
          <w:szCs w:val="24"/>
        </w:rPr>
        <w:t xml:space="preserve"> and </w:t>
      </w:r>
      <w:r w:rsidRPr="000B6BFA">
        <w:rPr>
          <w:rFonts w:ascii="Times New Roman" w:hAnsi="Times New Roman" w:cs="Times New Roman"/>
          <w:noProof/>
          <w:sz w:val="24"/>
          <w:szCs w:val="24"/>
        </w:rPr>
        <w:t>innovative Europe</w:t>
      </w:r>
      <w:r w:rsidRPr="00A83457">
        <w:rPr>
          <w:rFonts w:ascii="Times New Roman" w:hAnsi="Times New Roman" w:cs="Times New Roman"/>
          <w:noProof/>
          <w:sz w:val="24"/>
          <w:szCs w:val="24"/>
        </w:rPr>
        <w:t>.</w:t>
      </w:r>
      <w:r w:rsidRPr="00B466D9">
        <w:rPr>
          <w:rFonts w:ascii="Times New Roman" w:hAnsi="Times New Roman" w:cs="Times New Roman"/>
          <w:noProof/>
          <w:sz w:val="24"/>
          <w:szCs w:val="24"/>
        </w:rPr>
        <w:t xml:space="preserve"> </w:t>
      </w:r>
    </w:p>
    <w:p w14:paraId="588E3F5F" w14:textId="77777777" w:rsidR="002C0325" w:rsidRPr="00B466D9" w:rsidRDefault="002C0325" w:rsidP="002C0325">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In particular, under p</w:t>
      </w:r>
      <w:r w:rsidRPr="00B466D9">
        <w:rPr>
          <w:rFonts w:ascii="Times New Roman" w:hAnsi="Times New Roman" w:cs="Times New Roman"/>
          <w:noProof/>
          <w:sz w:val="24"/>
          <w:szCs w:val="24"/>
        </w:rPr>
        <w:t>illar II</w:t>
      </w:r>
      <w:r>
        <w:rPr>
          <w:rStyle w:val="FootnoteReference"/>
          <w:noProof/>
        </w:rPr>
        <w:footnoteReference w:id="94"/>
      </w:r>
      <w:r w:rsidRPr="00B466D9">
        <w:rPr>
          <w:rFonts w:ascii="Times New Roman" w:hAnsi="Times New Roman" w:cs="Times New Roman"/>
          <w:noProof/>
          <w:sz w:val="24"/>
          <w:szCs w:val="24"/>
        </w:rPr>
        <w:t xml:space="preserve"> </w:t>
      </w:r>
      <w:r>
        <w:rPr>
          <w:rFonts w:ascii="Times New Roman" w:hAnsi="Times New Roman" w:cs="Times New Roman"/>
          <w:noProof/>
          <w:sz w:val="24"/>
          <w:szCs w:val="24"/>
        </w:rPr>
        <w:t xml:space="preserve">on </w:t>
      </w:r>
      <w:r w:rsidRPr="00BB44E3">
        <w:rPr>
          <w:rFonts w:ascii="Times New Roman" w:hAnsi="Times New Roman" w:cs="Times New Roman"/>
          <w:noProof/>
          <w:sz w:val="24"/>
          <w:szCs w:val="24"/>
        </w:rPr>
        <w:t xml:space="preserve">global challenges and European industrial competitiveness </w:t>
      </w:r>
      <w:r>
        <w:rPr>
          <w:rFonts w:ascii="Times New Roman" w:hAnsi="Times New Roman" w:cs="Times New Roman"/>
          <w:noProof/>
          <w:sz w:val="24"/>
          <w:szCs w:val="24"/>
        </w:rPr>
        <w:t>the research and innovation</w:t>
      </w:r>
      <w:r w:rsidRPr="00B466D9">
        <w:rPr>
          <w:rFonts w:ascii="Times New Roman" w:hAnsi="Times New Roman" w:cs="Times New Roman"/>
          <w:noProof/>
          <w:sz w:val="24"/>
          <w:szCs w:val="24"/>
        </w:rPr>
        <w:t xml:space="preserve"> activities </w:t>
      </w:r>
      <w:r>
        <w:rPr>
          <w:rFonts w:ascii="Times New Roman" w:hAnsi="Times New Roman" w:cs="Times New Roman"/>
          <w:noProof/>
          <w:sz w:val="24"/>
          <w:szCs w:val="24"/>
        </w:rPr>
        <w:t>on</w:t>
      </w:r>
      <w:r w:rsidRPr="00B466D9">
        <w:rPr>
          <w:rFonts w:ascii="Times New Roman" w:hAnsi="Times New Roman" w:cs="Times New Roman"/>
          <w:noProof/>
          <w:sz w:val="24"/>
          <w:szCs w:val="24"/>
        </w:rPr>
        <w:t xml:space="preserve"> ‘</w:t>
      </w:r>
      <w:r w:rsidRPr="005A6FE4">
        <w:rPr>
          <w:rFonts w:ascii="Times New Roman" w:hAnsi="Times New Roman" w:cs="Times New Roman"/>
          <w:b/>
          <w:bCs/>
          <w:noProof/>
          <w:sz w:val="24"/>
          <w:szCs w:val="24"/>
        </w:rPr>
        <w:t>Health’</w:t>
      </w:r>
      <w:r>
        <w:rPr>
          <w:rFonts w:ascii="Times New Roman" w:hAnsi="Times New Roman" w:cs="Times New Roman"/>
          <w:b/>
          <w:bCs/>
          <w:noProof/>
          <w:sz w:val="24"/>
          <w:szCs w:val="24"/>
        </w:rPr>
        <w:t xml:space="preserve"> </w:t>
      </w:r>
      <w:r w:rsidRPr="00B466D9">
        <w:rPr>
          <w:rFonts w:ascii="Times New Roman" w:hAnsi="Times New Roman" w:cs="Times New Roman"/>
          <w:noProof/>
          <w:sz w:val="24"/>
          <w:szCs w:val="24"/>
        </w:rPr>
        <w:t xml:space="preserve">aim at developing solutions for </w:t>
      </w:r>
      <w:r>
        <w:rPr>
          <w:rFonts w:ascii="Times New Roman" w:hAnsi="Times New Roman" w:cs="Times New Roman"/>
          <w:noProof/>
          <w:sz w:val="24"/>
          <w:szCs w:val="24"/>
        </w:rPr>
        <w:t xml:space="preserve">the </w:t>
      </w:r>
      <w:r w:rsidRPr="00B466D9">
        <w:rPr>
          <w:rFonts w:ascii="Times New Roman" w:hAnsi="Times New Roman" w:cs="Times New Roman"/>
          <w:noProof/>
          <w:sz w:val="24"/>
          <w:szCs w:val="24"/>
        </w:rPr>
        <w:t xml:space="preserve">more effective promotion </w:t>
      </w:r>
      <w:r w:rsidRPr="005A6FE4">
        <w:rPr>
          <w:rFonts w:ascii="Times New Roman" w:hAnsi="Times New Roman" w:cs="Times New Roman"/>
          <w:noProof/>
          <w:sz w:val="24"/>
          <w:szCs w:val="24"/>
        </w:rPr>
        <w:t>of health,</w:t>
      </w:r>
      <w:r>
        <w:rPr>
          <w:rFonts w:ascii="Times New Roman" w:hAnsi="Times New Roman" w:cs="Times New Roman"/>
          <w:noProof/>
          <w:sz w:val="24"/>
          <w:szCs w:val="24"/>
        </w:rPr>
        <w:t xml:space="preserve"> within the meaning of Article 35 of the Charter,</w:t>
      </w:r>
      <w:r w:rsidRPr="00B466D9">
        <w:rPr>
          <w:rFonts w:ascii="Times New Roman" w:hAnsi="Times New Roman" w:cs="Times New Roman"/>
          <w:noProof/>
          <w:sz w:val="24"/>
          <w:szCs w:val="24"/>
        </w:rPr>
        <w:t xml:space="preserve"> while paying attention to ethics, protection of human dignity, gender </w:t>
      </w:r>
      <w:r>
        <w:rPr>
          <w:rFonts w:ascii="Times New Roman" w:hAnsi="Times New Roman" w:cs="Times New Roman"/>
          <w:noProof/>
          <w:sz w:val="24"/>
          <w:szCs w:val="24"/>
        </w:rPr>
        <w:t xml:space="preserve">equality </w:t>
      </w:r>
      <w:r w:rsidRPr="00B466D9">
        <w:rPr>
          <w:rFonts w:ascii="Times New Roman" w:hAnsi="Times New Roman" w:cs="Times New Roman"/>
          <w:noProof/>
          <w:sz w:val="24"/>
          <w:szCs w:val="24"/>
        </w:rPr>
        <w:t>and ethnical aspects</w:t>
      </w:r>
      <w:r>
        <w:rPr>
          <w:rFonts w:ascii="Times New Roman" w:hAnsi="Times New Roman" w:cs="Times New Roman"/>
          <w:noProof/>
          <w:sz w:val="24"/>
          <w:szCs w:val="24"/>
        </w:rPr>
        <w:t>, as well as</w:t>
      </w:r>
      <w:r w:rsidRPr="00B466D9">
        <w:rPr>
          <w:rFonts w:ascii="Times New Roman" w:hAnsi="Times New Roman" w:cs="Times New Roman"/>
          <w:noProof/>
          <w:sz w:val="24"/>
          <w:szCs w:val="24"/>
        </w:rPr>
        <w:t xml:space="preserve"> the needs of disadvantaged and vulnerable people. </w:t>
      </w:r>
    </w:p>
    <w:p w14:paraId="6421FB72" w14:textId="77777777" w:rsidR="002C0325" w:rsidRPr="00800B4B" w:rsidRDefault="002C0325" w:rsidP="002C0325">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noProof/>
          <w:sz w:val="20"/>
          <w:szCs w:val="20"/>
        </w:rPr>
      </w:pPr>
      <w:r w:rsidRPr="00800B4B">
        <w:rPr>
          <w:rFonts w:ascii="Times New Roman" w:hAnsi="Times New Roman" w:cs="Times New Roman"/>
          <w:noProof/>
          <w:sz w:val="20"/>
          <w:szCs w:val="20"/>
        </w:rPr>
        <w:t xml:space="preserve">The </w:t>
      </w:r>
      <w:r w:rsidRPr="00800B4B">
        <w:rPr>
          <w:rFonts w:ascii="Times New Roman" w:hAnsi="Times New Roman" w:cs="Times New Roman"/>
          <w:b/>
          <w:bCs/>
          <w:noProof/>
          <w:sz w:val="20"/>
          <w:szCs w:val="20"/>
        </w:rPr>
        <w:t>Flexible Approaches to Support Health through financing</w:t>
      </w:r>
      <w:r w:rsidRPr="00800B4B">
        <w:rPr>
          <w:rStyle w:val="FootnoteReference"/>
          <w:noProof/>
          <w:sz w:val="20"/>
          <w:szCs w:val="20"/>
        </w:rPr>
        <w:footnoteReference w:id="95"/>
      </w:r>
      <w:r w:rsidRPr="00800B4B">
        <w:rPr>
          <w:rFonts w:ascii="Times New Roman" w:hAnsi="Times New Roman" w:cs="Times New Roman"/>
          <w:noProof/>
          <w:sz w:val="20"/>
          <w:szCs w:val="20"/>
        </w:rPr>
        <w:t xml:space="preserve"> project analys</w:t>
      </w:r>
      <w:r>
        <w:rPr>
          <w:rFonts w:ascii="Times New Roman" w:hAnsi="Times New Roman" w:cs="Times New Roman"/>
          <w:noProof/>
          <w:sz w:val="20"/>
          <w:szCs w:val="20"/>
        </w:rPr>
        <w:t>es</w:t>
      </w:r>
      <w:r w:rsidRPr="00800B4B">
        <w:rPr>
          <w:rFonts w:ascii="Times New Roman" w:hAnsi="Times New Roman" w:cs="Times New Roman"/>
          <w:noProof/>
          <w:sz w:val="20"/>
          <w:szCs w:val="20"/>
        </w:rPr>
        <w:t xml:space="preserve"> the healthcare financing mechanisms in Europe and assess</w:t>
      </w:r>
      <w:r>
        <w:rPr>
          <w:rFonts w:ascii="Times New Roman" w:hAnsi="Times New Roman" w:cs="Times New Roman"/>
          <w:noProof/>
          <w:sz w:val="20"/>
          <w:szCs w:val="20"/>
        </w:rPr>
        <w:t>es</w:t>
      </w:r>
      <w:r w:rsidRPr="00800B4B">
        <w:rPr>
          <w:rFonts w:ascii="Times New Roman" w:hAnsi="Times New Roman" w:cs="Times New Roman"/>
          <w:noProof/>
          <w:sz w:val="20"/>
          <w:szCs w:val="20"/>
        </w:rPr>
        <w:t xml:space="preserve"> whether they can cope with emerging situations. </w:t>
      </w:r>
      <w:r>
        <w:rPr>
          <w:rFonts w:ascii="Times New Roman" w:hAnsi="Times New Roman" w:cs="Times New Roman"/>
          <w:noProof/>
          <w:sz w:val="20"/>
          <w:szCs w:val="20"/>
        </w:rPr>
        <w:t>C</w:t>
      </w:r>
      <w:r w:rsidRPr="00800B4B">
        <w:rPr>
          <w:rFonts w:ascii="Times New Roman" w:hAnsi="Times New Roman" w:cs="Times New Roman"/>
          <w:noProof/>
          <w:sz w:val="20"/>
          <w:szCs w:val="20"/>
        </w:rPr>
        <w:t xml:space="preserve">hallenges include those posed by ageing populations and the increasing pressure on healthcare budgets due to technological innovation. </w:t>
      </w:r>
      <w:r>
        <w:rPr>
          <w:rFonts w:ascii="Times New Roman" w:hAnsi="Times New Roman" w:cs="Times New Roman"/>
          <w:noProof/>
          <w:sz w:val="20"/>
          <w:szCs w:val="20"/>
        </w:rPr>
        <w:t>T</w:t>
      </w:r>
      <w:r w:rsidRPr="00800B4B">
        <w:rPr>
          <w:rFonts w:ascii="Times New Roman" w:hAnsi="Times New Roman" w:cs="Times New Roman"/>
          <w:noProof/>
          <w:sz w:val="20"/>
          <w:szCs w:val="20"/>
        </w:rPr>
        <w:t>he project will assess the equity and efficiency of alternative solutions.</w:t>
      </w:r>
    </w:p>
    <w:p w14:paraId="06B83FC0" w14:textId="77777777" w:rsidR="002C0325" w:rsidRPr="00800B4B" w:rsidRDefault="002C0325" w:rsidP="002C0325">
      <w:pPr>
        <w:spacing w:line="276" w:lineRule="auto"/>
        <w:jc w:val="both"/>
        <w:rPr>
          <w:rFonts w:ascii="Times New Roman" w:hAnsi="Times New Roman" w:cs="Times New Roman"/>
          <w:noProof/>
          <w:sz w:val="20"/>
          <w:szCs w:val="20"/>
        </w:rPr>
      </w:pPr>
      <w:r>
        <w:rPr>
          <w:rFonts w:ascii="Times New Roman" w:hAnsi="Times New Roman" w:cs="Times New Roman"/>
          <w:noProof/>
          <w:sz w:val="24"/>
          <w:szCs w:val="24"/>
        </w:rPr>
        <w:t>Several research lines on</w:t>
      </w:r>
      <w:r w:rsidRPr="00B466D9">
        <w:rPr>
          <w:rFonts w:ascii="Times New Roman" w:hAnsi="Times New Roman" w:cs="Times New Roman"/>
          <w:noProof/>
          <w:sz w:val="24"/>
          <w:szCs w:val="24"/>
        </w:rPr>
        <w:t xml:space="preserve"> ‘</w:t>
      </w:r>
      <w:r w:rsidRPr="005A6FE4">
        <w:rPr>
          <w:rFonts w:ascii="Times New Roman" w:hAnsi="Times New Roman" w:cs="Times New Roman"/>
          <w:b/>
          <w:bCs/>
          <w:noProof/>
          <w:sz w:val="24"/>
          <w:szCs w:val="24"/>
        </w:rPr>
        <w:t>Culture, creativity and</w:t>
      </w:r>
      <w:r w:rsidRPr="00B466D9">
        <w:rPr>
          <w:rFonts w:ascii="Times New Roman" w:hAnsi="Times New Roman" w:cs="Times New Roman"/>
          <w:noProof/>
          <w:sz w:val="24"/>
          <w:szCs w:val="24"/>
        </w:rPr>
        <w:t xml:space="preserve"> </w:t>
      </w:r>
      <w:r w:rsidRPr="00B466D9">
        <w:rPr>
          <w:rFonts w:ascii="Times New Roman" w:hAnsi="Times New Roman" w:cs="Times New Roman"/>
          <w:b/>
          <w:bCs/>
          <w:noProof/>
          <w:sz w:val="24"/>
          <w:szCs w:val="24"/>
        </w:rPr>
        <w:t>inclusive</w:t>
      </w:r>
      <w:r w:rsidRPr="00B466D9">
        <w:rPr>
          <w:rFonts w:ascii="Times New Roman" w:hAnsi="Times New Roman" w:cs="Times New Roman"/>
          <w:noProof/>
          <w:sz w:val="24"/>
          <w:szCs w:val="24"/>
        </w:rPr>
        <w:t xml:space="preserve"> </w:t>
      </w:r>
      <w:r w:rsidRPr="00B466D9">
        <w:rPr>
          <w:rFonts w:ascii="Times New Roman" w:hAnsi="Times New Roman" w:cs="Times New Roman"/>
          <w:b/>
          <w:bCs/>
          <w:noProof/>
          <w:sz w:val="24"/>
          <w:szCs w:val="24"/>
        </w:rPr>
        <w:t>society’</w:t>
      </w:r>
      <w:r w:rsidRPr="00B466D9">
        <w:rPr>
          <w:rFonts w:ascii="Times New Roman" w:hAnsi="Times New Roman" w:cs="Times New Roman"/>
          <w:noProof/>
          <w:sz w:val="24"/>
          <w:szCs w:val="24"/>
        </w:rPr>
        <w:t xml:space="preserve"> aim to</w:t>
      </w:r>
      <w:r>
        <w:rPr>
          <w:rFonts w:ascii="Times New Roman" w:hAnsi="Times New Roman" w:cs="Times New Roman"/>
          <w:noProof/>
          <w:sz w:val="24"/>
          <w:szCs w:val="24"/>
        </w:rPr>
        <w:t xml:space="preserve"> </w:t>
      </w:r>
      <w:r w:rsidRPr="00B466D9">
        <w:rPr>
          <w:rFonts w:ascii="Times New Roman" w:hAnsi="Times New Roman" w:cs="Times New Roman"/>
          <w:noProof/>
          <w:sz w:val="24"/>
          <w:szCs w:val="24"/>
        </w:rPr>
        <w:t xml:space="preserve">enhance the transparency, accessibility, effectiveness and legitimacy of </w:t>
      </w:r>
      <w:r w:rsidRPr="00B466D9">
        <w:rPr>
          <w:rFonts w:ascii="Times New Roman" w:hAnsi="Times New Roman" w:cs="Times New Roman"/>
          <w:b/>
          <w:bCs/>
          <w:noProof/>
          <w:sz w:val="24"/>
          <w:szCs w:val="24"/>
        </w:rPr>
        <w:t>democratic governance</w:t>
      </w:r>
      <w:r w:rsidRPr="00B466D9">
        <w:rPr>
          <w:rFonts w:ascii="Times New Roman" w:hAnsi="Times New Roman" w:cs="Times New Roman"/>
          <w:noProof/>
          <w:sz w:val="24"/>
          <w:szCs w:val="24"/>
        </w:rPr>
        <w:t xml:space="preserve">, as well as </w:t>
      </w:r>
      <w:r>
        <w:rPr>
          <w:rFonts w:ascii="Times New Roman" w:hAnsi="Times New Roman" w:cs="Times New Roman"/>
          <w:noProof/>
          <w:sz w:val="24"/>
          <w:szCs w:val="24"/>
        </w:rPr>
        <w:t xml:space="preserve">increase </w:t>
      </w:r>
      <w:r w:rsidRPr="00B466D9">
        <w:rPr>
          <w:rFonts w:ascii="Times New Roman" w:hAnsi="Times New Roman" w:cs="Times New Roman"/>
          <w:noProof/>
          <w:sz w:val="24"/>
          <w:szCs w:val="24"/>
        </w:rPr>
        <w:t xml:space="preserve">the </w:t>
      </w:r>
      <w:r w:rsidRPr="00373E4C">
        <w:rPr>
          <w:rFonts w:ascii="Times New Roman" w:hAnsi="Times New Roman" w:cs="Times New Roman"/>
          <w:b/>
          <w:bCs/>
          <w:noProof/>
          <w:sz w:val="24"/>
          <w:szCs w:val="24"/>
        </w:rPr>
        <w:t>efficiency of</w:t>
      </w:r>
      <w:r w:rsidRPr="00B466D9">
        <w:rPr>
          <w:rFonts w:ascii="Times New Roman" w:hAnsi="Times New Roman" w:cs="Times New Roman"/>
          <w:noProof/>
          <w:sz w:val="24"/>
          <w:szCs w:val="24"/>
        </w:rPr>
        <w:t xml:space="preserve"> </w:t>
      </w:r>
      <w:r w:rsidRPr="00B466D9">
        <w:rPr>
          <w:rFonts w:ascii="Times New Roman" w:hAnsi="Times New Roman" w:cs="Times New Roman"/>
          <w:b/>
          <w:bCs/>
          <w:noProof/>
          <w:sz w:val="24"/>
          <w:szCs w:val="24"/>
        </w:rPr>
        <w:t>justice systems</w:t>
      </w:r>
      <w:r w:rsidRPr="00B466D9">
        <w:rPr>
          <w:rFonts w:ascii="Times New Roman" w:hAnsi="Times New Roman" w:cs="Times New Roman"/>
          <w:noProof/>
          <w:sz w:val="24"/>
          <w:szCs w:val="24"/>
        </w:rPr>
        <w:t xml:space="preserve"> based on judicial independence and fair, efficient and transparent procedur</w:t>
      </w:r>
      <w:r>
        <w:rPr>
          <w:rFonts w:ascii="Times New Roman" w:hAnsi="Times New Roman" w:cs="Times New Roman"/>
          <w:noProof/>
          <w:sz w:val="24"/>
          <w:szCs w:val="24"/>
        </w:rPr>
        <w:t>es</w:t>
      </w:r>
      <w:r w:rsidRPr="00B466D9">
        <w:rPr>
          <w:rFonts w:ascii="Times New Roman" w:hAnsi="Times New Roman" w:cs="Times New Roman"/>
          <w:noProof/>
          <w:sz w:val="24"/>
          <w:szCs w:val="24"/>
        </w:rPr>
        <w:t xml:space="preserve"> in civil and criminal matters.</w:t>
      </w:r>
      <w:r w:rsidRPr="00B466D9" w:rsidDel="007A06F2">
        <w:rPr>
          <w:rFonts w:ascii="Times New Roman" w:hAnsi="Times New Roman" w:cs="Times New Roman"/>
          <w:noProof/>
          <w:sz w:val="24"/>
          <w:szCs w:val="24"/>
        </w:rPr>
        <w:t xml:space="preserve"> </w:t>
      </w:r>
    </w:p>
    <w:p w14:paraId="65725B79" w14:textId="77777777" w:rsidR="002C0325" w:rsidRPr="00B466D9" w:rsidRDefault="002C0325" w:rsidP="002C0325">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Research activities on</w:t>
      </w:r>
      <w:r w:rsidRPr="00B466D9">
        <w:rPr>
          <w:rFonts w:ascii="Times New Roman" w:hAnsi="Times New Roman" w:cs="Times New Roman"/>
          <w:noProof/>
          <w:sz w:val="24"/>
          <w:szCs w:val="24"/>
        </w:rPr>
        <w:t xml:space="preserve"> ‘</w:t>
      </w:r>
      <w:r w:rsidRPr="00800B4B">
        <w:rPr>
          <w:rFonts w:ascii="Times New Roman" w:hAnsi="Times New Roman" w:cs="Times New Roman"/>
          <w:b/>
          <w:bCs/>
          <w:noProof/>
          <w:sz w:val="24"/>
          <w:szCs w:val="24"/>
        </w:rPr>
        <w:t>Civil security for society</w:t>
      </w:r>
      <w:r w:rsidRPr="00B466D9">
        <w:rPr>
          <w:rFonts w:ascii="Times New Roman" w:hAnsi="Times New Roman" w:cs="Times New Roman"/>
          <w:noProof/>
          <w:sz w:val="24"/>
          <w:szCs w:val="24"/>
        </w:rPr>
        <w:t>’</w:t>
      </w:r>
      <w:r>
        <w:rPr>
          <w:rFonts w:ascii="Times New Roman" w:hAnsi="Times New Roman" w:cs="Times New Roman"/>
          <w:noProof/>
          <w:sz w:val="24"/>
          <w:szCs w:val="24"/>
        </w:rPr>
        <w:t xml:space="preserve"> have focused on </w:t>
      </w:r>
      <w:r w:rsidRPr="00B466D9">
        <w:rPr>
          <w:rFonts w:ascii="Times New Roman" w:hAnsi="Times New Roman" w:cs="Times New Roman"/>
          <w:noProof/>
          <w:sz w:val="24"/>
          <w:szCs w:val="24"/>
        </w:rPr>
        <w:t>improv</w:t>
      </w:r>
      <w:r>
        <w:rPr>
          <w:rFonts w:ascii="Times New Roman" w:hAnsi="Times New Roman" w:cs="Times New Roman"/>
          <w:noProof/>
          <w:sz w:val="24"/>
          <w:szCs w:val="24"/>
        </w:rPr>
        <w:t>ing</w:t>
      </w:r>
      <w:r w:rsidRPr="00B466D9">
        <w:rPr>
          <w:rFonts w:ascii="Times New Roman" w:hAnsi="Times New Roman" w:cs="Times New Roman"/>
          <w:noProof/>
          <w:sz w:val="24"/>
          <w:szCs w:val="24"/>
        </w:rPr>
        <w:t xml:space="preserve"> </w:t>
      </w:r>
      <w:r w:rsidRPr="00B466D9">
        <w:rPr>
          <w:rFonts w:ascii="Times New Roman" w:hAnsi="Times New Roman" w:cs="Times New Roman"/>
          <w:b/>
          <w:bCs/>
          <w:noProof/>
          <w:sz w:val="24"/>
          <w:szCs w:val="24"/>
        </w:rPr>
        <w:t>cybersecurity, digital privacy</w:t>
      </w:r>
      <w:r w:rsidRPr="00B466D9">
        <w:rPr>
          <w:rFonts w:ascii="Times New Roman" w:hAnsi="Times New Roman" w:cs="Times New Roman"/>
          <w:noProof/>
          <w:sz w:val="24"/>
          <w:szCs w:val="24"/>
        </w:rPr>
        <w:t xml:space="preserve">, </w:t>
      </w:r>
      <w:r w:rsidRPr="00B466D9">
        <w:rPr>
          <w:rFonts w:ascii="Times New Roman" w:hAnsi="Times New Roman" w:cs="Times New Roman"/>
          <w:b/>
          <w:bCs/>
          <w:noProof/>
          <w:sz w:val="24"/>
          <w:szCs w:val="24"/>
        </w:rPr>
        <w:t>personal data protection</w:t>
      </w:r>
      <w:r>
        <w:rPr>
          <w:rFonts w:ascii="Times New Roman" w:hAnsi="Times New Roman" w:cs="Times New Roman"/>
          <w:b/>
          <w:bCs/>
          <w:noProof/>
          <w:sz w:val="24"/>
          <w:szCs w:val="24"/>
        </w:rPr>
        <w:t xml:space="preserve">, </w:t>
      </w:r>
      <w:r w:rsidRPr="000B6BFA">
        <w:rPr>
          <w:rFonts w:ascii="Times New Roman" w:hAnsi="Times New Roman" w:cs="Times New Roman"/>
          <w:noProof/>
          <w:sz w:val="24"/>
          <w:szCs w:val="24"/>
        </w:rPr>
        <w:t xml:space="preserve">creating a safer space for children online by </w:t>
      </w:r>
      <w:r>
        <w:rPr>
          <w:rFonts w:ascii="Times New Roman" w:hAnsi="Times New Roman" w:cs="Times New Roman"/>
          <w:noProof/>
          <w:sz w:val="24"/>
          <w:szCs w:val="24"/>
        </w:rPr>
        <w:t>d</w:t>
      </w:r>
      <w:r w:rsidRPr="000B6BFA">
        <w:rPr>
          <w:rFonts w:ascii="Times New Roman" w:hAnsi="Times New Roman" w:cs="Times New Roman"/>
          <w:noProof/>
          <w:sz w:val="24"/>
          <w:szCs w:val="24"/>
        </w:rPr>
        <w:t>eveloping innovative tools to help prevent child sexual abuse and exploitation</w:t>
      </w:r>
      <w:r w:rsidRPr="00B466D9">
        <w:rPr>
          <w:rFonts w:ascii="Times New Roman" w:hAnsi="Times New Roman" w:cs="Times New Roman"/>
          <w:noProof/>
          <w:sz w:val="24"/>
          <w:szCs w:val="24"/>
        </w:rPr>
        <w:t xml:space="preserve"> and combat</w:t>
      </w:r>
      <w:r>
        <w:rPr>
          <w:rFonts w:ascii="Times New Roman" w:hAnsi="Times New Roman" w:cs="Times New Roman"/>
          <w:noProof/>
          <w:sz w:val="24"/>
          <w:szCs w:val="24"/>
        </w:rPr>
        <w:t>ing</w:t>
      </w:r>
      <w:r w:rsidRPr="00B466D9">
        <w:rPr>
          <w:rFonts w:ascii="Times New Roman" w:hAnsi="Times New Roman" w:cs="Times New Roman"/>
          <w:noProof/>
          <w:sz w:val="24"/>
          <w:szCs w:val="24"/>
        </w:rPr>
        <w:t xml:space="preserve"> the spread of false and harmful information to safeguard democratic, social and economic stability</w:t>
      </w:r>
      <w:r>
        <w:rPr>
          <w:rStyle w:val="FootnoteReference"/>
          <w:noProof/>
        </w:rPr>
        <w:footnoteReference w:id="96"/>
      </w:r>
      <w:r w:rsidRPr="00B466D9">
        <w:rPr>
          <w:rFonts w:ascii="Times New Roman" w:hAnsi="Times New Roman" w:cs="Times New Roman"/>
          <w:noProof/>
          <w:sz w:val="24"/>
          <w:szCs w:val="24"/>
        </w:rPr>
        <w:t xml:space="preserve">. </w:t>
      </w:r>
      <w:r>
        <w:rPr>
          <w:rFonts w:ascii="Times New Roman" w:hAnsi="Times New Roman" w:cs="Times New Roman"/>
          <w:noProof/>
          <w:sz w:val="24"/>
          <w:szCs w:val="24"/>
        </w:rPr>
        <w:t>They contain projects on</w:t>
      </w:r>
      <w:r w:rsidRPr="00B466D9">
        <w:rPr>
          <w:rFonts w:ascii="Times New Roman" w:hAnsi="Times New Roman" w:cs="Times New Roman"/>
          <w:noProof/>
          <w:sz w:val="24"/>
          <w:szCs w:val="24"/>
        </w:rPr>
        <w:t xml:space="preserve"> </w:t>
      </w:r>
      <w:r w:rsidRPr="00DE4F9A">
        <w:rPr>
          <w:rFonts w:ascii="Times New Roman" w:hAnsi="Times New Roman" w:cs="Times New Roman"/>
          <w:noProof/>
          <w:sz w:val="24"/>
          <w:szCs w:val="24"/>
        </w:rPr>
        <w:t>limiting the effects of disasters, whether natural or human-made, which can risk societal functions and critical infrastructures</w:t>
      </w:r>
      <w:r>
        <w:rPr>
          <w:rFonts w:ascii="Times New Roman" w:hAnsi="Times New Roman" w:cs="Times New Roman"/>
          <w:noProof/>
          <w:sz w:val="24"/>
          <w:szCs w:val="24"/>
        </w:rPr>
        <w:t xml:space="preserve"> in the fields of</w:t>
      </w:r>
      <w:r w:rsidRPr="00DE4F9A">
        <w:rPr>
          <w:rFonts w:ascii="Times New Roman" w:hAnsi="Times New Roman" w:cs="Times New Roman"/>
          <w:noProof/>
          <w:sz w:val="24"/>
          <w:szCs w:val="24"/>
        </w:rPr>
        <w:t xml:space="preserve"> health, food, drinking water, security </w:t>
      </w:r>
      <w:r>
        <w:rPr>
          <w:rFonts w:ascii="Times New Roman" w:hAnsi="Times New Roman" w:cs="Times New Roman"/>
          <w:noProof/>
          <w:sz w:val="24"/>
          <w:szCs w:val="24"/>
        </w:rPr>
        <w:t>or</w:t>
      </w:r>
      <w:r w:rsidRPr="00DE4F9A">
        <w:rPr>
          <w:rFonts w:ascii="Times New Roman" w:hAnsi="Times New Roman" w:cs="Times New Roman"/>
          <w:noProof/>
          <w:sz w:val="24"/>
          <w:szCs w:val="24"/>
        </w:rPr>
        <w:t xml:space="preserve"> government.</w:t>
      </w:r>
    </w:p>
    <w:p w14:paraId="6F2C3008" w14:textId="77777777" w:rsidR="002C0325" w:rsidRPr="00B466D9" w:rsidRDefault="002C0325" w:rsidP="002C0325">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noProof/>
          <w:sz w:val="24"/>
          <w:szCs w:val="24"/>
        </w:rPr>
      </w:pPr>
      <w:r>
        <w:rPr>
          <w:rFonts w:ascii="Times New Roman" w:hAnsi="Times New Roman" w:cs="Times New Roman"/>
          <w:noProof/>
          <w:sz w:val="20"/>
          <w:szCs w:val="20"/>
        </w:rPr>
        <w:t xml:space="preserve">The </w:t>
      </w:r>
      <w:r w:rsidRPr="00800B4B">
        <w:rPr>
          <w:rFonts w:ascii="Times New Roman" w:hAnsi="Times New Roman" w:cs="Times New Roman"/>
          <w:b/>
          <w:noProof/>
          <w:sz w:val="20"/>
          <w:szCs w:val="20"/>
        </w:rPr>
        <w:t>VANGUARD (Advanced technological solutions coupled with societal-oriented understanding and awareness for disrupting trafficking in human beings)</w:t>
      </w:r>
      <w:r w:rsidRPr="00800B4B">
        <w:rPr>
          <w:rStyle w:val="FootnoteReference"/>
          <w:noProof/>
          <w:sz w:val="20"/>
          <w:szCs w:val="20"/>
        </w:rPr>
        <w:footnoteReference w:id="97"/>
      </w:r>
      <w:r w:rsidRPr="00800B4B">
        <w:rPr>
          <w:rFonts w:ascii="Times New Roman" w:hAnsi="Times New Roman" w:cs="Times New Roman"/>
          <w:noProof/>
          <w:sz w:val="20"/>
          <w:szCs w:val="20"/>
        </w:rPr>
        <w:t xml:space="preserve"> </w:t>
      </w:r>
      <w:r>
        <w:rPr>
          <w:rFonts w:ascii="Times New Roman" w:hAnsi="Times New Roman" w:cs="Times New Roman"/>
          <w:noProof/>
          <w:sz w:val="20"/>
          <w:szCs w:val="20"/>
        </w:rPr>
        <w:t xml:space="preserve">project </w:t>
      </w:r>
      <w:r w:rsidRPr="00800B4B">
        <w:rPr>
          <w:rFonts w:ascii="Times New Roman" w:hAnsi="Times New Roman" w:cs="Times New Roman"/>
          <w:noProof/>
          <w:sz w:val="20"/>
          <w:szCs w:val="20"/>
        </w:rPr>
        <w:t>aims fight trafficking in human beings by developing technological solutions, awareness raising and training to disrupt trafficking chain</w:t>
      </w:r>
      <w:r>
        <w:rPr>
          <w:rFonts w:ascii="Times New Roman" w:hAnsi="Times New Roman" w:cs="Times New Roman"/>
          <w:noProof/>
          <w:sz w:val="20"/>
          <w:szCs w:val="20"/>
        </w:rPr>
        <w:t>s</w:t>
      </w:r>
      <w:r w:rsidRPr="00800B4B">
        <w:rPr>
          <w:rFonts w:ascii="Times New Roman" w:hAnsi="Times New Roman" w:cs="Times New Roman"/>
          <w:noProof/>
          <w:sz w:val="20"/>
          <w:szCs w:val="20"/>
        </w:rPr>
        <w:t xml:space="preserve"> at an early stage and address the culture of impunity. </w:t>
      </w:r>
      <w:r>
        <w:rPr>
          <w:rFonts w:ascii="Times New Roman" w:hAnsi="Times New Roman" w:cs="Times New Roman"/>
          <w:noProof/>
          <w:sz w:val="20"/>
          <w:szCs w:val="20"/>
        </w:rPr>
        <w:t>T</w:t>
      </w:r>
      <w:r w:rsidRPr="00800B4B">
        <w:rPr>
          <w:rFonts w:ascii="Times New Roman" w:hAnsi="Times New Roman" w:cs="Times New Roman"/>
          <w:noProof/>
          <w:sz w:val="20"/>
          <w:szCs w:val="20"/>
        </w:rPr>
        <w:t xml:space="preserve">he project aims to provide an improved intelligence picture of trafficking, with </w:t>
      </w:r>
      <w:r>
        <w:rPr>
          <w:rFonts w:ascii="Times New Roman" w:hAnsi="Times New Roman" w:cs="Times New Roman"/>
          <w:noProof/>
          <w:sz w:val="20"/>
          <w:szCs w:val="20"/>
        </w:rPr>
        <w:t>a</w:t>
      </w:r>
      <w:r w:rsidRPr="00800B4B">
        <w:rPr>
          <w:rFonts w:ascii="Times New Roman" w:hAnsi="Times New Roman" w:cs="Times New Roman"/>
          <w:noProof/>
          <w:sz w:val="20"/>
          <w:szCs w:val="20"/>
        </w:rPr>
        <w:t xml:space="preserve"> focus on trafficking for purposes of sexual exploitation, labour exploitation, and forced criminality.</w:t>
      </w:r>
    </w:p>
    <w:p w14:paraId="0D3BA582" w14:textId="77777777" w:rsidR="002C0325" w:rsidRPr="00B466D9" w:rsidRDefault="002C0325" w:rsidP="002C0325">
      <w:pPr>
        <w:spacing w:line="276" w:lineRule="auto"/>
        <w:jc w:val="both"/>
        <w:rPr>
          <w:rFonts w:ascii="Times New Roman" w:eastAsia="Times New Roman" w:hAnsi="Times New Roman" w:cs="Times New Roman"/>
          <w:noProof/>
          <w:sz w:val="24"/>
          <w:szCs w:val="24"/>
        </w:rPr>
      </w:pPr>
      <w:bookmarkStart w:id="16" w:name="_Hlk169613408"/>
      <w:r w:rsidRPr="7E5E5E6C">
        <w:rPr>
          <w:rFonts w:ascii="Times New Roman" w:hAnsi="Times New Roman" w:cs="Times New Roman"/>
          <w:noProof/>
          <w:sz w:val="24"/>
          <w:szCs w:val="24"/>
        </w:rPr>
        <w:t>Furthermore, research activities on ‘</w:t>
      </w:r>
      <w:r w:rsidRPr="7E5E5E6C">
        <w:rPr>
          <w:rFonts w:ascii="Times New Roman" w:hAnsi="Times New Roman" w:cs="Times New Roman"/>
          <w:b/>
          <w:bCs/>
          <w:noProof/>
          <w:sz w:val="24"/>
          <w:szCs w:val="24"/>
        </w:rPr>
        <w:t>Digital, Industry and Space</w:t>
      </w:r>
      <w:r w:rsidRPr="7E5E5E6C">
        <w:rPr>
          <w:rFonts w:ascii="Times New Roman" w:hAnsi="Times New Roman" w:cs="Times New Roman"/>
          <w:noProof/>
          <w:sz w:val="24"/>
          <w:szCs w:val="24"/>
        </w:rPr>
        <w:t xml:space="preserve">’ require for AI and robotics to ensure the </w:t>
      </w:r>
      <w:r w:rsidRPr="7E5E5E6C">
        <w:rPr>
          <w:rFonts w:ascii="Times New Roman" w:hAnsi="Times New Roman" w:cs="Times New Roman"/>
          <w:b/>
          <w:bCs/>
          <w:noProof/>
          <w:sz w:val="24"/>
          <w:szCs w:val="24"/>
        </w:rPr>
        <w:t>safety and societal and environmental soundness of AI-based applications</w:t>
      </w:r>
      <w:r w:rsidRPr="7E5E5E6C">
        <w:rPr>
          <w:rFonts w:ascii="Times New Roman" w:hAnsi="Times New Roman" w:cs="Times New Roman"/>
          <w:noProof/>
          <w:sz w:val="24"/>
          <w:szCs w:val="24"/>
        </w:rPr>
        <w:t xml:space="preserve"> and mitigate its potential for malicious use and unintended discrimination, such as </w:t>
      </w:r>
      <w:r w:rsidRPr="7E5E5E6C">
        <w:rPr>
          <w:rFonts w:ascii="Times New Roman" w:hAnsi="Times New Roman" w:cs="Times New Roman"/>
          <w:b/>
          <w:bCs/>
          <w:noProof/>
          <w:sz w:val="24"/>
          <w:szCs w:val="24"/>
        </w:rPr>
        <w:t>gender, racial or disability bias</w:t>
      </w:r>
      <w:r w:rsidRPr="7E5E5E6C">
        <w:rPr>
          <w:rFonts w:ascii="Times New Roman" w:hAnsi="Times New Roman" w:cs="Times New Roman"/>
          <w:noProof/>
          <w:sz w:val="24"/>
          <w:szCs w:val="24"/>
        </w:rPr>
        <w:t xml:space="preserve">. </w:t>
      </w:r>
      <w:r w:rsidRPr="7E5E5E6C">
        <w:rPr>
          <w:rFonts w:ascii="Times New Roman" w:eastAsia="Times New Roman" w:hAnsi="Times New Roman" w:cs="Times New Roman"/>
          <w:noProof/>
          <w:sz w:val="24"/>
          <w:szCs w:val="24"/>
        </w:rPr>
        <w:t xml:space="preserve">Research is also conducted on how to maintain a trustworthy information environment where </w:t>
      </w:r>
      <w:r>
        <w:rPr>
          <w:rFonts w:ascii="Times New Roman" w:eastAsia="Times New Roman" w:hAnsi="Times New Roman" w:cs="Times New Roman"/>
          <w:noProof/>
          <w:sz w:val="24"/>
          <w:szCs w:val="24"/>
        </w:rPr>
        <w:t>people</w:t>
      </w:r>
      <w:r w:rsidRPr="7E5E5E6C">
        <w:rPr>
          <w:rFonts w:ascii="Times New Roman" w:eastAsia="Times New Roman" w:hAnsi="Times New Roman" w:cs="Times New Roman"/>
          <w:noProof/>
          <w:sz w:val="24"/>
          <w:szCs w:val="24"/>
        </w:rPr>
        <w:t xml:space="preserve"> are empowered to recognise attempts to manipulate the civic discourse.</w:t>
      </w:r>
    </w:p>
    <w:bookmarkEnd w:id="16"/>
    <w:p w14:paraId="444936C8" w14:textId="61067D91" w:rsidR="002C0325" w:rsidRPr="00B466D9" w:rsidRDefault="002C0325" w:rsidP="002C0325">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Lastly, research</w:t>
      </w:r>
      <w:r w:rsidRPr="00B466D9">
        <w:rPr>
          <w:rFonts w:ascii="Times New Roman" w:hAnsi="Times New Roman" w:cs="Times New Roman"/>
          <w:noProof/>
          <w:sz w:val="24"/>
          <w:szCs w:val="24"/>
        </w:rPr>
        <w:t xml:space="preserve"> </w:t>
      </w:r>
      <w:r>
        <w:rPr>
          <w:rFonts w:ascii="Times New Roman" w:hAnsi="Times New Roman" w:cs="Times New Roman"/>
          <w:noProof/>
          <w:sz w:val="24"/>
          <w:szCs w:val="24"/>
        </w:rPr>
        <w:t xml:space="preserve">on </w:t>
      </w:r>
      <w:r w:rsidRPr="00B466D9">
        <w:rPr>
          <w:rFonts w:ascii="Times New Roman" w:hAnsi="Times New Roman" w:cs="Times New Roman"/>
          <w:noProof/>
          <w:sz w:val="24"/>
          <w:szCs w:val="24"/>
        </w:rPr>
        <w:t>‘</w:t>
      </w:r>
      <w:r w:rsidRPr="00800B4B">
        <w:rPr>
          <w:rFonts w:ascii="Times New Roman" w:hAnsi="Times New Roman" w:cs="Times New Roman"/>
          <w:b/>
          <w:bCs/>
          <w:noProof/>
          <w:sz w:val="24"/>
          <w:szCs w:val="24"/>
        </w:rPr>
        <w:t>Food, bioeconomy, natural resources, agriculture and environment</w:t>
      </w:r>
      <w:r w:rsidRPr="00B466D9">
        <w:rPr>
          <w:rFonts w:ascii="Times New Roman" w:hAnsi="Times New Roman" w:cs="Times New Roman"/>
          <w:noProof/>
          <w:sz w:val="24"/>
          <w:szCs w:val="24"/>
        </w:rPr>
        <w:t xml:space="preserve">’ harnesses the potential of </w:t>
      </w:r>
      <w:r>
        <w:rPr>
          <w:rFonts w:ascii="Times New Roman" w:hAnsi="Times New Roman" w:cs="Times New Roman"/>
          <w:noProof/>
          <w:sz w:val="24"/>
          <w:szCs w:val="24"/>
        </w:rPr>
        <w:t>research and innovation</w:t>
      </w:r>
      <w:r w:rsidRPr="00B466D9">
        <w:rPr>
          <w:rFonts w:ascii="Times New Roman" w:hAnsi="Times New Roman" w:cs="Times New Roman"/>
          <w:noProof/>
          <w:sz w:val="24"/>
          <w:szCs w:val="24"/>
        </w:rPr>
        <w:t xml:space="preserve"> </w:t>
      </w:r>
      <w:r>
        <w:rPr>
          <w:rFonts w:ascii="Times New Roman" w:hAnsi="Times New Roman" w:cs="Times New Roman"/>
          <w:noProof/>
          <w:sz w:val="24"/>
          <w:szCs w:val="24"/>
        </w:rPr>
        <w:t xml:space="preserve">for </w:t>
      </w:r>
      <w:r w:rsidRPr="00B466D9">
        <w:rPr>
          <w:rFonts w:ascii="Times New Roman" w:hAnsi="Times New Roman" w:cs="Times New Roman"/>
          <w:noProof/>
          <w:sz w:val="24"/>
          <w:szCs w:val="24"/>
        </w:rPr>
        <w:t>guarantee</w:t>
      </w:r>
      <w:r>
        <w:rPr>
          <w:rFonts w:ascii="Times New Roman" w:hAnsi="Times New Roman" w:cs="Times New Roman"/>
          <w:noProof/>
          <w:sz w:val="24"/>
          <w:szCs w:val="24"/>
        </w:rPr>
        <w:t>ing</w:t>
      </w:r>
      <w:r w:rsidRPr="00B466D9">
        <w:rPr>
          <w:rFonts w:ascii="Times New Roman" w:hAnsi="Times New Roman" w:cs="Times New Roman"/>
          <w:noProof/>
          <w:sz w:val="24"/>
          <w:szCs w:val="24"/>
        </w:rPr>
        <w:t xml:space="preserve"> the production of </w:t>
      </w:r>
      <w:r w:rsidRPr="00B466D9">
        <w:rPr>
          <w:rFonts w:ascii="Times New Roman" w:hAnsi="Times New Roman" w:cs="Times New Roman"/>
          <w:b/>
          <w:bCs/>
          <w:noProof/>
          <w:sz w:val="24"/>
          <w:szCs w:val="24"/>
        </w:rPr>
        <w:t>safe and healthy food</w:t>
      </w:r>
      <w:r w:rsidRPr="00B466D9">
        <w:rPr>
          <w:rFonts w:ascii="Times New Roman" w:hAnsi="Times New Roman" w:cs="Times New Roman"/>
          <w:noProof/>
          <w:sz w:val="24"/>
          <w:szCs w:val="24"/>
        </w:rPr>
        <w:t>, promot</w:t>
      </w:r>
      <w:r>
        <w:rPr>
          <w:rFonts w:ascii="Times New Roman" w:hAnsi="Times New Roman" w:cs="Times New Roman"/>
          <w:noProof/>
          <w:sz w:val="24"/>
          <w:szCs w:val="24"/>
        </w:rPr>
        <w:t>ing</w:t>
      </w:r>
      <w:r w:rsidRPr="00B466D9">
        <w:rPr>
          <w:rFonts w:ascii="Times New Roman" w:hAnsi="Times New Roman" w:cs="Times New Roman"/>
          <w:noProof/>
          <w:sz w:val="24"/>
          <w:szCs w:val="24"/>
        </w:rPr>
        <w:t xml:space="preserve"> </w:t>
      </w:r>
      <w:r w:rsidRPr="00B466D9">
        <w:rPr>
          <w:rFonts w:ascii="Times New Roman" w:hAnsi="Times New Roman" w:cs="Times New Roman"/>
          <w:b/>
          <w:bCs/>
          <w:noProof/>
          <w:sz w:val="24"/>
          <w:szCs w:val="24"/>
        </w:rPr>
        <w:t>sustainable practices</w:t>
      </w:r>
      <w:r w:rsidRPr="00B466D9">
        <w:rPr>
          <w:rFonts w:ascii="Times New Roman" w:hAnsi="Times New Roman" w:cs="Times New Roman"/>
          <w:noProof/>
          <w:sz w:val="24"/>
          <w:szCs w:val="24"/>
        </w:rPr>
        <w:t xml:space="preserve"> in agriculture, aquaculture, fisheries and forestry, ensur</w:t>
      </w:r>
      <w:r>
        <w:rPr>
          <w:rFonts w:ascii="Times New Roman" w:hAnsi="Times New Roman" w:cs="Times New Roman"/>
          <w:noProof/>
          <w:sz w:val="24"/>
          <w:szCs w:val="24"/>
        </w:rPr>
        <w:t>ing</w:t>
      </w:r>
      <w:r w:rsidRPr="00B466D9">
        <w:rPr>
          <w:rFonts w:ascii="Times New Roman" w:hAnsi="Times New Roman" w:cs="Times New Roman"/>
          <w:noProof/>
          <w:sz w:val="24"/>
          <w:szCs w:val="24"/>
        </w:rPr>
        <w:t xml:space="preserve"> access to </w:t>
      </w:r>
      <w:r w:rsidRPr="00B466D9">
        <w:rPr>
          <w:rFonts w:ascii="Times New Roman" w:hAnsi="Times New Roman" w:cs="Times New Roman"/>
          <w:b/>
          <w:bCs/>
          <w:noProof/>
          <w:sz w:val="24"/>
          <w:szCs w:val="24"/>
        </w:rPr>
        <w:t>clean water</w:t>
      </w:r>
      <w:r w:rsidRPr="00B466D9">
        <w:rPr>
          <w:rFonts w:ascii="Times New Roman" w:hAnsi="Times New Roman" w:cs="Times New Roman"/>
          <w:noProof/>
          <w:sz w:val="24"/>
          <w:szCs w:val="24"/>
        </w:rPr>
        <w:t xml:space="preserve">, </w:t>
      </w:r>
      <w:r w:rsidRPr="00B466D9">
        <w:rPr>
          <w:rFonts w:ascii="Times New Roman" w:hAnsi="Times New Roman" w:cs="Times New Roman"/>
          <w:b/>
          <w:bCs/>
          <w:noProof/>
          <w:sz w:val="24"/>
          <w:szCs w:val="24"/>
        </w:rPr>
        <w:t>soil and air</w:t>
      </w:r>
      <w:r w:rsidRPr="00B466D9">
        <w:rPr>
          <w:rFonts w:ascii="Times New Roman" w:hAnsi="Times New Roman" w:cs="Times New Roman"/>
          <w:noProof/>
          <w:sz w:val="24"/>
          <w:szCs w:val="24"/>
        </w:rPr>
        <w:t xml:space="preserve"> for all, cleaning</w:t>
      </w:r>
      <w:r w:rsidR="00C22B9A">
        <w:rPr>
          <w:rFonts w:ascii="Times New Roman" w:hAnsi="Times New Roman" w:cs="Times New Roman"/>
          <w:noProof/>
          <w:sz w:val="24"/>
          <w:szCs w:val="24"/>
        </w:rPr>
        <w:t xml:space="preserve"> </w:t>
      </w:r>
      <w:r w:rsidRPr="00B466D9">
        <w:rPr>
          <w:rFonts w:ascii="Times New Roman" w:hAnsi="Times New Roman" w:cs="Times New Roman"/>
          <w:noProof/>
          <w:sz w:val="24"/>
          <w:szCs w:val="24"/>
        </w:rPr>
        <w:t>u</w:t>
      </w:r>
      <w:r w:rsidR="00C22B9A">
        <w:rPr>
          <w:rFonts w:ascii="Times New Roman" w:hAnsi="Times New Roman" w:cs="Times New Roman"/>
          <w:noProof/>
          <w:sz w:val="24"/>
          <w:szCs w:val="24"/>
        </w:rPr>
        <w:t>p</w:t>
      </w:r>
      <w:r w:rsidRPr="00B466D9">
        <w:rPr>
          <w:rFonts w:ascii="Times New Roman" w:hAnsi="Times New Roman" w:cs="Times New Roman"/>
          <w:noProof/>
          <w:sz w:val="24"/>
          <w:szCs w:val="24"/>
        </w:rPr>
        <w:t xml:space="preserve"> oceans and inland waters, and preserv</w:t>
      </w:r>
      <w:r>
        <w:rPr>
          <w:rFonts w:ascii="Times New Roman" w:hAnsi="Times New Roman" w:cs="Times New Roman"/>
          <w:noProof/>
          <w:sz w:val="24"/>
          <w:szCs w:val="24"/>
        </w:rPr>
        <w:t>ing</w:t>
      </w:r>
      <w:r w:rsidRPr="00B466D9">
        <w:rPr>
          <w:rFonts w:ascii="Times New Roman" w:hAnsi="Times New Roman" w:cs="Times New Roman"/>
          <w:noProof/>
          <w:sz w:val="24"/>
          <w:szCs w:val="24"/>
        </w:rPr>
        <w:t xml:space="preserve"> and restor</w:t>
      </w:r>
      <w:r>
        <w:rPr>
          <w:rFonts w:ascii="Times New Roman" w:hAnsi="Times New Roman" w:cs="Times New Roman"/>
          <w:noProof/>
          <w:sz w:val="24"/>
          <w:szCs w:val="24"/>
        </w:rPr>
        <w:t>ing</w:t>
      </w:r>
      <w:r w:rsidRPr="00B466D9">
        <w:rPr>
          <w:rFonts w:ascii="Times New Roman" w:hAnsi="Times New Roman" w:cs="Times New Roman"/>
          <w:noProof/>
          <w:sz w:val="24"/>
          <w:szCs w:val="24"/>
        </w:rPr>
        <w:t xml:space="preserve"> the</w:t>
      </w:r>
      <w:r>
        <w:rPr>
          <w:rFonts w:ascii="Times New Roman" w:hAnsi="Times New Roman" w:cs="Times New Roman"/>
          <w:noProof/>
          <w:sz w:val="24"/>
          <w:szCs w:val="24"/>
        </w:rPr>
        <w:t xml:space="preserve"> </w:t>
      </w:r>
      <w:r w:rsidRPr="00B466D9">
        <w:rPr>
          <w:rFonts w:ascii="Times New Roman" w:hAnsi="Times New Roman" w:cs="Times New Roman"/>
          <w:noProof/>
          <w:sz w:val="24"/>
          <w:szCs w:val="24"/>
        </w:rPr>
        <w:t>environment.</w:t>
      </w:r>
    </w:p>
    <w:p w14:paraId="47C7663B" w14:textId="77777777" w:rsidR="002C0325" w:rsidRPr="00800B4B" w:rsidRDefault="002C0325" w:rsidP="002C0325">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noProof/>
          <w:sz w:val="20"/>
          <w:szCs w:val="20"/>
        </w:rPr>
      </w:pPr>
      <w:r w:rsidRPr="00800B4B">
        <w:rPr>
          <w:rFonts w:ascii="Times New Roman" w:hAnsi="Times New Roman" w:cs="Times New Roman"/>
          <w:noProof/>
          <w:sz w:val="20"/>
          <w:szCs w:val="20"/>
        </w:rPr>
        <w:t xml:space="preserve">The </w:t>
      </w:r>
      <w:r w:rsidRPr="00800B4B">
        <w:rPr>
          <w:rFonts w:ascii="Times New Roman" w:hAnsi="Times New Roman" w:cs="Times New Roman"/>
          <w:b/>
          <w:bCs/>
          <w:noProof/>
          <w:sz w:val="20"/>
          <w:szCs w:val="20"/>
        </w:rPr>
        <w:t>European Biodiversity Partnership</w:t>
      </w:r>
      <w:r w:rsidRPr="00800B4B">
        <w:rPr>
          <w:rStyle w:val="FootnoteReference"/>
          <w:noProof/>
          <w:sz w:val="20"/>
          <w:szCs w:val="20"/>
        </w:rPr>
        <w:footnoteReference w:id="98"/>
      </w:r>
      <w:r w:rsidRPr="00800B4B">
        <w:rPr>
          <w:rFonts w:ascii="Times New Roman" w:hAnsi="Times New Roman" w:cs="Times New Roman"/>
          <w:noProof/>
          <w:sz w:val="20"/>
          <w:szCs w:val="20"/>
        </w:rPr>
        <w:t xml:space="preserve"> project </w:t>
      </w:r>
      <w:r>
        <w:rPr>
          <w:rFonts w:ascii="Times New Roman" w:hAnsi="Times New Roman" w:cs="Times New Roman"/>
          <w:noProof/>
          <w:sz w:val="20"/>
          <w:szCs w:val="20"/>
        </w:rPr>
        <w:t>supports</w:t>
      </w:r>
      <w:r w:rsidRPr="00800B4B">
        <w:rPr>
          <w:rFonts w:ascii="Times New Roman" w:hAnsi="Times New Roman" w:cs="Times New Roman"/>
          <w:noProof/>
          <w:sz w:val="20"/>
          <w:szCs w:val="20"/>
        </w:rPr>
        <w:t xml:space="preserve"> the successful implementation of the EU Biodiversity Strategy 2030. Bringing together 75 organisations from 37 countries, including environmental authorities, ministries, funding organisations, and </w:t>
      </w:r>
      <w:r w:rsidRPr="00C15C43">
        <w:rPr>
          <w:rFonts w:ascii="Times New Roman" w:hAnsi="Times New Roman" w:cs="Times New Roman"/>
          <w:noProof/>
          <w:sz w:val="20"/>
          <w:szCs w:val="20"/>
        </w:rPr>
        <w:t>environmental protection</w:t>
      </w:r>
      <w:r w:rsidRPr="00800B4B">
        <w:rPr>
          <w:rFonts w:ascii="Times New Roman" w:hAnsi="Times New Roman" w:cs="Times New Roman"/>
          <w:noProof/>
          <w:sz w:val="20"/>
          <w:szCs w:val="20"/>
        </w:rPr>
        <w:t xml:space="preserve"> agencies, </w:t>
      </w:r>
      <w:r>
        <w:rPr>
          <w:rFonts w:ascii="Times New Roman" w:hAnsi="Times New Roman" w:cs="Times New Roman"/>
          <w:noProof/>
          <w:sz w:val="20"/>
          <w:szCs w:val="20"/>
        </w:rPr>
        <w:t>it</w:t>
      </w:r>
      <w:r w:rsidRPr="00800B4B">
        <w:rPr>
          <w:rFonts w:ascii="Times New Roman" w:hAnsi="Times New Roman" w:cs="Times New Roman"/>
          <w:noProof/>
          <w:sz w:val="20"/>
          <w:szCs w:val="20"/>
        </w:rPr>
        <w:t xml:space="preserve"> aims to improve monitoring, expand the evidence base, and make the business case for conservation. </w:t>
      </w:r>
    </w:p>
    <w:p w14:paraId="47A9BB87" w14:textId="77777777" w:rsidR="002C0325" w:rsidRPr="00BD2F35" w:rsidRDefault="002C0325" w:rsidP="002C0325">
      <w:pPr>
        <w:pStyle w:val="Headerlevel2"/>
        <w:rPr>
          <w:szCs w:val="24"/>
          <w:lang w:val="en-GB"/>
        </w:rPr>
      </w:pPr>
      <w:r>
        <w:t xml:space="preserve"> </w:t>
      </w:r>
      <w:r w:rsidRPr="00BD2F35">
        <w:t>Common Agricultural Policy</w:t>
      </w:r>
    </w:p>
    <w:p w14:paraId="558BF891" w14:textId="77777777" w:rsidR="002C0325" w:rsidRPr="00665494" w:rsidRDefault="002C0325" w:rsidP="002C0325">
      <w:pPr>
        <w:spacing w:after="200" w:line="276" w:lineRule="auto"/>
        <w:jc w:val="both"/>
        <w:rPr>
          <w:rFonts w:ascii="Times New Roman" w:hAnsi="Times New Roman" w:cs="Times New Roman"/>
          <w:noProof/>
          <w:sz w:val="24"/>
          <w:szCs w:val="24"/>
          <w:lang w:val="en-GB"/>
        </w:rPr>
      </w:pPr>
      <w:r w:rsidRPr="00A91650">
        <w:rPr>
          <w:rFonts w:ascii="Times New Roman" w:hAnsi="Times New Roman" w:cs="Times New Roman"/>
          <w:noProof/>
          <w:sz w:val="24"/>
          <w:szCs w:val="24"/>
          <w:lang w:val="en-GB"/>
        </w:rPr>
        <w:t xml:space="preserve">The </w:t>
      </w:r>
      <w:r>
        <w:rPr>
          <w:rFonts w:ascii="Times New Roman" w:hAnsi="Times New Roman" w:cs="Times New Roman"/>
          <w:noProof/>
          <w:sz w:val="24"/>
          <w:szCs w:val="24"/>
          <w:lang w:val="en-GB"/>
        </w:rPr>
        <w:t>C</w:t>
      </w:r>
      <w:r w:rsidRPr="00A91650">
        <w:rPr>
          <w:rFonts w:ascii="Times New Roman" w:hAnsi="Times New Roman" w:cs="Times New Roman"/>
          <w:noProof/>
          <w:sz w:val="24"/>
          <w:szCs w:val="24"/>
          <w:lang w:val="en-GB"/>
        </w:rPr>
        <w:t xml:space="preserve">ommon </w:t>
      </w:r>
      <w:r>
        <w:rPr>
          <w:rFonts w:ascii="Times New Roman" w:hAnsi="Times New Roman" w:cs="Times New Roman"/>
          <w:noProof/>
          <w:sz w:val="24"/>
          <w:szCs w:val="24"/>
          <w:lang w:val="en-GB"/>
        </w:rPr>
        <w:t>A</w:t>
      </w:r>
      <w:r w:rsidRPr="00A91650">
        <w:rPr>
          <w:rFonts w:ascii="Times New Roman" w:hAnsi="Times New Roman" w:cs="Times New Roman"/>
          <w:noProof/>
          <w:sz w:val="24"/>
          <w:szCs w:val="24"/>
          <w:lang w:val="en-GB"/>
        </w:rPr>
        <w:t xml:space="preserve">gricultural </w:t>
      </w:r>
      <w:r>
        <w:rPr>
          <w:rFonts w:ascii="Times New Roman" w:hAnsi="Times New Roman" w:cs="Times New Roman"/>
          <w:noProof/>
          <w:sz w:val="24"/>
          <w:szCs w:val="24"/>
          <w:lang w:val="en-GB"/>
        </w:rPr>
        <w:t>P</w:t>
      </w:r>
      <w:r w:rsidRPr="00A91650">
        <w:rPr>
          <w:rFonts w:ascii="Times New Roman" w:hAnsi="Times New Roman" w:cs="Times New Roman"/>
          <w:noProof/>
          <w:sz w:val="24"/>
          <w:szCs w:val="24"/>
          <w:lang w:val="en-GB"/>
        </w:rPr>
        <w:t>olicy (CAP) is supported by two funds</w:t>
      </w:r>
      <w:r>
        <w:rPr>
          <w:rFonts w:ascii="Times New Roman" w:hAnsi="Times New Roman" w:cs="Times New Roman"/>
          <w:noProof/>
          <w:sz w:val="24"/>
          <w:szCs w:val="24"/>
          <w:lang w:val="en-GB"/>
        </w:rPr>
        <w:t>,</w:t>
      </w:r>
      <w:r w:rsidRPr="00A91650">
        <w:rPr>
          <w:rFonts w:ascii="Times New Roman" w:hAnsi="Times New Roman" w:cs="Times New Roman"/>
          <w:noProof/>
          <w:sz w:val="24"/>
          <w:szCs w:val="24"/>
          <w:lang w:val="en-GB"/>
        </w:rPr>
        <w:t xml:space="preserve"> </w:t>
      </w:r>
      <w:r w:rsidRPr="000316A5">
        <w:rPr>
          <w:rFonts w:ascii="Times New Roman" w:hAnsi="Times New Roman" w:cs="Times New Roman"/>
          <w:b/>
          <w:bCs/>
          <w:noProof/>
          <w:sz w:val="24"/>
          <w:szCs w:val="24"/>
          <w:lang w:val="en-GB"/>
        </w:rPr>
        <w:t>the European agricultural guarantee fund</w:t>
      </w:r>
      <w:r w:rsidRPr="00A91650">
        <w:rPr>
          <w:rFonts w:ascii="Times New Roman" w:hAnsi="Times New Roman" w:cs="Times New Roman"/>
          <w:noProof/>
          <w:sz w:val="24"/>
          <w:szCs w:val="24"/>
          <w:lang w:val="en-GB"/>
        </w:rPr>
        <w:t xml:space="preserve"> and </w:t>
      </w:r>
      <w:r w:rsidRPr="000316A5">
        <w:rPr>
          <w:rFonts w:ascii="Times New Roman" w:hAnsi="Times New Roman" w:cs="Times New Roman"/>
          <w:b/>
          <w:bCs/>
          <w:noProof/>
          <w:sz w:val="24"/>
          <w:szCs w:val="24"/>
          <w:lang w:val="en-GB"/>
        </w:rPr>
        <w:t>the European agricultural fund for rural development</w:t>
      </w:r>
      <w:r>
        <w:rPr>
          <w:rStyle w:val="FootnoteReference"/>
          <w:noProof/>
          <w:lang w:val="en-GB"/>
        </w:rPr>
        <w:footnoteReference w:id="99"/>
      </w:r>
      <w:r w:rsidRPr="00A91650">
        <w:rPr>
          <w:rFonts w:ascii="Times New Roman" w:hAnsi="Times New Roman" w:cs="Times New Roman"/>
          <w:noProof/>
          <w:sz w:val="24"/>
          <w:szCs w:val="24"/>
          <w:lang w:val="en-GB"/>
        </w:rPr>
        <w:t>.</w:t>
      </w:r>
      <w:r>
        <w:rPr>
          <w:rFonts w:ascii="Times New Roman" w:hAnsi="Times New Roman" w:cs="Times New Roman"/>
          <w:noProof/>
          <w:sz w:val="24"/>
          <w:szCs w:val="24"/>
          <w:lang w:val="en-GB"/>
        </w:rPr>
        <w:t xml:space="preserve"> </w:t>
      </w:r>
      <w:r w:rsidRPr="00A91650">
        <w:rPr>
          <w:rFonts w:ascii="Times New Roman" w:hAnsi="Times New Roman" w:cs="Times New Roman"/>
          <w:noProof/>
          <w:sz w:val="24"/>
          <w:szCs w:val="24"/>
          <w:lang w:val="en-GB"/>
        </w:rPr>
        <w:t xml:space="preserve">For the first time, the CAP has a specific objective </w:t>
      </w:r>
      <w:r>
        <w:rPr>
          <w:rFonts w:ascii="Times New Roman" w:hAnsi="Times New Roman" w:cs="Times New Roman"/>
          <w:noProof/>
          <w:sz w:val="24"/>
          <w:szCs w:val="24"/>
          <w:lang w:val="en-GB"/>
        </w:rPr>
        <w:t>on</w:t>
      </w:r>
      <w:r w:rsidRPr="00A91650">
        <w:rPr>
          <w:rFonts w:ascii="Times New Roman" w:hAnsi="Times New Roman" w:cs="Times New Roman"/>
          <w:noProof/>
          <w:sz w:val="24"/>
          <w:szCs w:val="24"/>
          <w:lang w:val="en-GB"/>
        </w:rPr>
        <w:t xml:space="preserve"> gender equality and the participation of women in farming</w:t>
      </w:r>
      <w:r>
        <w:rPr>
          <w:rFonts w:ascii="Times New Roman" w:hAnsi="Times New Roman" w:cs="Times New Roman"/>
          <w:noProof/>
          <w:sz w:val="24"/>
          <w:szCs w:val="24"/>
          <w:lang w:val="en-GB"/>
        </w:rPr>
        <w:t>, whereby it contributes to the application of equality between women and men as enshrined in Article 23 of the Charter</w:t>
      </w:r>
      <w:r>
        <w:rPr>
          <w:rStyle w:val="FootnoteReference"/>
          <w:noProof/>
          <w:lang w:val="en-GB"/>
        </w:rPr>
        <w:footnoteReference w:id="100"/>
      </w:r>
      <w:r w:rsidRPr="00A91650">
        <w:rPr>
          <w:rFonts w:ascii="Times New Roman" w:hAnsi="Times New Roman" w:cs="Times New Roman"/>
          <w:noProof/>
          <w:sz w:val="24"/>
          <w:szCs w:val="24"/>
          <w:lang w:val="en-GB"/>
        </w:rPr>
        <w:t xml:space="preserve">. </w:t>
      </w:r>
      <w:r w:rsidRPr="00665494">
        <w:rPr>
          <w:rFonts w:ascii="Times New Roman" w:hAnsi="Times New Roman" w:cs="Times New Roman"/>
          <w:noProof/>
          <w:sz w:val="24"/>
          <w:szCs w:val="24"/>
          <w:lang w:val="en-GB"/>
        </w:rPr>
        <w:t xml:space="preserve">Most Member States include </w:t>
      </w:r>
      <w:r>
        <w:rPr>
          <w:rFonts w:ascii="Times New Roman" w:hAnsi="Times New Roman" w:cs="Times New Roman"/>
          <w:noProof/>
          <w:sz w:val="24"/>
          <w:szCs w:val="24"/>
          <w:lang w:val="en-GB"/>
        </w:rPr>
        <w:t xml:space="preserve">women’s rights </w:t>
      </w:r>
      <w:r w:rsidRPr="00665494">
        <w:rPr>
          <w:rFonts w:ascii="Times New Roman" w:hAnsi="Times New Roman" w:cs="Times New Roman"/>
          <w:noProof/>
          <w:sz w:val="24"/>
          <w:szCs w:val="24"/>
          <w:lang w:val="en-GB"/>
        </w:rPr>
        <w:t>organi</w:t>
      </w:r>
      <w:r>
        <w:rPr>
          <w:rFonts w:ascii="Times New Roman" w:hAnsi="Times New Roman" w:cs="Times New Roman"/>
          <w:noProof/>
          <w:sz w:val="24"/>
          <w:szCs w:val="24"/>
          <w:lang w:val="en-GB"/>
        </w:rPr>
        <w:t>s</w:t>
      </w:r>
      <w:r w:rsidRPr="00665494">
        <w:rPr>
          <w:rFonts w:ascii="Times New Roman" w:hAnsi="Times New Roman" w:cs="Times New Roman"/>
          <w:noProof/>
          <w:sz w:val="24"/>
          <w:szCs w:val="24"/>
          <w:lang w:val="en-GB"/>
        </w:rPr>
        <w:t xml:space="preserve">ations in the Monitoring Committees </w:t>
      </w:r>
      <w:r>
        <w:rPr>
          <w:rFonts w:ascii="Times New Roman" w:hAnsi="Times New Roman" w:cs="Times New Roman"/>
          <w:noProof/>
          <w:sz w:val="24"/>
          <w:szCs w:val="24"/>
          <w:lang w:val="en-GB"/>
        </w:rPr>
        <w:t>of</w:t>
      </w:r>
      <w:r w:rsidRPr="00665494">
        <w:rPr>
          <w:rFonts w:ascii="Times New Roman" w:hAnsi="Times New Roman" w:cs="Times New Roman"/>
          <w:noProof/>
          <w:sz w:val="24"/>
          <w:szCs w:val="24"/>
          <w:lang w:val="en-GB"/>
        </w:rPr>
        <w:t xml:space="preserve"> </w:t>
      </w:r>
      <w:r>
        <w:rPr>
          <w:rFonts w:ascii="Times New Roman" w:hAnsi="Times New Roman" w:cs="Times New Roman"/>
          <w:noProof/>
          <w:sz w:val="24"/>
          <w:szCs w:val="24"/>
          <w:lang w:val="en-GB"/>
        </w:rPr>
        <w:t xml:space="preserve">their </w:t>
      </w:r>
      <w:r w:rsidRPr="00665494">
        <w:rPr>
          <w:rFonts w:ascii="Times New Roman" w:hAnsi="Times New Roman" w:cs="Times New Roman"/>
          <w:noProof/>
          <w:sz w:val="24"/>
          <w:szCs w:val="24"/>
          <w:lang w:val="en-GB"/>
        </w:rPr>
        <w:t xml:space="preserve">CAP Strategic Plans. </w:t>
      </w:r>
      <w:r>
        <w:rPr>
          <w:rFonts w:ascii="Times New Roman" w:hAnsi="Times New Roman" w:cs="Times New Roman"/>
          <w:noProof/>
          <w:sz w:val="24"/>
          <w:szCs w:val="24"/>
          <w:lang w:val="en-GB"/>
        </w:rPr>
        <w:t xml:space="preserve">For instance, </w:t>
      </w:r>
      <w:r w:rsidRPr="00A91650">
        <w:rPr>
          <w:rFonts w:ascii="Times New Roman" w:hAnsi="Times New Roman" w:cs="Times New Roman"/>
          <w:b/>
          <w:bCs/>
          <w:noProof/>
          <w:sz w:val="24"/>
          <w:szCs w:val="24"/>
          <w:lang w:val="en-GB"/>
        </w:rPr>
        <w:t>Spain</w:t>
      </w:r>
      <w:r w:rsidRPr="00A91650">
        <w:rPr>
          <w:rFonts w:ascii="Times New Roman" w:hAnsi="Times New Roman" w:cs="Times New Roman"/>
          <w:noProof/>
          <w:sz w:val="24"/>
          <w:szCs w:val="24"/>
          <w:lang w:val="en-GB"/>
        </w:rPr>
        <w:t xml:space="preserve"> has included a top-up to the complementary income support </w:t>
      </w:r>
      <w:r>
        <w:rPr>
          <w:rFonts w:ascii="Times New Roman" w:hAnsi="Times New Roman" w:cs="Times New Roman"/>
          <w:noProof/>
          <w:sz w:val="24"/>
          <w:szCs w:val="24"/>
          <w:lang w:val="en-GB"/>
        </w:rPr>
        <w:t>for</w:t>
      </w:r>
      <w:r w:rsidRPr="00A91650">
        <w:rPr>
          <w:rFonts w:ascii="Times New Roman" w:hAnsi="Times New Roman" w:cs="Times New Roman"/>
          <w:noProof/>
          <w:sz w:val="24"/>
          <w:szCs w:val="24"/>
          <w:lang w:val="en-GB"/>
        </w:rPr>
        <w:t xml:space="preserve"> young farmers </w:t>
      </w:r>
      <w:r>
        <w:rPr>
          <w:rFonts w:ascii="Times New Roman" w:hAnsi="Times New Roman" w:cs="Times New Roman"/>
          <w:noProof/>
          <w:sz w:val="24"/>
          <w:szCs w:val="24"/>
          <w:lang w:val="en-GB"/>
        </w:rPr>
        <w:t xml:space="preserve">for </w:t>
      </w:r>
      <w:r w:rsidRPr="00A91650">
        <w:rPr>
          <w:rFonts w:ascii="Times New Roman" w:hAnsi="Times New Roman" w:cs="Times New Roman"/>
          <w:noProof/>
          <w:sz w:val="24"/>
          <w:szCs w:val="24"/>
          <w:lang w:val="en-GB"/>
        </w:rPr>
        <w:t>young female farmers</w:t>
      </w:r>
      <w:r>
        <w:rPr>
          <w:rFonts w:ascii="Times New Roman" w:hAnsi="Times New Roman" w:cs="Times New Roman"/>
          <w:noProof/>
          <w:sz w:val="24"/>
          <w:szCs w:val="24"/>
          <w:lang w:val="en-GB"/>
        </w:rPr>
        <w:t xml:space="preserve"> while</w:t>
      </w:r>
      <w:r w:rsidRPr="00A91650">
        <w:rPr>
          <w:rFonts w:ascii="Times New Roman" w:hAnsi="Times New Roman" w:cs="Times New Roman"/>
          <w:noProof/>
          <w:sz w:val="24"/>
          <w:szCs w:val="24"/>
          <w:lang w:val="en-GB"/>
        </w:rPr>
        <w:t xml:space="preserve"> </w:t>
      </w:r>
      <w:r w:rsidRPr="00A91650">
        <w:rPr>
          <w:rFonts w:ascii="Times New Roman" w:hAnsi="Times New Roman" w:cs="Times New Roman"/>
          <w:b/>
          <w:bCs/>
          <w:noProof/>
          <w:sz w:val="24"/>
          <w:szCs w:val="24"/>
          <w:lang w:val="en-GB"/>
        </w:rPr>
        <w:t>Ireland</w:t>
      </w:r>
      <w:r w:rsidRPr="00A91650">
        <w:rPr>
          <w:rFonts w:ascii="Times New Roman" w:hAnsi="Times New Roman" w:cs="Times New Roman"/>
          <w:noProof/>
          <w:sz w:val="24"/>
          <w:szCs w:val="24"/>
          <w:lang w:val="en-GB"/>
        </w:rPr>
        <w:t xml:space="preserve"> has provided a higher support for women </w:t>
      </w:r>
      <w:r>
        <w:rPr>
          <w:rFonts w:ascii="Times New Roman" w:hAnsi="Times New Roman" w:cs="Times New Roman"/>
          <w:noProof/>
          <w:sz w:val="24"/>
          <w:szCs w:val="24"/>
          <w:lang w:val="en-GB"/>
        </w:rPr>
        <w:t>under its</w:t>
      </w:r>
      <w:r w:rsidRPr="00A91650">
        <w:rPr>
          <w:rFonts w:ascii="Times New Roman" w:hAnsi="Times New Roman" w:cs="Times New Roman"/>
          <w:noProof/>
          <w:sz w:val="24"/>
          <w:szCs w:val="24"/>
          <w:lang w:val="en-GB"/>
        </w:rPr>
        <w:t xml:space="preserve"> on-farm capital investment scheme.</w:t>
      </w:r>
      <w:r w:rsidRPr="00440F2F">
        <w:rPr>
          <w:rFonts w:ascii="Times New Roman" w:hAnsi="Times New Roman" w:cs="Times New Roman"/>
          <w:noProof/>
          <w:sz w:val="24"/>
          <w:szCs w:val="24"/>
          <w:lang w:val="en-GB"/>
        </w:rPr>
        <w:t xml:space="preserve"> </w:t>
      </w:r>
    </w:p>
    <w:p w14:paraId="75CBBA4C" w14:textId="77777777" w:rsidR="002C0325" w:rsidRDefault="002C0325" w:rsidP="002C0325">
      <w:pPr>
        <w:spacing w:after="200" w:line="276" w:lineRule="auto"/>
        <w:jc w:val="both"/>
        <w:rPr>
          <w:rFonts w:ascii="Times New Roman" w:hAnsi="Times New Roman" w:cs="Times New Roman"/>
          <w:noProof/>
          <w:sz w:val="24"/>
          <w:szCs w:val="24"/>
          <w:lang w:val="en-GB"/>
        </w:rPr>
      </w:pPr>
      <w:r w:rsidRPr="74AB9682">
        <w:rPr>
          <w:rFonts w:ascii="Times New Roman" w:hAnsi="Times New Roman" w:cs="Times New Roman"/>
          <w:noProof/>
          <w:sz w:val="24"/>
          <w:szCs w:val="24"/>
        </w:rPr>
        <w:t xml:space="preserve">The CAP </w:t>
      </w:r>
      <w:r>
        <w:rPr>
          <w:rFonts w:ascii="Times New Roman" w:hAnsi="Times New Roman" w:cs="Times New Roman"/>
          <w:noProof/>
          <w:sz w:val="24"/>
          <w:szCs w:val="24"/>
        </w:rPr>
        <w:t>contributes to the application of</w:t>
      </w:r>
      <w:r w:rsidRPr="74AB9682">
        <w:rPr>
          <w:rFonts w:ascii="Times New Roman" w:hAnsi="Times New Roman" w:cs="Times New Roman"/>
          <w:noProof/>
          <w:sz w:val="24"/>
          <w:szCs w:val="24"/>
        </w:rPr>
        <w:t xml:space="preserve"> the rights of workers to fair and just working conditions, provided for in Article 31 of the Charter</w:t>
      </w:r>
      <w:r>
        <w:rPr>
          <w:rFonts w:ascii="Times New Roman" w:hAnsi="Times New Roman" w:cs="Times New Roman"/>
          <w:noProof/>
          <w:sz w:val="24"/>
          <w:szCs w:val="24"/>
        </w:rPr>
        <w:t xml:space="preserve">. This takes place </w:t>
      </w:r>
      <w:r w:rsidRPr="74AB9682">
        <w:rPr>
          <w:rFonts w:ascii="Times New Roman" w:hAnsi="Times New Roman" w:cs="Times New Roman"/>
          <w:noProof/>
          <w:sz w:val="24"/>
          <w:szCs w:val="24"/>
        </w:rPr>
        <w:t xml:space="preserve">through a social conditionality mechanism, which results in the reduction of CAP payments, </w:t>
      </w:r>
      <w:r>
        <w:rPr>
          <w:rFonts w:ascii="Times New Roman" w:hAnsi="Times New Roman" w:cs="Times New Roman"/>
          <w:noProof/>
          <w:sz w:val="24"/>
          <w:szCs w:val="24"/>
        </w:rPr>
        <w:t>if</w:t>
      </w:r>
      <w:r w:rsidRPr="74AB9682">
        <w:rPr>
          <w:rFonts w:ascii="Times New Roman" w:hAnsi="Times New Roman" w:cs="Times New Roman"/>
          <w:noProof/>
          <w:sz w:val="24"/>
          <w:szCs w:val="24"/>
        </w:rPr>
        <w:t xml:space="preserve"> farmers breach EU legislation in this field</w:t>
      </w:r>
      <w:r>
        <w:rPr>
          <w:rStyle w:val="FootnoteReference"/>
          <w:noProof/>
        </w:rPr>
        <w:footnoteReference w:id="101"/>
      </w:r>
      <w:r w:rsidRPr="74AB9682">
        <w:rPr>
          <w:rFonts w:ascii="Times New Roman" w:hAnsi="Times New Roman" w:cs="Times New Roman"/>
          <w:noProof/>
          <w:sz w:val="24"/>
          <w:szCs w:val="24"/>
        </w:rPr>
        <w:t xml:space="preserve">. </w:t>
      </w:r>
      <w:r>
        <w:rPr>
          <w:rFonts w:ascii="Times New Roman" w:hAnsi="Times New Roman" w:cs="Times New Roman"/>
          <w:noProof/>
          <w:sz w:val="24"/>
          <w:szCs w:val="24"/>
          <w:lang w:val="en-GB"/>
        </w:rPr>
        <w:t xml:space="preserve">In certain sectors, financial support is available for improving farmers’ conditions. </w:t>
      </w:r>
    </w:p>
    <w:p w14:paraId="23B6FDD5" w14:textId="77777777" w:rsidR="002C0325" w:rsidRPr="00B466D9" w:rsidRDefault="002C0325" w:rsidP="002C0325">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noProof/>
          <w:sz w:val="24"/>
          <w:szCs w:val="24"/>
        </w:rPr>
      </w:pPr>
      <w:r w:rsidRPr="00800B4B">
        <w:rPr>
          <w:rFonts w:ascii="Times New Roman" w:hAnsi="Times New Roman" w:cs="Times New Roman"/>
          <w:noProof/>
          <w:sz w:val="20"/>
          <w:szCs w:val="20"/>
        </w:rPr>
        <w:t xml:space="preserve">The project </w:t>
      </w:r>
      <w:r w:rsidRPr="00800B4B">
        <w:rPr>
          <w:rFonts w:ascii="Times New Roman" w:hAnsi="Times New Roman" w:cs="Times New Roman"/>
          <w:b/>
          <w:bCs/>
          <w:noProof/>
          <w:sz w:val="20"/>
          <w:szCs w:val="20"/>
        </w:rPr>
        <w:t>EmpowerUs</w:t>
      </w:r>
      <w:r w:rsidRPr="00800B4B">
        <w:rPr>
          <w:rFonts w:ascii="Times New Roman" w:hAnsi="Times New Roman" w:cs="Times New Roman"/>
          <w:noProof/>
          <w:sz w:val="20"/>
          <w:szCs w:val="20"/>
        </w:rPr>
        <w:t xml:space="preserve"> (</w:t>
      </w:r>
      <w:r w:rsidRPr="00800B4B">
        <w:rPr>
          <w:rFonts w:ascii="Times New Roman" w:hAnsi="Times New Roman" w:cs="Times New Roman"/>
          <w:b/>
          <w:bCs/>
          <w:noProof/>
          <w:sz w:val="20"/>
          <w:szCs w:val="20"/>
        </w:rPr>
        <w:t>Green transition through coastal communities</w:t>
      </w:r>
      <w:r w:rsidRPr="00800B4B">
        <w:rPr>
          <w:rFonts w:ascii="Times New Roman" w:hAnsi="Times New Roman" w:cs="Times New Roman"/>
          <w:noProof/>
          <w:sz w:val="20"/>
          <w:szCs w:val="20"/>
        </w:rPr>
        <w:t>)</w:t>
      </w:r>
      <w:r w:rsidRPr="00800B4B">
        <w:rPr>
          <w:rStyle w:val="FootnoteReference"/>
          <w:noProof/>
          <w:sz w:val="20"/>
          <w:szCs w:val="20"/>
        </w:rPr>
        <w:footnoteReference w:id="102"/>
      </w:r>
      <w:r w:rsidRPr="00800B4B">
        <w:rPr>
          <w:rFonts w:ascii="Times New Roman" w:hAnsi="Times New Roman" w:cs="Times New Roman"/>
          <w:noProof/>
          <w:sz w:val="20"/>
          <w:szCs w:val="20"/>
        </w:rPr>
        <w:t xml:space="preserve"> aims to empower coastal communities to transition towards a more resilient, inclusive and sustainable coastal development by addressing </w:t>
      </w:r>
      <w:r w:rsidRPr="00F17AA3">
        <w:rPr>
          <w:rFonts w:ascii="Times New Roman" w:hAnsi="Times New Roman" w:cs="Times New Roman"/>
          <w:noProof/>
          <w:sz w:val="20"/>
          <w:szCs w:val="20"/>
        </w:rPr>
        <w:t>challenges related to climate change</w:t>
      </w:r>
      <w:r w:rsidRPr="00800B4B">
        <w:rPr>
          <w:rFonts w:ascii="Times New Roman" w:hAnsi="Times New Roman" w:cs="Times New Roman"/>
          <w:noProof/>
          <w:sz w:val="20"/>
          <w:szCs w:val="20"/>
        </w:rPr>
        <w:t xml:space="preserve"> and traditional and cultural practices. </w:t>
      </w:r>
      <w:r>
        <w:rPr>
          <w:rFonts w:ascii="Times New Roman" w:hAnsi="Times New Roman" w:cs="Times New Roman"/>
          <w:noProof/>
          <w:sz w:val="20"/>
          <w:szCs w:val="20"/>
        </w:rPr>
        <w:t xml:space="preserve">A </w:t>
      </w:r>
      <w:r w:rsidRPr="00800B4B">
        <w:rPr>
          <w:rFonts w:ascii="Times New Roman" w:hAnsi="Times New Roman" w:cs="Times New Roman"/>
          <w:noProof/>
          <w:sz w:val="20"/>
          <w:szCs w:val="20"/>
        </w:rPr>
        <w:t>network of six labs across EU coastal regions</w:t>
      </w:r>
      <w:r>
        <w:rPr>
          <w:rFonts w:ascii="Times New Roman" w:hAnsi="Times New Roman" w:cs="Times New Roman"/>
          <w:noProof/>
          <w:sz w:val="20"/>
          <w:szCs w:val="20"/>
        </w:rPr>
        <w:t xml:space="preserve"> will promote </w:t>
      </w:r>
      <w:r w:rsidRPr="00800B4B">
        <w:rPr>
          <w:rFonts w:ascii="Times New Roman" w:hAnsi="Times New Roman" w:cs="Times New Roman"/>
          <w:noProof/>
          <w:sz w:val="20"/>
          <w:szCs w:val="20"/>
        </w:rPr>
        <w:t>a greener future.</w:t>
      </w:r>
    </w:p>
    <w:p w14:paraId="3E34908C" w14:textId="77777777" w:rsidR="002C0325" w:rsidRDefault="002C0325" w:rsidP="002C0325">
      <w:pPr>
        <w:jc w:val="both"/>
        <w:rPr>
          <w:rFonts w:ascii="Times New Roman" w:hAnsi="Times New Roman" w:cs="Times New Roman"/>
          <w:b/>
          <w:bCs/>
          <w:noProof/>
          <w:sz w:val="24"/>
          <w:szCs w:val="24"/>
        </w:rPr>
      </w:pPr>
    </w:p>
    <w:p w14:paraId="019A1F3C" w14:textId="77777777" w:rsidR="002C0325" w:rsidRPr="004D55EB" w:rsidRDefault="002C0325" w:rsidP="002C0325">
      <w:pPr>
        <w:pStyle w:val="Headerlevel2"/>
      </w:pPr>
      <w:r w:rsidRPr="0F625658">
        <w:rPr>
          <w:lang w:val="en-US"/>
        </w:rPr>
        <w:t xml:space="preserve"> </w:t>
      </w:r>
      <w:r w:rsidRPr="004D55EB">
        <w:t>The Recovery and Resilience Facility, the Technical Support Instrument, and the InvestEU Programme</w:t>
      </w:r>
    </w:p>
    <w:p w14:paraId="10ACE225" w14:textId="77777777" w:rsidR="002C0325" w:rsidRPr="006348F6" w:rsidRDefault="002C0325" w:rsidP="002C0325">
      <w:pPr>
        <w:spacing w:line="276" w:lineRule="auto"/>
        <w:jc w:val="both"/>
        <w:rPr>
          <w:rFonts w:ascii="Times New Roman" w:hAnsi="Times New Roman" w:cs="Times New Roman"/>
          <w:noProof/>
          <w:sz w:val="24"/>
          <w:szCs w:val="24"/>
        </w:rPr>
      </w:pPr>
      <w:r w:rsidRPr="006348F6">
        <w:rPr>
          <w:rFonts w:ascii="Times New Roman" w:hAnsi="Times New Roman" w:cs="Times New Roman"/>
          <w:noProof/>
          <w:sz w:val="24"/>
          <w:szCs w:val="24"/>
        </w:rPr>
        <w:t xml:space="preserve">With the </w:t>
      </w:r>
      <w:r w:rsidRPr="000B6BFA">
        <w:rPr>
          <w:rFonts w:ascii="Times New Roman" w:hAnsi="Times New Roman" w:cs="Times New Roman"/>
          <w:noProof/>
          <w:sz w:val="24"/>
          <w:szCs w:val="24"/>
        </w:rPr>
        <w:t>Recovery and Resilience Facility (R</w:t>
      </w:r>
      <w:r>
        <w:rPr>
          <w:rFonts w:ascii="Times New Roman" w:hAnsi="Times New Roman" w:cs="Times New Roman"/>
          <w:noProof/>
          <w:sz w:val="24"/>
          <w:szCs w:val="24"/>
        </w:rPr>
        <w:t>R</w:t>
      </w:r>
      <w:r w:rsidRPr="000B6BFA">
        <w:rPr>
          <w:rFonts w:ascii="Times New Roman" w:hAnsi="Times New Roman" w:cs="Times New Roman"/>
          <w:noProof/>
          <w:sz w:val="24"/>
          <w:szCs w:val="24"/>
        </w:rPr>
        <w:t>F)</w:t>
      </w:r>
      <w:r w:rsidRPr="006348F6">
        <w:rPr>
          <w:rStyle w:val="FootnoteReference"/>
          <w:noProof/>
        </w:rPr>
        <w:footnoteReference w:id="103"/>
      </w:r>
      <w:r w:rsidRPr="00CC3A3A">
        <w:rPr>
          <w:rFonts w:ascii="Times New Roman" w:hAnsi="Times New Roman" w:cs="Times New Roman"/>
          <w:noProof/>
          <w:sz w:val="24"/>
          <w:szCs w:val="24"/>
        </w:rPr>
        <w:t>,</w:t>
      </w:r>
      <w:r w:rsidRPr="006348F6">
        <w:rPr>
          <w:rFonts w:ascii="Times New Roman" w:hAnsi="Times New Roman" w:cs="Times New Roman"/>
          <w:noProof/>
          <w:sz w:val="24"/>
          <w:szCs w:val="24"/>
        </w:rPr>
        <w:t xml:space="preserve"> the EU has created a new generation of funds, whose disbursement is linked to the achievement of </w:t>
      </w:r>
      <w:r>
        <w:rPr>
          <w:rFonts w:ascii="Times New Roman" w:hAnsi="Times New Roman" w:cs="Times New Roman"/>
          <w:noProof/>
          <w:sz w:val="24"/>
          <w:szCs w:val="24"/>
        </w:rPr>
        <w:t xml:space="preserve">specific </w:t>
      </w:r>
      <w:r w:rsidRPr="006348F6">
        <w:rPr>
          <w:rFonts w:ascii="Times New Roman" w:hAnsi="Times New Roman" w:cs="Times New Roman"/>
          <w:noProof/>
          <w:sz w:val="24"/>
          <w:szCs w:val="24"/>
        </w:rPr>
        <w:t>objectives and targets.</w:t>
      </w:r>
      <w:r>
        <w:rPr>
          <w:rFonts w:ascii="Times New Roman" w:hAnsi="Times New Roman" w:cs="Times New Roman"/>
          <w:noProof/>
          <w:sz w:val="24"/>
          <w:szCs w:val="24"/>
        </w:rPr>
        <w:t xml:space="preserve"> The RRF makes funds </w:t>
      </w:r>
      <w:r w:rsidRPr="002D696B">
        <w:rPr>
          <w:rFonts w:ascii="Times New Roman" w:hAnsi="Times New Roman" w:cs="Times New Roman"/>
          <w:noProof/>
          <w:sz w:val="24"/>
          <w:szCs w:val="24"/>
        </w:rPr>
        <w:t xml:space="preserve">available </w:t>
      </w:r>
      <w:r>
        <w:rPr>
          <w:rFonts w:ascii="Times New Roman" w:hAnsi="Times New Roman" w:cs="Times New Roman"/>
          <w:noProof/>
          <w:sz w:val="24"/>
          <w:szCs w:val="24"/>
        </w:rPr>
        <w:t>for</w:t>
      </w:r>
      <w:r w:rsidRPr="002D696B">
        <w:rPr>
          <w:rFonts w:ascii="Times New Roman" w:hAnsi="Times New Roman" w:cs="Times New Roman"/>
          <w:noProof/>
          <w:sz w:val="24"/>
          <w:szCs w:val="24"/>
        </w:rPr>
        <w:t xml:space="preserve"> the Member States to make their economies more sustainable, resilient and prepared for the</w:t>
      </w:r>
      <w:r>
        <w:rPr>
          <w:rFonts w:ascii="Times New Roman" w:hAnsi="Times New Roman" w:cs="Times New Roman"/>
          <w:noProof/>
          <w:sz w:val="24"/>
          <w:szCs w:val="24"/>
        </w:rPr>
        <w:t xml:space="preserve"> </w:t>
      </w:r>
      <w:r w:rsidRPr="002D696B">
        <w:rPr>
          <w:rFonts w:ascii="Times New Roman" w:hAnsi="Times New Roman" w:cs="Times New Roman"/>
          <w:noProof/>
          <w:sz w:val="24"/>
          <w:szCs w:val="24"/>
        </w:rPr>
        <w:t>green</w:t>
      </w:r>
      <w:r>
        <w:rPr>
          <w:rFonts w:ascii="Times New Roman" w:hAnsi="Times New Roman" w:cs="Times New Roman"/>
          <w:noProof/>
          <w:sz w:val="24"/>
          <w:szCs w:val="24"/>
        </w:rPr>
        <w:t xml:space="preserve"> </w:t>
      </w:r>
      <w:r w:rsidRPr="002D696B">
        <w:rPr>
          <w:rFonts w:ascii="Times New Roman" w:hAnsi="Times New Roman" w:cs="Times New Roman"/>
          <w:noProof/>
          <w:sz w:val="24"/>
          <w:szCs w:val="24"/>
        </w:rPr>
        <w:t>and</w:t>
      </w:r>
      <w:r>
        <w:rPr>
          <w:rFonts w:ascii="Times New Roman" w:hAnsi="Times New Roman" w:cs="Times New Roman"/>
          <w:noProof/>
          <w:sz w:val="24"/>
          <w:szCs w:val="24"/>
        </w:rPr>
        <w:t xml:space="preserve"> </w:t>
      </w:r>
      <w:r w:rsidRPr="002D696B">
        <w:rPr>
          <w:rFonts w:ascii="Times New Roman" w:hAnsi="Times New Roman" w:cs="Times New Roman"/>
          <w:noProof/>
          <w:sz w:val="24"/>
          <w:szCs w:val="24"/>
        </w:rPr>
        <w:t>digital</w:t>
      </w:r>
      <w:r>
        <w:rPr>
          <w:rFonts w:ascii="Times New Roman" w:hAnsi="Times New Roman" w:cs="Times New Roman"/>
          <w:noProof/>
          <w:sz w:val="24"/>
          <w:szCs w:val="24"/>
        </w:rPr>
        <w:t xml:space="preserve"> </w:t>
      </w:r>
      <w:r w:rsidRPr="002D696B">
        <w:rPr>
          <w:rFonts w:ascii="Times New Roman" w:hAnsi="Times New Roman" w:cs="Times New Roman"/>
          <w:noProof/>
          <w:sz w:val="24"/>
          <w:szCs w:val="24"/>
        </w:rPr>
        <w:t>transitions.</w:t>
      </w:r>
      <w:r w:rsidRPr="006348F6">
        <w:rPr>
          <w:rFonts w:ascii="Times New Roman" w:hAnsi="Times New Roman" w:cs="Times New Roman"/>
          <w:noProof/>
          <w:sz w:val="24"/>
          <w:szCs w:val="24"/>
        </w:rPr>
        <w:t xml:space="preserve"> The measures address the challenges identified under the European Semester framework of economic and social policy coordination. </w:t>
      </w:r>
      <w:r w:rsidRPr="00481EDC">
        <w:rPr>
          <w:rFonts w:ascii="Times New Roman" w:hAnsi="Times New Roman" w:cs="Times New Roman"/>
          <w:noProof/>
          <w:sz w:val="24"/>
          <w:szCs w:val="24"/>
        </w:rPr>
        <w:t xml:space="preserve">The RRF also </w:t>
      </w:r>
      <w:r>
        <w:rPr>
          <w:rFonts w:ascii="Times New Roman" w:hAnsi="Times New Roman" w:cs="Times New Roman"/>
          <w:noProof/>
          <w:sz w:val="24"/>
          <w:szCs w:val="24"/>
        </w:rPr>
        <w:t>implements</w:t>
      </w:r>
      <w:r w:rsidRPr="00481EDC">
        <w:rPr>
          <w:rFonts w:ascii="Times New Roman" w:hAnsi="Times New Roman" w:cs="Times New Roman"/>
          <w:noProof/>
          <w:sz w:val="24"/>
          <w:szCs w:val="24"/>
        </w:rPr>
        <w:t xml:space="preserve"> the </w:t>
      </w:r>
      <w:r w:rsidRPr="006348F6">
        <w:rPr>
          <w:rFonts w:ascii="Times New Roman" w:hAnsi="Times New Roman" w:cs="Times New Roman"/>
          <w:b/>
          <w:bCs/>
          <w:noProof/>
          <w:sz w:val="24"/>
          <w:szCs w:val="24"/>
        </w:rPr>
        <w:t>REPowerEU Plan</w:t>
      </w:r>
      <w:r w:rsidRPr="00481EDC">
        <w:rPr>
          <w:rFonts w:ascii="Times New Roman" w:hAnsi="Times New Roman" w:cs="Times New Roman"/>
          <w:noProof/>
          <w:sz w:val="24"/>
          <w:szCs w:val="24"/>
        </w:rPr>
        <w:t xml:space="preserve"> – the response to the socio-economic hardships and energy market disruption caused by Russia's invasion of Ukraine.</w:t>
      </w:r>
      <w:r>
        <w:rPr>
          <w:rFonts w:ascii="Times New Roman" w:hAnsi="Times New Roman" w:cs="Times New Roman"/>
          <w:noProof/>
          <w:sz w:val="24"/>
          <w:szCs w:val="24"/>
        </w:rPr>
        <w:t xml:space="preserve"> </w:t>
      </w:r>
    </w:p>
    <w:p w14:paraId="536C5266" w14:textId="77777777" w:rsidR="002C0325" w:rsidRPr="003875A1" w:rsidRDefault="002C0325" w:rsidP="002C0325">
      <w:pPr>
        <w:spacing w:line="276" w:lineRule="auto"/>
        <w:jc w:val="both"/>
        <w:rPr>
          <w:rFonts w:ascii="Times New Roman" w:eastAsia="Aptos" w:hAnsi="Times New Roman" w:cs="Times New Roman"/>
          <w:noProof/>
          <w:sz w:val="24"/>
          <w:szCs w:val="24"/>
        </w:rPr>
      </w:pPr>
      <w:r w:rsidRPr="00481EDC">
        <w:rPr>
          <w:rFonts w:ascii="Times New Roman" w:hAnsi="Times New Roman" w:cs="Times New Roman"/>
          <w:noProof/>
          <w:sz w:val="24"/>
          <w:szCs w:val="24"/>
        </w:rPr>
        <w:t>The RRF is structured around six pillars: green transition</w:t>
      </w:r>
      <w:r>
        <w:rPr>
          <w:rFonts w:ascii="Times New Roman" w:hAnsi="Times New Roman" w:cs="Times New Roman"/>
          <w:noProof/>
          <w:sz w:val="24"/>
          <w:szCs w:val="24"/>
        </w:rPr>
        <w:t>;</w:t>
      </w:r>
      <w:r w:rsidRPr="00481EDC">
        <w:rPr>
          <w:rFonts w:ascii="Times New Roman" w:hAnsi="Times New Roman" w:cs="Times New Roman"/>
          <w:noProof/>
          <w:sz w:val="24"/>
          <w:szCs w:val="24"/>
        </w:rPr>
        <w:t xml:space="preserve"> digital transformation</w:t>
      </w:r>
      <w:r>
        <w:rPr>
          <w:rFonts w:ascii="Times New Roman" w:hAnsi="Times New Roman" w:cs="Times New Roman"/>
          <w:noProof/>
          <w:sz w:val="24"/>
          <w:szCs w:val="24"/>
        </w:rPr>
        <w:t xml:space="preserve">; </w:t>
      </w:r>
      <w:r w:rsidRPr="00481EDC">
        <w:rPr>
          <w:rFonts w:ascii="Times New Roman" w:hAnsi="Times New Roman" w:cs="Times New Roman"/>
          <w:noProof/>
          <w:sz w:val="24"/>
          <w:szCs w:val="24"/>
        </w:rPr>
        <w:t>smart, sustainable and inclusive growth</w:t>
      </w:r>
      <w:r>
        <w:rPr>
          <w:rFonts w:ascii="Times New Roman" w:hAnsi="Times New Roman" w:cs="Times New Roman"/>
          <w:noProof/>
          <w:sz w:val="24"/>
          <w:szCs w:val="24"/>
        </w:rPr>
        <w:t xml:space="preserve">; </w:t>
      </w:r>
      <w:r w:rsidRPr="00481EDC">
        <w:rPr>
          <w:rFonts w:ascii="Times New Roman" w:hAnsi="Times New Roman" w:cs="Times New Roman"/>
          <w:noProof/>
          <w:sz w:val="24"/>
          <w:szCs w:val="24"/>
        </w:rPr>
        <w:t>social and territorial cohesion</w:t>
      </w:r>
      <w:r>
        <w:rPr>
          <w:rFonts w:ascii="Times New Roman" w:hAnsi="Times New Roman" w:cs="Times New Roman"/>
          <w:noProof/>
          <w:sz w:val="24"/>
          <w:szCs w:val="24"/>
        </w:rPr>
        <w:t xml:space="preserve">; </w:t>
      </w:r>
      <w:r w:rsidRPr="00481EDC">
        <w:rPr>
          <w:rFonts w:ascii="Times New Roman" w:hAnsi="Times New Roman" w:cs="Times New Roman"/>
          <w:noProof/>
          <w:sz w:val="24"/>
          <w:szCs w:val="24"/>
        </w:rPr>
        <w:t>health, and economic, social and institutional resilience</w:t>
      </w:r>
      <w:r>
        <w:rPr>
          <w:rFonts w:ascii="Times New Roman" w:hAnsi="Times New Roman" w:cs="Times New Roman"/>
          <w:noProof/>
          <w:sz w:val="24"/>
          <w:szCs w:val="24"/>
        </w:rPr>
        <w:t xml:space="preserve">; and </w:t>
      </w:r>
      <w:r w:rsidRPr="00481EDC">
        <w:rPr>
          <w:rFonts w:ascii="Times New Roman" w:hAnsi="Times New Roman" w:cs="Times New Roman"/>
          <w:noProof/>
          <w:sz w:val="24"/>
          <w:szCs w:val="24"/>
        </w:rPr>
        <w:t>policies for the next generation</w:t>
      </w:r>
      <w:r>
        <w:rPr>
          <w:rStyle w:val="FootnoteReference"/>
          <w:noProof/>
        </w:rPr>
        <w:footnoteReference w:id="104"/>
      </w:r>
      <w:r w:rsidRPr="00481EDC">
        <w:rPr>
          <w:rFonts w:ascii="Times New Roman" w:hAnsi="Times New Roman" w:cs="Times New Roman"/>
          <w:noProof/>
          <w:sz w:val="24"/>
          <w:szCs w:val="24"/>
        </w:rPr>
        <w:t xml:space="preserve">. </w:t>
      </w:r>
      <w:r>
        <w:rPr>
          <w:rFonts w:ascii="Times New Roman" w:hAnsi="Times New Roman" w:cs="Times New Roman"/>
          <w:noProof/>
          <w:sz w:val="24"/>
          <w:szCs w:val="24"/>
        </w:rPr>
        <w:t xml:space="preserve">Through this </w:t>
      </w:r>
      <w:r w:rsidRPr="00481EDC">
        <w:rPr>
          <w:rFonts w:ascii="Times New Roman" w:hAnsi="Times New Roman" w:cs="Times New Roman"/>
          <w:noProof/>
          <w:sz w:val="24"/>
          <w:szCs w:val="24"/>
        </w:rPr>
        <w:t xml:space="preserve">wide range of fields, </w:t>
      </w:r>
      <w:r>
        <w:rPr>
          <w:rFonts w:ascii="Times New Roman" w:hAnsi="Times New Roman" w:cs="Times New Roman"/>
          <w:noProof/>
          <w:sz w:val="24"/>
          <w:szCs w:val="24"/>
        </w:rPr>
        <w:t>it</w:t>
      </w:r>
      <w:r w:rsidRPr="00481EDC">
        <w:rPr>
          <w:rFonts w:ascii="Times New Roman" w:hAnsi="Times New Roman" w:cs="Times New Roman"/>
          <w:noProof/>
          <w:sz w:val="24"/>
          <w:szCs w:val="24"/>
        </w:rPr>
        <w:t xml:space="preserve"> contributes to</w:t>
      </w:r>
      <w:r w:rsidRPr="00481EDC">
        <w:rPr>
          <w:rFonts w:ascii="Times New Roman" w:eastAsia="Aptos" w:hAnsi="Times New Roman" w:cs="Times New Roman"/>
          <w:noProof/>
          <w:sz w:val="24"/>
          <w:szCs w:val="24"/>
        </w:rPr>
        <w:t xml:space="preserve"> promoting, protecting, and enforcing </w:t>
      </w:r>
      <w:r>
        <w:rPr>
          <w:rFonts w:ascii="Times New Roman" w:eastAsia="Aptos" w:hAnsi="Times New Roman" w:cs="Times New Roman"/>
          <w:noProof/>
          <w:sz w:val="24"/>
          <w:szCs w:val="24"/>
        </w:rPr>
        <w:t xml:space="preserve">various </w:t>
      </w:r>
      <w:r w:rsidRPr="00481EDC">
        <w:rPr>
          <w:rFonts w:ascii="Times New Roman" w:eastAsia="Aptos" w:hAnsi="Times New Roman" w:cs="Times New Roman"/>
          <w:noProof/>
          <w:sz w:val="24"/>
          <w:szCs w:val="24"/>
        </w:rPr>
        <w:t xml:space="preserve">fundamental rights. </w:t>
      </w:r>
    </w:p>
    <w:p w14:paraId="7DA1F7CB" w14:textId="77777777" w:rsidR="002C0325" w:rsidRPr="00800B4B" w:rsidRDefault="002C0325" w:rsidP="002C0325">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sidRPr="00800B4B">
        <w:rPr>
          <w:rFonts w:ascii="Times New Roman" w:hAnsi="Times New Roman" w:cs="Times New Roman"/>
          <w:b/>
          <w:bCs/>
          <w:noProof/>
          <w:sz w:val="20"/>
          <w:szCs w:val="20"/>
        </w:rPr>
        <w:t>Article 37</w:t>
      </w:r>
      <w:r>
        <w:rPr>
          <w:rFonts w:ascii="Times New Roman" w:hAnsi="Times New Roman" w:cs="Times New Roman"/>
          <w:b/>
          <w:bCs/>
          <w:noProof/>
          <w:sz w:val="20"/>
          <w:szCs w:val="20"/>
        </w:rPr>
        <w:t xml:space="preserve"> of the Charter on</w:t>
      </w:r>
      <w:r w:rsidRPr="00800B4B">
        <w:rPr>
          <w:rFonts w:ascii="Times New Roman" w:hAnsi="Times New Roman" w:cs="Times New Roman"/>
          <w:b/>
          <w:bCs/>
          <w:noProof/>
          <w:sz w:val="20"/>
          <w:szCs w:val="20"/>
        </w:rPr>
        <w:t xml:space="preserve"> environmental protection: </w:t>
      </w:r>
      <w:r w:rsidRPr="00800B4B">
        <w:rPr>
          <w:rFonts w:ascii="Times New Roman" w:hAnsi="Times New Roman" w:cs="Times New Roman"/>
          <w:noProof/>
          <w:sz w:val="20"/>
          <w:szCs w:val="20"/>
        </w:rPr>
        <w:t>The RRF contributes to integrating a high level of environmental protection and the improvement of the quality of the environment into the policies of the Union. The RRF Regulation requires each Member State to allocates at least 37% of its RRF funding to measures contributing to climate objectives. All measures must respect the principle of ‘do no significant harm’. The reforms have included the installation of additional capacity for renewable energy and protection measures against floods, wildfires, and other natural disasters.</w:t>
      </w:r>
    </w:p>
    <w:p w14:paraId="49AC1C15" w14:textId="77777777" w:rsidR="002C0325" w:rsidRPr="00800B4B" w:rsidRDefault="002C0325" w:rsidP="002C0325">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noProof/>
          <w:sz w:val="20"/>
          <w:szCs w:val="20"/>
        </w:rPr>
      </w:pPr>
      <w:r w:rsidRPr="00800B4B">
        <w:rPr>
          <w:rFonts w:ascii="Times New Roman" w:hAnsi="Times New Roman" w:cs="Times New Roman"/>
          <w:b/>
          <w:bCs/>
          <w:noProof/>
          <w:sz w:val="20"/>
          <w:szCs w:val="20"/>
        </w:rPr>
        <w:t>Article 47</w:t>
      </w:r>
      <w:r>
        <w:rPr>
          <w:rFonts w:ascii="Times New Roman" w:hAnsi="Times New Roman" w:cs="Times New Roman"/>
          <w:b/>
          <w:bCs/>
          <w:noProof/>
          <w:sz w:val="20"/>
          <w:szCs w:val="20"/>
        </w:rPr>
        <w:t xml:space="preserve"> of the Charter on the</w:t>
      </w:r>
      <w:r w:rsidRPr="00800B4B">
        <w:rPr>
          <w:rFonts w:ascii="Times New Roman" w:hAnsi="Times New Roman" w:cs="Times New Roman"/>
          <w:b/>
          <w:bCs/>
          <w:noProof/>
          <w:sz w:val="20"/>
          <w:szCs w:val="20"/>
        </w:rPr>
        <w:t xml:space="preserve"> </w:t>
      </w:r>
      <w:r>
        <w:rPr>
          <w:rFonts w:ascii="Times New Roman" w:eastAsia="Aptos" w:hAnsi="Times New Roman" w:cs="Times New Roman"/>
          <w:b/>
          <w:bCs/>
          <w:noProof/>
          <w:sz w:val="20"/>
          <w:szCs w:val="20"/>
        </w:rPr>
        <w:t>r</w:t>
      </w:r>
      <w:r w:rsidRPr="00800B4B">
        <w:rPr>
          <w:rFonts w:ascii="Times New Roman" w:eastAsia="Aptos" w:hAnsi="Times New Roman" w:cs="Times New Roman"/>
          <w:b/>
          <w:bCs/>
          <w:noProof/>
          <w:sz w:val="20"/>
          <w:szCs w:val="20"/>
        </w:rPr>
        <w:t>ight to an effective remedy and to a fair trial</w:t>
      </w:r>
      <w:r w:rsidRPr="00800B4B">
        <w:rPr>
          <w:rFonts w:ascii="Times New Roman" w:hAnsi="Times New Roman" w:cs="Times New Roman"/>
          <w:b/>
          <w:bCs/>
          <w:noProof/>
          <w:sz w:val="20"/>
          <w:szCs w:val="20"/>
        </w:rPr>
        <w:t xml:space="preserve">: </w:t>
      </w:r>
      <w:r w:rsidRPr="00800B4B">
        <w:rPr>
          <w:rFonts w:ascii="Times New Roman" w:eastAsia="Aptos" w:hAnsi="Times New Roman" w:cs="Times New Roman"/>
          <w:noProof/>
          <w:sz w:val="20"/>
          <w:szCs w:val="20"/>
        </w:rPr>
        <w:t xml:space="preserve">The RRF supports measures </w:t>
      </w:r>
      <w:r>
        <w:rPr>
          <w:rFonts w:ascii="Times New Roman" w:eastAsia="Aptos" w:hAnsi="Times New Roman" w:cs="Times New Roman"/>
          <w:noProof/>
          <w:sz w:val="20"/>
          <w:szCs w:val="20"/>
        </w:rPr>
        <w:t xml:space="preserve">to </w:t>
      </w:r>
      <w:r w:rsidRPr="00800B4B">
        <w:rPr>
          <w:rFonts w:ascii="Times New Roman" w:eastAsia="Aptos" w:hAnsi="Times New Roman" w:cs="Times New Roman"/>
          <w:noProof/>
          <w:sz w:val="20"/>
          <w:szCs w:val="20"/>
        </w:rPr>
        <w:t xml:space="preserve">increase the efficiency, quality and independence of judicial systems. The relevant investments have included the digitalisation of the justice systems, improved judicial infrastructure </w:t>
      </w:r>
      <w:r>
        <w:rPr>
          <w:rFonts w:ascii="Times New Roman" w:eastAsia="Aptos" w:hAnsi="Times New Roman" w:cs="Times New Roman"/>
          <w:noProof/>
          <w:sz w:val="20"/>
          <w:szCs w:val="20"/>
        </w:rPr>
        <w:t>and</w:t>
      </w:r>
      <w:r w:rsidRPr="00800B4B">
        <w:rPr>
          <w:rFonts w:ascii="Times New Roman" w:eastAsia="Aptos" w:hAnsi="Times New Roman" w:cs="Times New Roman"/>
          <w:noProof/>
          <w:sz w:val="20"/>
          <w:szCs w:val="20"/>
        </w:rPr>
        <w:t xml:space="preserve"> judicial training. </w:t>
      </w:r>
      <w:r w:rsidRPr="00800B4B">
        <w:rPr>
          <w:rFonts w:ascii="Times New Roman" w:eastAsia="Aptos" w:hAnsi="Times New Roman" w:cs="Times New Roman"/>
          <w:b/>
          <w:bCs/>
          <w:noProof/>
          <w:sz w:val="20"/>
          <w:szCs w:val="20"/>
        </w:rPr>
        <w:t xml:space="preserve">Malta </w:t>
      </w:r>
      <w:r w:rsidRPr="00800B4B">
        <w:rPr>
          <w:rFonts w:ascii="Times New Roman" w:eastAsia="Aptos" w:hAnsi="Times New Roman" w:cs="Times New Roman"/>
          <w:noProof/>
          <w:sz w:val="20"/>
          <w:szCs w:val="20"/>
        </w:rPr>
        <w:t xml:space="preserve">has developed secure digital solutions to simplify court processes and </w:t>
      </w:r>
      <w:r>
        <w:rPr>
          <w:rFonts w:ascii="Times New Roman" w:eastAsia="Aptos" w:hAnsi="Times New Roman" w:cs="Times New Roman"/>
          <w:noProof/>
          <w:sz w:val="20"/>
          <w:szCs w:val="20"/>
        </w:rPr>
        <w:t>improve access</w:t>
      </w:r>
      <w:r w:rsidRPr="00800B4B">
        <w:rPr>
          <w:rFonts w:ascii="Times New Roman" w:eastAsia="Aptos" w:hAnsi="Times New Roman" w:cs="Times New Roman"/>
          <w:noProof/>
          <w:sz w:val="20"/>
          <w:szCs w:val="20"/>
        </w:rPr>
        <w:t xml:space="preserve"> </w:t>
      </w:r>
      <w:r>
        <w:rPr>
          <w:rFonts w:ascii="Times New Roman" w:eastAsia="Aptos" w:hAnsi="Times New Roman" w:cs="Times New Roman"/>
          <w:noProof/>
          <w:sz w:val="20"/>
          <w:szCs w:val="20"/>
        </w:rPr>
        <w:t>to</w:t>
      </w:r>
      <w:r w:rsidRPr="00800B4B">
        <w:rPr>
          <w:rFonts w:ascii="Times New Roman" w:eastAsia="Aptos" w:hAnsi="Times New Roman" w:cs="Times New Roman"/>
          <w:noProof/>
          <w:sz w:val="20"/>
          <w:szCs w:val="20"/>
        </w:rPr>
        <w:t xml:space="preserve"> justice. </w:t>
      </w:r>
      <w:r w:rsidRPr="00800B4B">
        <w:rPr>
          <w:rFonts w:ascii="Times New Roman" w:eastAsia="Aptos" w:hAnsi="Times New Roman" w:cs="Times New Roman"/>
          <w:b/>
          <w:bCs/>
          <w:noProof/>
          <w:sz w:val="20"/>
          <w:szCs w:val="20"/>
        </w:rPr>
        <w:t>Croatia</w:t>
      </w:r>
      <w:r w:rsidRPr="00800B4B">
        <w:rPr>
          <w:rFonts w:ascii="Times New Roman" w:eastAsia="Aptos" w:hAnsi="Times New Roman" w:cs="Times New Roman"/>
          <w:noProof/>
          <w:sz w:val="20"/>
          <w:szCs w:val="20"/>
        </w:rPr>
        <w:t xml:space="preserve"> has taken measures to reduce backlogs, shorten </w:t>
      </w:r>
      <w:r>
        <w:rPr>
          <w:rFonts w:ascii="Times New Roman" w:eastAsia="Aptos" w:hAnsi="Times New Roman" w:cs="Times New Roman"/>
          <w:noProof/>
          <w:sz w:val="20"/>
          <w:szCs w:val="20"/>
        </w:rPr>
        <w:t xml:space="preserve">civil and commercial </w:t>
      </w:r>
      <w:r w:rsidRPr="00800B4B">
        <w:rPr>
          <w:rFonts w:ascii="Times New Roman" w:eastAsia="Aptos" w:hAnsi="Times New Roman" w:cs="Times New Roman"/>
          <w:noProof/>
          <w:sz w:val="20"/>
          <w:szCs w:val="20"/>
        </w:rPr>
        <w:t>proceedings</w:t>
      </w:r>
      <w:r>
        <w:rPr>
          <w:rFonts w:ascii="Times New Roman" w:eastAsia="Aptos" w:hAnsi="Times New Roman" w:cs="Times New Roman"/>
          <w:noProof/>
          <w:sz w:val="20"/>
          <w:szCs w:val="20"/>
        </w:rPr>
        <w:t>,</w:t>
      </w:r>
      <w:r w:rsidRPr="00800B4B">
        <w:rPr>
          <w:rFonts w:ascii="Times New Roman" w:eastAsia="Aptos" w:hAnsi="Times New Roman" w:cs="Times New Roman"/>
          <w:noProof/>
          <w:sz w:val="20"/>
          <w:szCs w:val="20"/>
        </w:rPr>
        <w:t xml:space="preserve"> and strengthen the transparent and efficient administration of cases. </w:t>
      </w:r>
    </w:p>
    <w:p w14:paraId="6ABE3CD9" w14:textId="77777777" w:rsidR="002C0325" w:rsidRPr="005E61E8" w:rsidRDefault="002C0325" w:rsidP="002C0325">
      <w:pPr>
        <w:jc w:val="both"/>
        <w:rPr>
          <w:rFonts w:ascii="Times New Roman" w:eastAsia="Calibri" w:hAnsi="Times New Roman" w:cs="Times New Roman"/>
          <w:noProof/>
          <w:color w:val="000000" w:themeColor="text1"/>
          <w:sz w:val="24"/>
          <w:szCs w:val="24"/>
        </w:rPr>
      </w:pPr>
      <w:r w:rsidRPr="000B6BFA">
        <w:rPr>
          <w:rFonts w:ascii="Times New Roman" w:eastAsiaTheme="minorEastAsia" w:hAnsi="Times New Roman" w:cs="Times New Roman"/>
          <w:noProof/>
          <w:sz w:val="24"/>
          <w:szCs w:val="24"/>
        </w:rPr>
        <w:t xml:space="preserve">The </w:t>
      </w:r>
      <w:r w:rsidRPr="00954D7E">
        <w:rPr>
          <w:rFonts w:ascii="Times New Roman" w:eastAsia="Calibri" w:hAnsi="Times New Roman" w:cs="Times New Roman"/>
          <w:b/>
          <w:bCs/>
          <w:noProof/>
          <w:color w:val="000000" w:themeColor="text1"/>
          <w:sz w:val="24"/>
          <w:szCs w:val="24"/>
        </w:rPr>
        <w:t xml:space="preserve">Technical Support Instrument (TSI) </w:t>
      </w:r>
      <w:r w:rsidRPr="008B5D67">
        <w:rPr>
          <w:rFonts w:ascii="Times New Roman" w:eastAsia="Calibri" w:hAnsi="Times New Roman" w:cs="Times New Roman"/>
          <w:noProof/>
          <w:color w:val="000000" w:themeColor="text1"/>
          <w:sz w:val="24"/>
          <w:szCs w:val="24"/>
        </w:rPr>
        <w:t>complements the</w:t>
      </w:r>
      <w:r>
        <w:rPr>
          <w:rFonts w:ascii="Times New Roman" w:eastAsia="Calibri" w:hAnsi="Times New Roman" w:cs="Times New Roman"/>
          <w:noProof/>
          <w:color w:val="000000" w:themeColor="text1"/>
          <w:sz w:val="24"/>
          <w:szCs w:val="24"/>
        </w:rPr>
        <w:t xml:space="preserve"> above</w:t>
      </w:r>
      <w:r w:rsidRPr="008B5D67">
        <w:rPr>
          <w:rFonts w:ascii="Times New Roman" w:eastAsia="Calibri" w:hAnsi="Times New Roman" w:cs="Times New Roman"/>
          <w:noProof/>
          <w:color w:val="000000" w:themeColor="text1"/>
          <w:sz w:val="24"/>
          <w:szCs w:val="24"/>
        </w:rPr>
        <w:t xml:space="preserve"> measures to address the economic consequences of the pandemic</w:t>
      </w:r>
      <w:r>
        <w:rPr>
          <w:rFonts w:ascii="Times New Roman" w:eastAsia="Calibri" w:hAnsi="Times New Roman" w:cs="Times New Roman"/>
          <w:noProof/>
          <w:color w:val="000000" w:themeColor="text1"/>
          <w:sz w:val="24"/>
          <w:szCs w:val="24"/>
        </w:rPr>
        <w:t xml:space="preserve"> </w:t>
      </w:r>
      <w:r>
        <w:rPr>
          <w:rFonts w:ascii="Times New Roman" w:eastAsiaTheme="minorEastAsia" w:hAnsi="Times New Roman" w:cs="Times New Roman"/>
          <w:noProof/>
          <w:color w:val="000000" w:themeColor="text1"/>
          <w:sz w:val="24"/>
          <w:szCs w:val="24"/>
        </w:rPr>
        <w:t>by</w:t>
      </w:r>
      <w:r w:rsidRPr="00C05461">
        <w:rPr>
          <w:rFonts w:ascii="Times New Roman" w:eastAsia="Calibri" w:hAnsi="Times New Roman" w:cs="Times New Roman"/>
          <w:noProof/>
          <w:color w:val="000000" w:themeColor="text1"/>
          <w:sz w:val="24"/>
          <w:szCs w:val="24"/>
        </w:rPr>
        <w:t xml:space="preserve"> improv</w:t>
      </w:r>
      <w:r>
        <w:rPr>
          <w:rFonts w:ascii="Times New Roman" w:eastAsia="Calibri" w:hAnsi="Times New Roman" w:cs="Times New Roman"/>
          <w:noProof/>
          <w:color w:val="000000" w:themeColor="text1"/>
          <w:sz w:val="24"/>
          <w:szCs w:val="24"/>
        </w:rPr>
        <w:t>ing</w:t>
      </w:r>
      <w:r w:rsidRPr="00C05461">
        <w:rPr>
          <w:rFonts w:ascii="Times New Roman" w:eastAsia="Calibri" w:hAnsi="Times New Roman" w:cs="Times New Roman"/>
          <w:noProof/>
          <w:color w:val="000000" w:themeColor="text1"/>
          <w:sz w:val="24"/>
          <w:szCs w:val="24"/>
        </w:rPr>
        <w:t xml:space="preserve"> the capacity of national institutions to implement reforms and facilitat</w:t>
      </w:r>
      <w:r>
        <w:rPr>
          <w:rFonts w:ascii="Times New Roman" w:eastAsia="Calibri" w:hAnsi="Times New Roman" w:cs="Times New Roman"/>
          <w:noProof/>
          <w:color w:val="000000" w:themeColor="text1"/>
          <w:sz w:val="24"/>
          <w:szCs w:val="24"/>
        </w:rPr>
        <w:t>ing</w:t>
      </w:r>
      <w:r w:rsidRPr="00C05461">
        <w:rPr>
          <w:rFonts w:ascii="Times New Roman" w:eastAsia="Calibri" w:hAnsi="Times New Roman" w:cs="Times New Roman"/>
          <w:noProof/>
          <w:color w:val="000000" w:themeColor="text1"/>
          <w:sz w:val="24"/>
          <w:szCs w:val="24"/>
        </w:rPr>
        <w:t xml:space="preserve"> the exchange of best practices</w:t>
      </w:r>
      <w:r>
        <w:rPr>
          <w:rStyle w:val="FootnoteReference"/>
          <w:rFonts w:eastAsia="Calibri"/>
          <w:noProof/>
          <w:color w:val="000000" w:themeColor="text1"/>
        </w:rPr>
        <w:footnoteReference w:id="105"/>
      </w:r>
      <w:r w:rsidRPr="00C05461">
        <w:rPr>
          <w:rFonts w:ascii="Times New Roman" w:eastAsia="Calibri" w:hAnsi="Times New Roman" w:cs="Times New Roman"/>
          <w:noProof/>
          <w:color w:val="000000" w:themeColor="text1"/>
          <w:sz w:val="24"/>
          <w:szCs w:val="24"/>
        </w:rPr>
        <w:t xml:space="preserve">. </w:t>
      </w:r>
      <w:bookmarkStart w:id="17" w:name="_Int_IRITjNpB"/>
      <w:r>
        <w:rPr>
          <w:rFonts w:ascii="Times New Roman" w:eastAsia="Calibri" w:hAnsi="Times New Roman" w:cs="Times New Roman"/>
          <w:noProof/>
          <w:color w:val="000000" w:themeColor="text1"/>
          <w:sz w:val="24"/>
          <w:szCs w:val="24"/>
        </w:rPr>
        <w:t>I</w:t>
      </w:r>
      <w:r w:rsidRPr="008B5D67">
        <w:rPr>
          <w:rFonts w:ascii="Times New Roman" w:eastAsia="Calibri" w:hAnsi="Times New Roman" w:cs="Times New Roman"/>
          <w:noProof/>
          <w:color w:val="000000" w:themeColor="text1"/>
          <w:sz w:val="24"/>
          <w:szCs w:val="24"/>
        </w:rPr>
        <w:t>n the area of</w:t>
      </w:r>
      <w:bookmarkEnd w:id="17"/>
      <w:r w:rsidRPr="008B5D67">
        <w:rPr>
          <w:rFonts w:ascii="Times New Roman" w:eastAsia="Calibri" w:hAnsi="Times New Roman" w:cs="Times New Roman"/>
          <w:noProof/>
          <w:color w:val="000000" w:themeColor="text1"/>
          <w:sz w:val="24"/>
          <w:szCs w:val="24"/>
        </w:rPr>
        <w:t xml:space="preserve"> judicial reforms</w:t>
      </w:r>
      <w:r>
        <w:rPr>
          <w:rFonts w:ascii="Times New Roman" w:eastAsia="Calibri" w:hAnsi="Times New Roman" w:cs="Times New Roman"/>
          <w:noProof/>
          <w:color w:val="000000" w:themeColor="text1"/>
          <w:sz w:val="24"/>
          <w:szCs w:val="24"/>
        </w:rPr>
        <w:t>,</w:t>
      </w:r>
      <w:r w:rsidRPr="008B5D67">
        <w:rPr>
          <w:rFonts w:ascii="Times New Roman" w:eastAsia="Calibri" w:hAnsi="Times New Roman" w:cs="Times New Roman"/>
          <w:noProof/>
          <w:color w:val="000000" w:themeColor="text1"/>
          <w:sz w:val="24"/>
          <w:szCs w:val="24"/>
        </w:rPr>
        <w:t xml:space="preserve"> </w:t>
      </w:r>
      <w:r w:rsidRPr="005E61E8">
        <w:rPr>
          <w:rFonts w:ascii="Times New Roman" w:eastAsia="Calibri" w:hAnsi="Times New Roman" w:cs="Times New Roman"/>
          <w:noProof/>
          <w:color w:val="000000" w:themeColor="text1"/>
          <w:sz w:val="24"/>
          <w:szCs w:val="24"/>
        </w:rPr>
        <w:t>27 projects have been supported in 15 Member States</w:t>
      </w:r>
      <w:r>
        <w:rPr>
          <w:rFonts w:ascii="Times New Roman" w:eastAsia="Calibri" w:hAnsi="Times New Roman" w:cs="Times New Roman"/>
          <w:noProof/>
          <w:color w:val="000000" w:themeColor="text1"/>
          <w:sz w:val="24"/>
          <w:szCs w:val="24"/>
        </w:rPr>
        <w:t xml:space="preserve"> on </w:t>
      </w:r>
      <w:r>
        <w:rPr>
          <w:rFonts w:ascii="Times New Roman" w:eastAsiaTheme="minorEastAsia" w:hAnsi="Times New Roman" w:cs="Times New Roman"/>
          <w:noProof/>
          <w:sz w:val="24"/>
          <w:szCs w:val="24"/>
        </w:rPr>
        <w:t xml:space="preserve">the </w:t>
      </w:r>
      <w:r w:rsidRPr="008B5D67">
        <w:rPr>
          <w:rFonts w:ascii="Times New Roman" w:eastAsiaTheme="minorEastAsia" w:hAnsi="Times New Roman" w:cs="Times New Roman"/>
          <w:b/>
          <w:bCs/>
          <w:noProof/>
          <w:sz w:val="24"/>
          <w:szCs w:val="24"/>
        </w:rPr>
        <w:t>accessibility and digitalisation of justice</w:t>
      </w:r>
      <w:r w:rsidRPr="008B5D67">
        <w:rPr>
          <w:rFonts w:ascii="Times New Roman" w:eastAsiaTheme="minorEastAsia" w:hAnsi="Times New Roman" w:cs="Times New Roman"/>
          <w:noProof/>
          <w:sz w:val="24"/>
          <w:szCs w:val="24"/>
        </w:rPr>
        <w:t xml:space="preserve"> (online tools, legal aid, collection of data), </w:t>
      </w:r>
      <w:r w:rsidRPr="008B5D67">
        <w:rPr>
          <w:rFonts w:ascii="Times New Roman" w:eastAsiaTheme="minorEastAsia" w:hAnsi="Times New Roman" w:cs="Times New Roman"/>
          <w:b/>
          <w:bCs/>
          <w:noProof/>
          <w:sz w:val="24"/>
          <w:szCs w:val="24"/>
        </w:rPr>
        <w:t>alternative dispute resolutions</w:t>
      </w:r>
      <w:r w:rsidRPr="008B5D67">
        <w:rPr>
          <w:rFonts w:ascii="Times New Roman" w:eastAsiaTheme="minorEastAsia" w:hAnsi="Times New Roman" w:cs="Times New Roman"/>
          <w:noProof/>
          <w:sz w:val="24"/>
          <w:szCs w:val="24"/>
        </w:rPr>
        <w:t xml:space="preserve"> (mediation) and </w:t>
      </w:r>
      <w:r w:rsidRPr="008B5D67">
        <w:rPr>
          <w:rFonts w:ascii="Times New Roman" w:eastAsiaTheme="minorEastAsia" w:hAnsi="Times New Roman" w:cs="Times New Roman"/>
          <w:b/>
          <w:bCs/>
          <w:noProof/>
          <w:sz w:val="24"/>
          <w:szCs w:val="24"/>
        </w:rPr>
        <w:t xml:space="preserve">victim support. </w:t>
      </w:r>
      <w:r>
        <w:rPr>
          <w:rFonts w:ascii="Times New Roman" w:eastAsia="Calibri" w:hAnsi="Times New Roman" w:cs="Times New Roman"/>
          <w:noProof/>
          <w:sz w:val="24"/>
          <w:szCs w:val="24"/>
        </w:rPr>
        <w:t>P</w:t>
      </w:r>
      <w:r w:rsidRPr="008B5D67">
        <w:rPr>
          <w:rFonts w:ascii="Times New Roman" w:eastAsia="Calibri" w:hAnsi="Times New Roman" w:cs="Times New Roman"/>
          <w:noProof/>
          <w:sz w:val="24"/>
          <w:szCs w:val="24"/>
        </w:rPr>
        <w:t>rojects relate to cybersecurity, data</w:t>
      </w:r>
      <w:r>
        <w:rPr>
          <w:rFonts w:ascii="Times New Roman" w:eastAsia="Calibri" w:hAnsi="Times New Roman" w:cs="Times New Roman"/>
          <w:noProof/>
          <w:sz w:val="24"/>
          <w:szCs w:val="24"/>
        </w:rPr>
        <w:t xml:space="preserve"> collection</w:t>
      </w:r>
      <w:r w:rsidRPr="008B5D67">
        <w:rPr>
          <w:rFonts w:ascii="Times New Roman" w:eastAsia="Calibri" w:hAnsi="Times New Roman" w:cs="Times New Roman"/>
          <w:noProof/>
          <w:sz w:val="24"/>
          <w:szCs w:val="24"/>
        </w:rPr>
        <w:t xml:space="preserve">, </w:t>
      </w:r>
      <w:r w:rsidRPr="008B5D67">
        <w:rPr>
          <w:rFonts w:ascii="Times New Roman" w:hAnsi="Times New Roman" w:cs="Times New Roman"/>
          <w:noProof/>
          <w:sz w:val="24"/>
          <w:szCs w:val="24"/>
          <w:shd w:val="clear" w:color="auto" w:fill="FFFFFF"/>
        </w:rPr>
        <w:t>digital</w:t>
      </w:r>
      <w:r>
        <w:rPr>
          <w:rFonts w:ascii="Times New Roman" w:hAnsi="Times New Roman" w:cs="Times New Roman"/>
          <w:noProof/>
          <w:sz w:val="24"/>
          <w:szCs w:val="24"/>
          <w:shd w:val="clear" w:color="auto" w:fill="FFFFFF"/>
        </w:rPr>
        <w:t xml:space="preserve"> </w:t>
      </w:r>
      <w:r w:rsidRPr="008B5D67">
        <w:rPr>
          <w:rFonts w:ascii="Times New Roman" w:hAnsi="Times New Roman" w:cs="Times New Roman"/>
          <w:noProof/>
          <w:sz w:val="24"/>
          <w:szCs w:val="24"/>
          <w:shd w:val="clear" w:color="auto" w:fill="FFFFFF"/>
        </w:rPr>
        <w:t>handling of case workflow</w:t>
      </w:r>
      <w:r>
        <w:rPr>
          <w:rFonts w:ascii="Times New Roman" w:hAnsi="Times New Roman" w:cs="Times New Roman"/>
          <w:noProof/>
          <w:sz w:val="24"/>
          <w:szCs w:val="24"/>
          <w:shd w:val="clear" w:color="auto" w:fill="FFFFFF"/>
        </w:rPr>
        <w:t>s</w:t>
      </w:r>
      <w:r w:rsidRPr="008B5D67">
        <w:rPr>
          <w:rFonts w:ascii="Times New Roman" w:hAnsi="Times New Roman" w:cs="Times New Roman"/>
          <w:noProof/>
          <w:sz w:val="24"/>
          <w:szCs w:val="24"/>
          <w:shd w:val="clear" w:color="auto" w:fill="FFFFFF"/>
        </w:rPr>
        <w:t xml:space="preserve"> and evidence, as well as </w:t>
      </w:r>
      <w:r w:rsidRPr="008B5D67">
        <w:rPr>
          <w:rFonts w:ascii="Times New Roman" w:eastAsia="Calibri" w:hAnsi="Times New Roman" w:cs="Times New Roman"/>
          <w:noProof/>
          <w:sz w:val="24"/>
          <w:szCs w:val="24"/>
        </w:rPr>
        <w:t xml:space="preserve">increasing </w:t>
      </w:r>
      <w:r>
        <w:rPr>
          <w:rFonts w:ascii="Times New Roman" w:eastAsia="Calibri" w:hAnsi="Times New Roman" w:cs="Times New Roman"/>
          <w:noProof/>
          <w:sz w:val="24"/>
          <w:szCs w:val="24"/>
        </w:rPr>
        <w:t xml:space="preserve">the </w:t>
      </w:r>
      <w:r w:rsidRPr="008B5D67">
        <w:rPr>
          <w:rFonts w:ascii="Times New Roman" w:eastAsia="Calibri" w:hAnsi="Times New Roman" w:cs="Times New Roman"/>
          <w:noProof/>
          <w:sz w:val="24"/>
          <w:szCs w:val="24"/>
        </w:rPr>
        <w:t>transparency of judicial decisions.</w:t>
      </w:r>
      <w:r w:rsidRPr="008B5D67">
        <w:rPr>
          <w:rFonts w:ascii="Times New Roman" w:eastAsia="Calibri" w:hAnsi="Times New Roman" w:cs="Times New Roman"/>
          <w:b/>
          <w:bCs/>
          <w:noProof/>
          <w:color w:val="000000" w:themeColor="text1"/>
          <w:sz w:val="24"/>
          <w:szCs w:val="24"/>
        </w:rPr>
        <w:t xml:space="preserve"> </w:t>
      </w:r>
    </w:p>
    <w:tbl>
      <w:tblPr>
        <w:tblW w:w="9350" w:type="dxa"/>
        <w:tblCellMar>
          <w:left w:w="10" w:type="dxa"/>
          <w:right w:w="10" w:type="dxa"/>
        </w:tblCellMar>
        <w:tblLook w:val="04A0" w:firstRow="1" w:lastRow="0" w:firstColumn="1" w:lastColumn="0" w:noHBand="0" w:noVBand="1"/>
      </w:tblPr>
      <w:tblGrid>
        <w:gridCol w:w="9350"/>
      </w:tblGrid>
      <w:tr w:rsidR="002C0325" w:rsidRPr="00D1775C" w14:paraId="41943CBA" w14:textId="77777777" w:rsidTr="00352B78">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14E44" w14:textId="77777777" w:rsidR="002C0325" w:rsidRPr="00800B4B" w:rsidRDefault="002C0325" w:rsidP="00352B78">
            <w:pPr>
              <w:pStyle w:val="Style1"/>
              <w:spacing w:after="0"/>
              <w:rPr>
                <w:iCs/>
                <w:noProof/>
                <w:sz w:val="20"/>
                <w:szCs w:val="20"/>
              </w:rPr>
            </w:pPr>
            <w:r w:rsidRPr="00800B4B">
              <w:rPr>
                <w:b/>
                <w:bCs/>
                <w:iCs/>
                <w:noProof/>
                <w:sz w:val="20"/>
                <w:szCs w:val="20"/>
              </w:rPr>
              <w:t>Enhancing the national strategies and frameworks to support victims of crimes in Estonia, Portugal and Malta:</w:t>
            </w:r>
            <w:r w:rsidRPr="00800B4B">
              <w:rPr>
                <w:i/>
                <w:noProof/>
                <w:sz w:val="20"/>
                <w:szCs w:val="20"/>
              </w:rPr>
              <w:t xml:space="preserve"> </w:t>
            </w:r>
            <w:r w:rsidRPr="00800B4B">
              <w:rPr>
                <w:iCs/>
                <w:noProof/>
                <w:sz w:val="20"/>
                <w:szCs w:val="20"/>
              </w:rPr>
              <w:t>this project coordinated by Victim Support Europe supports three Member States in the establishment, implementation and strengthening of strategies and framework</w:t>
            </w:r>
            <w:r>
              <w:rPr>
                <w:iCs/>
                <w:noProof/>
                <w:sz w:val="20"/>
                <w:szCs w:val="20"/>
              </w:rPr>
              <w:t>s</w:t>
            </w:r>
            <w:r w:rsidRPr="00800B4B">
              <w:rPr>
                <w:iCs/>
                <w:noProof/>
                <w:sz w:val="20"/>
                <w:szCs w:val="20"/>
              </w:rPr>
              <w:t xml:space="preserve"> for victim support. The project aims to implement a unified strategy for the benefit of victims of all crimes, thus increasing reporting rates</w:t>
            </w:r>
            <w:r>
              <w:rPr>
                <w:iCs/>
                <w:noProof/>
                <w:sz w:val="20"/>
                <w:szCs w:val="20"/>
              </w:rPr>
              <w:t xml:space="preserve"> and</w:t>
            </w:r>
            <w:r w:rsidRPr="00800B4B">
              <w:rPr>
                <w:iCs/>
                <w:noProof/>
                <w:sz w:val="20"/>
                <w:szCs w:val="20"/>
              </w:rPr>
              <w:t xml:space="preserve"> reducing the detrimental impacts of crime in</w:t>
            </w:r>
            <w:r>
              <w:rPr>
                <w:iCs/>
                <w:noProof/>
                <w:sz w:val="20"/>
                <w:szCs w:val="20"/>
              </w:rPr>
              <w:t xml:space="preserve"> </w:t>
            </w:r>
            <w:r w:rsidRPr="00800B4B">
              <w:rPr>
                <w:iCs/>
                <w:noProof/>
                <w:sz w:val="20"/>
                <w:szCs w:val="20"/>
              </w:rPr>
              <w:t xml:space="preserve">victims’ lives and the overall costs for </w:t>
            </w:r>
            <w:r>
              <w:rPr>
                <w:iCs/>
                <w:noProof/>
                <w:sz w:val="20"/>
                <w:szCs w:val="20"/>
              </w:rPr>
              <w:t xml:space="preserve">the </w:t>
            </w:r>
            <w:r w:rsidRPr="00800B4B">
              <w:rPr>
                <w:iCs/>
                <w:noProof/>
                <w:sz w:val="20"/>
                <w:szCs w:val="20"/>
              </w:rPr>
              <w:t>society at large.</w:t>
            </w:r>
            <w:r w:rsidRPr="00800B4B">
              <w:rPr>
                <w:i/>
                <w:noProof/>
                <w:sz w:val="20"/>
                <w:szCs w:val="20"/>
              </w:rPr>
              <w:t xml:space="preserve"> </w:t>
            </w:r>
          </w:p>
        </w:tc>
      </w:tr>
    </w:tbl>
    <w:p w14:paraId="6EEA83FC" w14:textId="77777777" w:rsidR="002C0325" w:rsidRPr="00703C79" w:rsidRDefault="002C0325" w:rsidP="002C0325">
      <w:pPr>
        <w:spacing w:line="276" w:lineRule="auto"/>
        <w:jc w:val="both"/>
        <w:rPr>
          <w:rFonts w:ascii="Times New Roman" w:hAnsi="Times New Roman" w:cs="Times New Roman"/>
          <w:noProof/>
          <w:sz w:val="24"/>
          <w:szCs w:val="24"/>
        </w:rPr>
      </w:pPr>
    </w:p>
    <w:p w14:paraId="35D64146" w14:textId="77777777" w:rsidR="002C0325" w:rsidRDefault="002C0325" w:rsidP="002C0325">
      <w:pPr>
        <w:spacing w:line="276" w:lineRule="auto"/>
        <w:jc w:val="both"/>
        <w:rPr>
          <w:rFonts w:ascii="Times New Roman" w:hAnsi="Times New Roman" w:cs="Times New Roman"/>
          <w:noProof/>
          <w:sz w:val="24"/>
          <w:szCs w:val="24"/>
        </w:rPr>
      </w:pPr>
      <w:r w:rsidRPr="000B6BFA">
        <w:rPr>
          <w:rFonts w:ascii="Times New Roman" w:hAnsi="Times New Roman" w:cs="Times New Roman"/>
          <w:noProof/>
          <w:sz w:val="24"/>
          <w:szCs w:val="24"/>
        </w:rPr>
        <w:t>In addition, t</w:t>
      </w:r>
      <w:r w:rsidRPr="00703C79">
        <w:rPr>
          <w:rFonts w:ascii="Times New Roman" w:hAnsi="Times New Roman" w:cs="Times New Roman"/>
          <w:noProof/>
          <w:sz w:val="24"/>
          <w:szCs w:val="24"/>
        </w:rPr>
        <w:t>he</w:t>
      </w:r>
      <w:r w:rsidRPr="005670B1">
        <w:rPr>
          <w:rFonts w:ascii="Times New Roman" w:hAnsi="Times New Roman" w:cs="Times New Roman"/>
          <w:noProof/>
          <w:sz w:val="24"/>
          <w:szCs w:val="24"/>
        </w:rPr>
        <w:t xml:space="preserve"> </w:t>
      </w:r>
      <w:r w:rsidRPr="00B844BB">
        <w:rPr>
          <w:rFonts w:ascii="Times New Roman" w:hAnsi="Times New Roman" w:cs="Times New Roman"/>
          <w:b/>
          <w:bCs/>
          <w:noProof/>
          <w:sz w:val="24"/>
          <w:szCs w:val="24"/>
        </w:rPr>
        <w:t>InvestEU programme</w:t>
      </w:r>
      <w:r>
        <w:rPr>
          <w:rFonts w:ascii="Times New Roman" w:hAnsi="Times New Roman" w:cs="Times New Roman"/>
          <w:noProof/>
          <w:sz w:val="24"/>
          <w:szCs w:val="24"/>
        </w:rPr>
        <w:t xml:space="preserve"> </w:t>
      </w:r>
      <w:r w:rsidRPr="005670B1">
        <w:rPr>
          <w:rFonts w:ascii="Times New Roman" w:hAnsi="Times New Roman" w:cs="Times New Roman"/>
          <w:noProof/>
          <w:sz w:val="24"/>
          <w:szCs w:val="24"/>
        </w:rPr>
        <w:t>mobilises public and private investment for the EU</w:t>
      </w:r>
      <w:r>
        <w:rPr>
          <w:rFonts w:ascii="Times New Roman" w:hAnsi="Times New Roman" w:cs="Times New Roman"/>
          <w:noProof/>
          <w:sz w:val="24"/>
          <w:szCs w:val="24"/>
        </w:rPr>
        <w:t>’</w:t>
      </w:r>
      <w:r w:rsidRPr="005670B1">
        <w:rPr>
          <w:rFonts w:ascii="Times New Roman" w:hAnsi="Times New Roman" w:cs="Times New Roman"/>
          <w:noProof/>
          <w:sz w:val="24"/>
          <w:szCs w:val="24"/>
        </w:rPr>
        <w:t>s top policy priorities.</w:t>
      </w:r>
      <w:r>
        <w:rPr>
          <w:rFonts w:ascii="Times New Roman" w:hAnsi="Times New Roman" w:cs="Times New Roman"/>
          <w:noProof/>
          <w:sz w:val="24"/>
          <w:szCs w:val="24"/>
        </w:rPr>
        <w:t xml:space="preserve"> In particular, it</w:t>
      </w:r>
      <w:r w:rsidRPr="005670B1">
        <w:rPr>
          <w:rFonts w:ascii="Times New Roman" w:hAnsi="Times New Roman" w:cs="Times New Roman"/>
          <w:noProof/>
          <w:sz w:val="24"/>
          <w:szCs w:val="24"/>
        </w:rPr>
        <w:t xml:space="preserve">s </w:t>
      </w:r>
      <w:r w:rsidRPr="005670B1">
        <w:rPr>
          <w:rFonts w:ascii="Times New Roman" w:hAnsi="Times New Roman" w:cs="Times New Roman"/>
          <w:b/>
          <w:bCs/>
          <w:noProof/>
          <w:sz w:val="24"/>
          <w:szCs w:val="24"/>
        </w:rPr>
        <w:t>Social Investment and Skills window</w:t>
      </w:r>
      <w:r w:rsidRPr="005670B1">
        <w:rPr>
          <w:rStyle w:val="FootnoteReference"/>
          <w:noProof/>
        </w:rPr>
        <w:footnoteReference w:id="106"/>
      </w:r>
      <w:r w:rsidRPr="005670B1">
        <w:rPr>
          <w:rFonts w:ascii="Times New Roman" w:hAnsi="Times New Roman" w:cs="Times New Roman"/>
          <w:noProof/>
          <w:sz w:val="24"/>
          <w:szCs w:val="24"/>
        </w:rPr>
        <w:t xml:space="preserve"> contributes to the application of </w:t>
      </w:r>
      <w:r w:rsidRPr="00B102A1">
        <w:rPr>
          <w:rFonts w:ascii="Times New Roman" w:hAnsi="Times New Roman" w:cs="Times New Roman"/>
          <w:noProof/>
          <w:sz w:val="24"/>
          <w:szCs w:val="24"/>
        </w:rPr>
        <w:t>fundamental rights, such as health care,</w:t>
      </w:r>
      <w:r w:rsidRPr="005670B1">
        <w:rPr>
          <w:rFonts w:ascii="Times New Roman" w:hAnsi="Times New Roman" w:cs="Times New Roman"/>
          <w:noProof/>
          <w:sz w:val="24"/>
          <w:szCs w:val="24"/>
        </w:rPr>
        <w:t xml:space="preserve"> social se</w:t>
      </w:r>
      <w:r>
        <w:rPr>
          <w:rFonts w:ascii="Times New Roman" w:hAnsi="Times New Roman" w:cs="Times New Roman"/>
          <w:noProof/>
          <w:sz w:val="24"/>
          <w:szCs w:val="24"/>
        </w:rPr>
        <w:t>curity</w:t>
      </w:r>
      <w:r w:rsidRPr="005670B1">
        <w:rPr>
          <w:rFonts w:ascii="Times New Roman" w:hAnsi="Times New Roman" w:cs="Times New Roman"/>
          <w:noProof/>
          <w:sz w:val="24"/>
          <w:szCs w:val="24"/>
        </w:rPr>
        <w:t xml:space="preserve">, </w:t>
      </w:r>
      <w:r>
        <w:rPr>
          <w:rFonts w:ascii="Times New Roman" w:hAnsi="Times New Roman" w:cs="Times New Roman"/>
          <w:noProof/>
          <w:sz w:val="24"/>
          <w:szCs w:val="24"/>
        </w:rPr>
        <w:t xml:space="preserve">the right to </w:t>
      </w:r>
      <w:r w:rsidRPr="005670B1">
        <w:rPr>
          <w:rFonts w:ascii="Times New Roman" w:hAnsi="Times New Roman" w:cs="Times New Roman"/>
          <w:noProof/>
          <w:sz w:val="24"/>
          <w:szCs w:val="24"/>
        </w:rPr>
        <w:t>education</w:t>
      </w:r>
      <w:r>
        <w:rPr>
          <w:rFonts w:ascii="Times New Roman" w:hAnsi="Times New Roman" w:cs="Times New Roman"/>
          <w:noProof/>
          <w:sz w:val="24"/>
          <w:szCs w:val="24"/>
        </w:rPr>
        <w:t>,</w:t>
      </w:r>
      <w:r w:rsidRPr="005670B1">
        <w:rPr>
          <w:rFonts w:ascii="Times New Roman" w:hAnsi="Times New Roman" w:cs="Times New Roman"/>
          <w:noProof/>
          <w:sz w:val="24"/>
          <w:szCs w:val="24"/>
        </w:rPr>
        <w:t xml:space="preserve"> equality</w:t>
      </w:r>
      <w:r>
        <w:rPr>
          <w:rFonts w:ascii="Times New Roman" w:hAnsi="Times New Roman" w:cs="Times New Roman"/>
          <w:noProof/>
          <w:sz w:val="24"/>
          <w:szCs w:val="24"/>
        </w:rPr>
        <w:t xml:space="preserve"> between women and men,</w:t>
      </w:r>
      <w:r w:rsidRPr="005670B1">
        <w:rPr>
          <w:rFonts w:ascii="Times New Roman" w:hAnsi="Times New Roman" w:cs="Times New Roman"/>
          <w:noProof/>
          <w:sz w:val="24"/>
          <w:szCs w:val="24"/>
        </w:rPr>
        <w:t xml:space="preserve"> </w:t>
      </w:r>
      <w:r>
        <w:rPr>
          <w:rFonts w:ascii="Times New Roman" w:hAnsi="Times New Roman" w:cs="Times New Roman"/>
          <w:noProof/>
          <w:sz w:val="24"/>
          <w:szCs w:val="24"/>
        </w:rPr>
        <w:t>and</w:t>
      </w:r>
      <w:r w:rsidRPr="005670B1">
        <w:rPr>
          <w:rFonts w:ascii="Times New Roman" w:hAnsi="Times New Roman" w:cs="Times New Roman"/>
          <w:noProof/>
          <w:sz w:val="24"/>
          <w:szCs w:val="24"/>
        </w:rPr>
        <w:t xml:space="preserve"> the integration of persons with disabilities</w:t>
      </w:r>
      <w:r>
        <w:rPr>
          <w:rFonts w:ascii="Times New Roman" w:hAnsi="Times New Roman" w:cs="Times New Roman"/>
          <w:noProof/>
          <w:sz w:val="24"/>
          <w:szCs w:val="24"/>
        </w:rPr>
        <w:t xml:space="preserve">. </w:t>
      </w:r>
      <w:r w:rsidRPr="00800B4B">
        <w:rPr>
          <w:rFonts w:ascii="Times New Roman" w:hAnsi="Times New Roman" w:cs="Times New Roman"/>
          <w:noProof/>
          <w:sz w:val="24"/>
          <w:szCs w:val="24"/>
        </w:rPr>
        <w:t xml:space="preserve">Investments are made </w:t>
      </w:r>
      <w:r>
        <w:rPr>
          <w:rFonts w:ascii="Times New Roman" w:hAnsi="Times New Roman" w:cs="Times New Roman"/>
          <w:noProof/>
          <w:sz w:val="24"/>
          <w:szCs w:val="24"/>
        </w:rPr>
        <w:t>on</w:t>
      </w:r>
      <w:r w:rsidRPr="005670B1">
        <w:rPr>
          <w:rFonts w:ascii="Times New Roman" w:hAnsi="Times New Roman" w:cs="Times New Roman"/>
          <w:noProof/>
          <w:sz w:val="24"/>
          <w:szCs w:val="24"/>
        </w:rPr>
        <w:t xml:space="preserve"> </w:t>
      </w:r>
      <w:r w:rsidRPr="00800B4B">
        <w:rPr>
          <w:rFonts w:ascii="Times New Roman" w:hAnsi="Times New Roman" w:cs="Times New Roman"/>
          <w:noProof/>
          <w:sz w:val="24"/>
          <w:szCs w:val="24"/>
        </w:rPr>
        <w:t>social infrastructure</w:t>
      </w:r>
      <w:r w:rsidRPr="005670B1">
        <w:rPr>
          <w:rFonts w:ascii="Times New Roman" w:hAnsi="Times New Roman" w:cs="Times New Roman"/>
          <w:noProof/>
          <w:sz w:val="24"/>
          <w:szCs w:val="24"/>
        </w:rPr>
        <w:t xml:space="preserve"> (including affordable social housing, health and education infrastructure) and financing </w:t>
      </w:r>
      <w:r>
        <w:rPr>
          <w:rFonts w:ascii="Times New Roman" w:hAnsi="Times New Roman" w:cs="Times New Roman"/>
          <w:noProof/>
          <w:sz w:val="24"/>
          <w:szCs w:val="24"/>
        </w:rPr>
        <w:t xml:space="preserve">is </w:t>
      </w:r>
      <w:r w:rsidRPr="005670B1">
        <w:rPr>
          <w:rFonts w:ascii="Times New Roman" w:hAnsi="Times New Roman" w:cs="Times New Roman"/>
          <w:noProof/>
          <w:sz w:val="24"/>
          <w:szCs w:val="24"/>
        </w:rPr>
        <w:t>directed</w:t>
      </w:r>
      <w:r w:rsidRPr="00180F94">
        <w:rPr>
          <w:rFonts w:ascii="Times New Roman" w:hAnsi="Times New Roman" w:cs="Times New Roman"/>
          <w:noProof/>
          <w:sz w:val="24"/>
          <w:szCs w:val="24"/>
        </w:rPr>
        <w:t xml:space="preserve"> to </w:t>
      </w:r>
      <w:r w:rsidRPr="005670B1">
        <w:rPr>
          <w:rFonts w:ascii="Times New Roman" w:hAnsi="Times New Roman" w:cs="Times New Roman"/>
          <w:noProof/>
          <w:sz w:val="24"/>
          <w:szCs w:val="24"/>
        </w:rPr>
        <w:t>measures to promote gender equality, the integration of vulnerable people and the inclusion of and accessibility for persons with disabilities. Microfinance, ethical and social finance</w:t>
      </w:r>
      <w:r>
        <w:rPr>
          <w:rFonts w:ascii="Times New Roman" w:hAnsi="Times New Roman" w:cs="Times New Roman"/>
          <w:noProof/>
          <w:sz w:val="24"/>
          <w:szCs w:val="24"/>
        </w:rPr>
        <w:t xml:space="preserve"> moreover</w:t>
      </w:r>
      <w:r w:rsidRPr="00180F94">
        <w:rPr>
          <w:rFonts w:ascii="Times New Roman" w:hAnsi="Times New Roman" w:cs="Times New Roman"/>
          <w:noProof/>
          <w:sz w:val="24"/>
          <w:szCs w:val="24"/>
        </w:rPr>
        <w:t xml:space="preserve"> promote entrepreneurship and the social economy with a focus on most vulnerable groups.</w:t>
      </w:r>
      <w:r>
        <w:rPr>
          <w:rFonts w:ascii="Times New Roman" w:hAnsi="Times New Roman" w:cs="Times New Roman"/>
          <w:noProof/>
          <w:sz w:val="24"/>
          <w:szCs w:val="24"/>
        </w:rPr>
        <w:t xml:space="preserve"> In the field of</w:t>
      </w:r>
      <w:r w:rsidRPr="00180F94">
        <w:rPr>
          <w:rFonts w:ascii="Times New Roman" w:hAnsi="Times New Roman" w:cs="Times New Roman"/>
          <w:noProof/>
          <w:sz w:val="24"/>
          <w:szCs w:val="24"/>
        </w:rPr>
        <w:t xml:space="preserve"> environmental protection, InvestEU supports </w:t>
      </w:r>
      <w:r w:rsidRPr="00180F94">
        <w:rPr>
          <w:rFonts w:ascii="Times New Roman" w:hAnsi="Times New Roman" w:cs="Times New Roman"/>
          <w:b/>
          <w:bCs/>
          <w:noProof/>
          <w:sz w:val="24"/>
          <w:szCs w:val="24"/>
        </w:rPr>
        <w:t>sustainable investment and the green transition</w:t>
      </w:r>
      <w:r w:rsidRPr="00180F94">
        <w:rPr>
          <w:rFonts w:ascii="Times New Roman" w:hAnsi="Times New Roman" w:cs="Times New Roman"/>
          <w:noProof/>
          <w:sz w:val="24"/>
          <w:szCs w:val="24"/>
        </w:rPr>
        <w:t xml:space="preserve"> with a dedicated Sustainable Infrastructure Window</w:t>
      </w:r>
      <w:r>
        <w:rPr>
          <w:rStyle w:val="FootnoteReference"/>
          <w:noProof/>
        </w:rPr>
        <w:footnoteReference w:id="107"/>
      </w:r>
      <w:r w:rsidRPr="00180F94">
        <w:rPr>
          <w:rFonts w:ascii="Times New Roman" w:hAnsi="Times New Roman" w:cs="Times New Roman"/>
          <w:noProof/>
          <w:sz w:val="24"/>
          <w:szCs w:val="24"/>
        </w:rPr>
        <w:t>.</w:t>
      </w:r>
    </w:p>
    <w:p w14:paraId="7792F577" w14:textId="77777777" w:rsidR="002C0325" w:rsidRDefault="002C0325" w:rsidP="002C0325">
      <w:pPr>
        <w:pStyle w:val="Headerlevel2"/>
        <w:rPr>
          <w:szCs w:val="24"/>
        </w:rPr>
      </w:pPr>
      <w:r w:rsidRPr="004E0204">
        <w:t xml:space="preserve">EU </w:t>
      </w:r>
      <w:r>
        <w:t>f</w:t>
      </w:r>
      <w:r w:rsidRPr="004E0204">
        <w:t>unds covered by the Common Provisions Regulation</w:t>
      </w:r>
    </w:p>
    <w:p w14:paraId="5BDFCAAB" w14:textId="77777777" w:rsidR="002C0325" w:rsidRPr="00DD374B" w:rsidRDefault="002C0325" w:rsidP="002C0325">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Between </w:t>
      </w:r>
      <w:r w:rsidRPr="007043D0">
        <w:rPr>
          <w:rFonts w:ascii="Times New Roman" w:hAnsi="Times New Roman" w:cs="Times New Roman"/>
          <w:noProof/>
          <w:sz w:val="24"/>
          <w:szCs w:val="24"/>
        </w:rPr>
        <w:t>2021</w:t>
      </w:r>
      <w:r>
        <w:rPr>
          <w:rFonts w:ascii="Times New Roman" w:hAnsi="Times New Roman" w:cs="Times New Roman"/>
          <w:noProof/>
          <w:sz w:val="24"/>
          <w:szCs w:val="24"/>
        </w:rPr>
        <w:t xml:space="preserve"> and </w:t>
      </w:r>
      <w:r w:rsidRPr="007043D0">
        <w:rPr>
          <w:rFonts w:ascii="Times New Roman" w:hAnsi="Times New Roman" w:cs="Times New Roman"/>
          <w:noProof/>
          <w:sz w:val="24"/>
          <w:szCs w:val="24"/>
        </w:rPr>
        <w:t>2027</w:t>
      </w:r>
      <w:r>
        <w:rPr>
          <w:rFonts w:ascii="Times New Roman" w:hAnsi="Times New Roman" w:cs="Times New Roman"/>
          <w:noProof/>
          <w:sz w:val="24"/>
          <w:szCs w:val="24"/>
        </w:rPr>
        <w:t>, f</w:t>
      </w:r>
      <w:r w:rsidRPr="007043D0">
        <w:rPr>
          <w:rFonts w:ascii="Times New Roman" w:hAnsi="Times New Roman" w:cs="Times New Roman"/>
          <w:noProof/>
          <w:sz w:val="24"/>
          <w:szCs w:val="24"/>
        </w:rPr>
        <w:t xml:space="preserve">undamental rights are protected </w:t>
      </w:r>
      <w:r>
        <w:rPr>
          <w:rFonts w:ascii="Times New Roman" w:hAnsi="Times New Roman" w:cs="Times New Roman"/>
          <w:noProof/>
          <w:sz w:val="24"/>
          <w:szCs w:val="24"/>
        </w:rPr>
        <w:t xml:space="preserve">and </w:t>
      </w:r>
      <w:r w:rsidRPr="007043D0">
        <w:rPr>
          <w:rFonts w:ascii="Times New Roman" w:hAnsi="Times New Roman" w:cs="Times New Roman"/>
          <w:noProof/>
          <w:sz w:val="24"/>
          <w:szCs w:val="24"/>
        </w:rPr>
        <w:t xml:space="preserve">promoted </w:t>
      </w:r>
      <w:r>
        <w:rPr>
          <w:rFonts w:ascii="Times New Roman" w:hAnsi="Times New Roman" w:cs="Times New Roman"/>
          <w:noProof/>
          <w:sz w:val="24"/>
          <w:szCs w:val="24"/>
        </w:rPr>
        <w:t xml:space="preserve">through support from </w:t>
      </w:r>
      <w:r w:rsidRPr="007043D0">
        <w:rPr>
          <w:rFonts w:ascii="Times New Roman" w:hAnsi="Times New Roman" w:cs="Times New Roman"/>
          <w:noProof/>
          <w:sz w:val="24"/>
          <w:szCs w:val="24"/>
        </w:rPr>
        <w:t xml:space="preserve">the </w:t>
      </w:r>
      <w:r>
        <w:rPr>
          <w:rFonts w:ascii="Times New Roman" w:hAnsi="Times New Roman" w:cs="Times New Roman"/>
          <w:noProof/>
          <w:sz w:val="24"/>
          <w:szCs w:val="24"/>
        </w:rPr>
        <w:t xml:space="preserve">EU funds covered by the </w:t>
      </w:r>
      <w:r w:rsidRPr="007043D0">
        <w:rPr>
          <w:rFonts w:ascii="Times New Roman" w:hAnsi="Times New Roman" w:cs="Times New Roman"/>
          <w:noProof/>
          <w:sz w:val="24"/>
          <w:szCs w:val="24"/>
        </w:rPr>
        <w:t>Common Provisions Regulation (CPR</w:t>
      </w:r>
      <w:r>
        <w:rPr>
          <w:rFonts w:ascii="Times New Roman" w:hAnsi="Times New Roman" w:cs="Times New Roman"/>
          <w:noProof/>
          <w:sz w:val="24"/>
          <w:szCs w:val="24"/>
        </w:rPr>
        <w:t xml:space="preserve"> funds</w:t>
      </w:r>
      <w:r w:rsidRPr="007043D0">
        <w:rPr>
          <w:rFonts w:ascii="Times New Roman" w:hAnsi="Times New Roman" w:cs="Times New Roman"/>
          <w:noProof/>
          <w:sz w:val="24"/>
          <w:szCs w:val="24"/>
        </w:rPr>
        <w:t>)</w:t>
      </w:r>
      <w:r>
        <w:rPr>
          <w:rFonts w:ascii="Times New Roman" w:hAnsi="Times New Roman" w:cs="Times New Roman"/>
          <w:noProof/>
          <w:sz w:val="24"/>
          <w:szCs w:val="24"/>
        </w:rPr>
        <w:t xml:space="preserve">, </w:t>
      </w:r>
      <w:r w:rsidRPr="009475FF">
        <w:rPr>
          <w:rFonts w:ascii="Times New Roman" w:hAnsi="Times New Roman" w:cs="Times New Roman"/>
          <w:noProof/>
          <w:sz w:val="24"/>
          <w:szCs w:val="24"/>
        </w:rPr>
        <w:t xml:space="preserve">each </w:t>
      </w:r>
      <w:r>
        <w:rPr>
          <w:rFonts w:ascii="Times New Roman" w:hAnsi="Times New Roman" w:cs="Times New Roman"/>
          <w:noProof/>
          <w:sz w:val="24"/>
          <w:szCs w:val="24"/>
        </w:rPr>
        <w:t>of which covers</w:t>
      </w:r>
      <w:r w:rsidRPr="009475FF">
        <w:rPr>
          <w:rFonts w:ascii="Times New Roman" w:hAnsi="Times New Roman" w:cs="Times New Roman"/>
          <w:noProof/>
          <w:sz w:val="24"/>
          <w:szCs w:val="24"/>
        </w:rPr>
        <w:t xml:space="preserve"> </w:t>
      </w:r>
      <w:r>
        <w:rPr>
          <w:rFonts w:ascii="Times New Roman" w:hAnsi="Times New Roman" w:cs="Times New Roman"/>
          <w:noProof/>
          <w:sz w:val="24"/>
          <w:szCs w:val="24"/>
        </w:rPr>
        <w:t>a</w:t>
      </w:r>
      <w:r w:rsidRPr="009475FF">
        <w:rPr>
          <w:rFonts w:ascii="Times New Roman" w:hAnsi="Times New Roman" w:cs="Times New Roman"/>
          <w:noProof/>
          <w:sz w:val="24"/>
          <w:szCs w:val="24"/>
        </w:rPr>
        <w:t xml:space="preserve"> specific field</w:t>
      </w:r>
      <w:r>
        <w:rPr>
          <w:rFonts w:ascii="Times New Roman" w:hAnsi="Times New Roman" w:cs="Times New Roman"/>
          <w:noProof/>
          <w:sz w:val="24"/>
          <w:szCs w:val="24"/>
        </w:rPr>
        <w:t xml:space="preserve"> of EU policy</w:t>
      </w:r>
      <w:r w:rsidRPr="009475FF">
        <w:rPr>
          <w:rFonts w:ascii="Times New Roman" w:hAnsi="Times New Roman" w:cs="Times New Roman"/>
          <w:noProof/>
          <w:sz w:val="24"/>
          <w:szCs w:val="24"/>
        </w:rPr>
        <w:t>.</w:t>
      </w:r>
      <w:r>
        <w:rPr>
          <w:rFonts w:ascii="Times New Roman" w:hAnsi="Times New Roman" w:cs="Times New Roman"/>
          <w:noProof/>
          <w:sz w:val="24"/>
          <w:szCs w:val="24"/>
        </w:rPr>
        <w:t xml:space="preserve"> Member States need to ensure that the design and implementation of the programmes supported from these funds are in line with the Charter throughout the programming period</w:t>
      </w:r>
      <w:r>
        <w:rPr>
          <w:rStyle w:val="FootnoteReference"/>
          <w:noProof/>
        </w:rPr>
        <w:footnoteReference w:id="108"/>
      </w:r>
      <w:r>
        <w:rPr>
          <w:rFonts w:ascii="Times New Roman" w:hAnsi="Times New Roman" w:cs="Times New Roman"/>
          <w:noProof/>
          <w:sz w:val="24"/>
          <w:szCs w:val="24"/>
        </w:rPr>
        <w:t xml:space="preserve">. </w:t>
      </w:r>
    </w:p>
    <w:tbl>
      <w:tblPr>
        <w:tblStyle w:val="TableGrid"/>
        <w:tblW w:w="0" w:type="auto"/>
        <w:tblLook w:val="04A0" w:firstRow="1" w:lastRow="0" w:firstColumn="1" w:lastColumn="0" w:noHBand="0" w:noVBand="1"/>
      </w:tblPr>
      <w:tblGrid>
        <w:gridCol w:w="9062"/>
      </w:tblGrid>
      <w:tr w:rsidR="002C0325" w14:paraId="408BABEF" w14:textId="77777777" w:rsidTr="00352B78">
        <w:tc>
          <w:tcPr>
            <w:tcW w:w="9062" w:type="dxa"/>
          </w:tcPr>
          <w:p w14:paraId="336EE673" w14:textId="77777777" w:rsidR="002C0325" w:rsidRDefault="002C0325" w:rsidP="00352B78">
            <w:pPr>
              <w:spacing w:line="276" w:lineRule="auto"/>
              <w:jc w:val="both"/>
              <w:rPr>
                <w:rFonts w:ascii="Times New Roman" w:hAnsi="Times New Roman" w:cs="Times New Roman"/>
                <w:noProof/>
                <w:sz w:val="24"/>
                <w:szCs w:val="24"/>
              </w:rPr>
            </w:pPr>
            <w:r w:rsidRPr="000B6BFA">
              <w:rPr>
                <w:rFonts w:ascii="Times New Roman" w:hAnsi="Times New Roman" w:cs="Times New Roman"/>
                <w:b/>
                <w:bCs/>
                <w:noProof/>
                <w:sz w:val="20"/>
                <w:szCs w:val="20"/>
              </w:rPr>
              <w:t>The CPR covers eight EU funds</w:t>
            </w:r>
            <w:r w:rsidRPr="009D2379">
              <w:rPr>
                <w:rFonts w:ascii="Times New Roman" w:hAnsi="Times New Roman" w:cs="Times New Roman"/>
                <w:noProof/>
                <w:sz w:val="20"/>
                <w:szCs w:val="20"/>
              </w:rPr>
              <w:t>, namely the European Regional Development Fund (ERDF); European Social Fund Plus (ESF+); Cohesion Fund (CF); Just Transition Fund (JTF);</w:t>
            </w:r>
            <w:r>
              <w:rPr>
                <w:rFonts w:ascii="Times New Roman" w:hAnsi="Times New Roman" w:cs="Times New Roman"/>
                <w:noProof/>
                <w:sz w:val="20"/>
                <w:szCs w:val="20"/>
              </w:rPr>
              <w:t xml:space="preserve"> the European Maritime, Fisheries and Aquaculture Fund (EMFAF);</w:t>
            </w:r>
            <w:r w:rsidRPr="009D2379">
              <w:rPr>
                <w:rFonts w:ascii="Times New Roman" w:hAnsi="Times New Roman" w:cs="Times New Roman"/>
                <w:noProof/>
                <w:sz w:val="20"/>
                <w:szCs w:val="20"/>
              </w:rPr>
              <w:t xml:space="preserve"> Asylum and Migration Fund (AMIF); Internal Security Fund (ISF); and the Border Management and Visa Instrument (BMVI) (CPR Funds).</w:t>
            </w:r>
          </w:p>
        </w:tc>
      </w:tr>
    </w:tbl>
    <w:p w14:paraId="494FC7B7" w14:textId="77777777" w:rsidR="002C0325" w:rsidRPr="00DD374B" w:rsidRDefault="002C0325" w:rsidP="002C0325">
      <w:pPr>
        <w:widowControl w:val="0"/>
        <w:spacing w:before="240" w:line="276" w:lineRule="auto"/>
        <w:jc w:val="both"/>
        <w:rPr>
          <w:rFonts w:ascii="Times New Roman" w:hAnsi="Times New Roman" w:cs="Times New Roman"/>
          <w:noProof/>
          <w:sz w:val="24"/>
          <w:szCs w:val="24"/>
        </w:rPr>
      </w:pPr>
      <w:r w:rsidRPr="007A5BDC">
        <w:rPr>
          <w:rFonts w:ascii="Times New Roman" w:hAnsi="Times New Roman"/>
          <w:noProof/>
          <w:sz w:val="24"/>
          <w:szCs w:val="24"/>
        </w:rPr>
        <w:t>Several</w:t>
      </w:r>
      <w:r w:rsidRPr="009475FF">
        <w:rPr>
          <w:rFonts w:ascii="Times New Roman" w:hAnsi="Times New Roman" w:cs="Times New Roman"/>
          <w:noProof/>
          <w:sz w:val="24"/>
          <w:szCs w:val="24"/>
        </w:rPr>
        <w:t xml:space="preserve"> CPR </w:t>
      </w:r>
      <w:r>
        <w:rPr>
          <w:rFonts w:ascii="Times New Roman" w:hAnsi="Times New Roman" w:cs="Times New Roman"/>
          <w:noProof/>
          <w:sz w:val="24"/>
          <w:szCs w:val="24"/>
        </w:rPr>
        <w:t>f</w:t>
      </w:r>
      <w:r w:rsidRPr="009475FF">
        <w:rPr>
          <w:rFonts w:ascii="Times New Roman" w:hAnsi="Times New Roman" w:cs="Times New Roman"/>
          <w:noProof/>
          <w:sz w:val="24"/>
          <w:szCs w:val="24"/>
        </w:rPr>
        <w:t>unds support</w:t>
      </w:r>
      <w:r>
        <w:rPr>
          <w:rFonts w:ascii="Times New Roman" w:hAnsi="Times New Roman" w:cs="Times New Roman"/>
          <w:noProof/>
          <w:sz w:val="24"/>
          <w:szCs w:val="24"/>
        </w:rPr>
        <w:t xml:space="preserve"> </w:t>
      </w:r>
      <w:r w:rsidRPr="009475FF">
        <w:rPr>
          <w:rFonts w:ascii="Times New Roman" w:hAnsi="Times New Roman" w:cs="Times New Roman"/>
          <w:noProof/>
          <w:sz w:val="24"/>
          <w:szCs w:val="24"/>
        </w:rPr>
        <w:t xml:space="preserve">the </w:t>
      </w:r>
      <w:r>
        <w:rPr>
          <w:rFonts w:ascii="Times New Roman" w:hAnsi="Times New Roman" w:cs="Times New Roman"/>
          <w:noProof/>
          <w:sz w:val="24"/>
          <w:szCs w:val="24"/>
        </w:rPr>
        <w:t>implementation of</w:t>
      </w:r>
      <w:r w:rsidRPr="009475FF">
        <w:rPr>
          <w:rFonts w:ascii="Times New Roman" w:hAnsi="Times New Roman" w:cs="Times New Roman"/>
          <w:noProof/>
          <w:sz w:val="24"/>
          <w:szCs w:val="24"/>
        </w:rPr>
        <w:t xml:space="preserve"> the </w:t>
      </w:r>
      <w:r w:rsidRPr="000B6BFA">
        <w:rPr>
          <w:rFonts w:ascii="Times New Roman" w:hAnsi="Times New Roman" w:cs="Times New Roman"/>
          <w:b/>
          <w:bCs/>
          <w:noProof/>
          <w:sz w:val="24"/>
          <w:szCs w:val="24"/>
        </w:rPr>
        <w:t>migration and home affairs policies</w:t>
      </w:r>
      <w:r>
        <w:rPr>
          <w:rFonts w:ascii="Times New Roman" w:hAnsi="Times New Roman" w:cs="Times New Roman"/>
          <w:noProof/>
          <w:sz w:val="24"/>
          <w:szCs w:val="24"/>
        </w:rPr>
        <w:t>. Initiatives financed from</w:t>
      </w:r>
      <w:r w:rsidDel="00A2164F">
        <w:rPr>
          <w:rFonts w:ascii="Times New Roman" w:hAnsi="Times New Roman" w:cs="Times New Roman"/>
          <w:noProof/>
          <w:sz w:val="24"/>
          <w:szCs w:val="24"/>
        </w:rPr>
        <w:t xml:space="preserve"> </w:t>
      </w:r>
      <w:r>
        <w:rPr>
          <w:rFonts w:ascii="Times New Roman" w:hAnsi="Times New Roman" w:cs="Times New Roman"/>
          <w:noProof/>
          <w:sz w:val="24"/>
          <w:szCs w:val="24"/>
        </w:rPr>
        <w:t xml:space="preserve">the </w:t>
      </w:r>
      <w:r w:rsidRPr="009475FF">
        <w:rPr>
          <w:rFonts w:ascii="Times New Roman" w:hAnsi="Times New Roman" w:cs="Times New Roman"/>
          <w:noProof/>
          <w:sz w:val="24"/>
          <w:szCs w:val="24"/>
        </w:rPr>
        <w:t>AMIF</w:t>
      </w:r>
      <w:r>
        <w:rPr>
          <w:rStyle w:val="FootnoteReference"/>
          <w:noProof/>
        </w:rPr>
        <w:footnoteReference w:id="109"/>
      </w:r>
      <w:r w:rsidRPr="009475FF">
        <w:rPr>
          <w:rFonts w:ascii="Times New Roman" w:hAnsi="Times New Roman" w:cs="Times New Roman"/>
          <w:noProof/>
          <w:sz w:val="24"/>
          <w:szCs w:val="24"/>
        </w:rPr>
        <w:t>, ISF</w:t>
      </w:r>
      <w:r>
        <w:rPr>
          <w:rStyle w:val="FootnoteReference"/>
          <w:noProof/>
        </w:rPr>
        <w:footnoteReference w:id="110"/>
      </w:r>
      <w:r w:rsidRPr="009475FF">
        <w:rPr>
          <w:rFonts w:ascii="Times New Roman" w:hAnsi="Times New Roman" w:cs="Times New Roman"/>
          <w:noProof/>
          <w:sz w:val="24"/>
          <w:szCs w:val="24"/>
        </w:rPr>
        <w:t xml:space="preserve"> and BMVI</w:t>
      </w:r>
      <w:r>
        <w:rPr>
          <w:rStyle w:val="FootnoteReference"/>
          <w:noProof/>
        </w:rPr>
        <w:footnoteReference w:id="111"/>
      </w:r>
      <w:r w:rsidRPr="009475FF">
        <w:rPr>
          <w:rFonts w:ascii="Times New Roman" w:hAnsi="Times New Roman" w:cs="Times New Roman"/>
          <w:noProof/>
          <w:sz w:val="24"/>
          <w:szCs w:val="24"/>
        </w:rPr>
        <w:t xml:space="preserve"> </w:t>
      </w:r>
      <w:r>
        <w:rPr>
          <w:rFonts w:ascii="Times New Roman" w:hAnsi="Times New Roman" w:cs="Times New Roman"/>
          <w:noProof/>
          <w:sz w:val="24"/>
          <w:szCs w:val="24"/>
        </w:rPr>
        <w:t xml:space="preserve">promote the application of several fundamental rights, such as </w:t>
      </w:r>
      <w:r w:rsidRPr="009475FF">
        <w:rPr>
          <w:rFonts w:ascii="Times New Roman" w:hAnsi="Times New Roman" w:cs="Times New Roman"/>
          <w:noProof/>
          <w:sz w:val="24"/>
          <w:szCs w:val="24"/>
        </w:rPr>
        <w:t>the right to asylum</w:t>
      </w:r>
      <w:r w:rsidRPr="009475FF">
        <w:rPr>
          <w:rFonts w:ascii="Times New Roman" w:hAnsi="Times New Roman" w:cs="Times New Roman"/>
          <w:noProof/>
          <w:sz w:val="24"/>
          <w:szCs w:val="24"/>
          <w:vertAlign w:val="superscript"/>
        </w:rPr>
        <w:footnoteReference w:id="112"/>
      </w:r>
      <w:r w:rsidRPr="009475FF">
        <w:rPr>
          <w:rFonts w:ascii="Times New Roman" w:hAnsi="Times New Roman" w:cs="Times New Roman"/>
          <w:noProof/>
          <w:sz w:val="24"/>
          <w:szCs w:val="24"/>
        </w:rPr>
        <w:t xml:space="preserve"> </w:t>
      </w:r>
      <w:r>
        <w:rPr>
          <w:rFonts w:ascii="Times New Roman" w:hAnsi="Times New Roman" w:cs="Times New Roman"/>
          <w:noProof/>
          <w:sz w:val="24"/>
          <w:szCs w:val="24"/>
        </w:rPr>
        <w:t xml:space="preserve">and </w:t>
      </w:r>
      <w:r w:rsidRPr="009475FF">
        <w:rPr>
          <w:rFonts w:ascii="Times New Roman" w:hAnsi="Times New Roman" w:cs="Times New Roman"/>
          <w:noProof/>
          <w:sz w:val="24"/>
          <w:szCs w:val="24"/>
        </w:rPr>
        <w:t xml:space="preserve">the rights of </w:t>
      </w:r>
      <w:r>
        <w:rPr>
          <w:rFonts w:ascii="Times New Roman" w:hAnsi="Times New Roman" w:cs="Times New Roman"/>
          <w:noProof/>
          <w:sz w:val="24"/>
          <w:szCs w:val="24"/>
        </w:rPr>
        <w:t>the child</w:t>
      </w:r>
      <w:r w:rsidRPr="009475FF">
        <w:rPr>
          <w:rFonts w:ascii="Times New Roman" w:hAnsi="Times New Roman" w:cs="Times New Roman"/>
          <w:noProof/>
          <w:sz w:val="24"/>
          <w:szCs w:val="24"/>
          <w:vertAlign w:val="superscript"/>
        </w:rPr>
        <w:footnoteReference w:id="113"/>
      </w:r>
      <w:r>
        <w:rPr>
          <w:rFonts w:ascii="Times New Roman" w:hAnsi="Times New Roman" w:cs="Times New Roman"/>
          <w:noProof/>
          <w:sz w:val="24"/>
          <w:szCs w:val="24"/>
        </w:rPr>
        <w:t>. Funded initiatives also support the provision</w:t>
      </w:r>
      <w:r w:rsidRPr="009475FF">
        <w:rPr>
          <w:rFonts w:ascii="Times New Roman" w:hAnsi="Times New Roman" w:cs="Times New Roman"/>
          <w:noProof/>
          <w:sz w:val="24"/>
          <w:szCs w:val="24"/>
        </w:rPr>
        <w:t xml:space="preserve"> of protection against trafficking</w:t>
      </w:r>
      <w:r>
        <w:rPr>
          <w:rFonts w:ascii="Times New Roman" w:hAnsi="Times New Roman" w:cs="Times New Roman"/>
          <w:noProof/>
          <w:sz w:val="24"/>
          <w:szCs w:val="24"/>
        </w:rPr>
        <w:t xml:space="preserve"> in human beings</w:t>
      </w:r>
      <w:r w:rsidRPr="009475FF">
        <w:rPr>
          <w:rFonts w:ascii="Times New Roman" w:hAnsi="Times New Roman" w:cs="Times New Roman"/>
          <w:noProof/>
          <w:sz w:val="24"/>
          <w:szCs w:val="24"/>
        </w:rPr>
        <w:t xml:space="preserve">, </w:t>
      </w:r>
      <w:r>
        <w:rPr>
          <w:rFonts w:ascii="Times New Roman" w:hAnsi="Times New Roman" w:cs="Times New Roman"/>
          <w:noProof/>
          <w:sz w:val="24"/>
          <w:szCs w:val="24"/>
        </w:rPr>
        <w:t>including for the purposes of</w:t>
      </w:r>
      <w:r w:rsidRPr="009475FF">
        <w:rPr>
          <w:rFonts w:ascii="Times New Roman" w:hAnsi="Times New Roman" w:cs="Times New Roman"/>
          <w:noProof/>
          <w:sz w:val="24"/>
          <w:szCs w:val="24"/>
        </w:rPr>
        <w:t xml:space="preserve"> labour </w:t>
      </w:r>
      <w:r>
        <w:rPr>
          <w:rFonts w:ascii="Times New Roman" w:hAnsi="Times New Roman" w:cs="Times New Roman"/>
          <w:noProof/>
          <w:sz w:val="24"/>
          <w:szCs w:val="24"/>
        </w:rPr>
        <w:t>or</w:t>
      </w:r>
      <w:r w:rsidRPr="009475FF">
        <w:rPr>
          <w:rFonts w:ascii="Times New Roman" w:hAnsi="Times New Roman" w:cs="Times New Roman"/>
          <w:noProof/>
          <w:sz w:val="24"/>
          <w:szCs w:val="24"/>
        </w:rPr>
        <w:t xml:space="preserve"> sexual exploitation</w:t>
      </w:r>
      <w:r w:rsidRPr="009475FF">
        <w:rPr>
          <w:rFonts w:ascii="Times New Roman" w:hAnsi="Times New Roman" w:cs="Times New Roman"/>
          <w:noProof/>
          <w:sz w:val="24"/>
          <w:szCs w:val="24"/>
          <w:vertAlign w:val="superscript"/>
        </w:rPr>
        <w:footnoteReference w:id="114"/>
      </w:r>
      <w:r>
        <w:rPr>
          <w:rFonts w:ascii="Times New Roman" w:hAnsi="Times New Roman" w:cs="Times New Roman"/>
          <w:noProof/>
          <w:sz w:val="24"/>
          <w:szCs w:val="24"/>
        </w:rPr>
        <w:t>.</w:t>
      </w:r>
      <w:r w:rsidRPr="009475FF">
        <w:rPr>
          <w:rFonts w:ascii="Times New Roman" w:hAnsi="Times New Roman" w:cs="Times New Roman"/>
          <w:noProof/>
          <w:sz w:val="24"/>
          <w:szCs w:val="24"/>
        </w:rPr>
        <w:t xml:space="preserve"> </w:t>
      </w:r>
    </w:p>
    <w:tbl>
      <w:tblPr>
        <w:tblStyle w:val="TableGrid"/>
        <w:tblW w:w="0" w:type="auto"/>
        <w:tblLook w:val="04A0" w:firstRow="1" w:lastRow="0" w:firstColumn="1" w:lastColumn="0" w:noHBand="0" w:noVBand="1"/>
      </w:tblPr>
      <w:tblGrid>
        <w:gridCol w:w="9062"/>
      </w:tblGrid>
      <w:tr w:rsidR="002C0325" w14:paraId="73A6D6A5" w14:textId="77777777" w:rsidTr="00352B78">
        <w:tc>
          <w:tcPr>
            <w:tcW w:w="9062" w:type="dxa"/>
          </w:tcPr>
          <w:p w14:paraId="14AD93CC" w14:textId="77777777" w:rsidR="002C0325" w:rsidRDefault="002C0325" w:rsidP="00352B78">
            <w:pPr>
              <w:spacing w:line="276" w:lineRule="auto"/>
              <w:jc w:val="both"/>
              <w:rPr>
                <w:rFonts w:ascii="Times New Roman" w:hAnsi="Times New Roman" w:cs="Times New Roman"/>
                <w:noProof/>
                <w:sz w:val="20"/>
                <w:szCs w:val="20"/>
              </w:rPr>
            </w:pPr>
            <w:r w:rsidRPr="000B6BFA">
              <w:rPr>
                <w:rFonts w:ascii="Times New Roman" w:hAnsi="Times New Roman" w:cs="Times New Roman"/>
                <w:noProof/>
                <w:sz w:val="20"/>
                <w:szCs w:val="20"/>
              </w:rPr>
              <w:t xml:space="preserve">The </w:t>
            </w:r>
            <w:r w:rsidRPr="000B6BFA">
              <w:rPr>
                <w:rFonts w:ascii="Times New Roman" w:hAnsi="Times New Roman" w:cs="Times New Roman"/>
                <w:b/>
                <w:bCs/>
                <w:noProof/>
                <w:sz w:val="20"/>
                <w:szCs w:val="20"/>
              </w:rPr>
              <w:t>IMPROV-EU-project</w:t>
            </w:r>
            <w:r w:rsidRPr="000B6BFA">
              <w:rPr>
                <w:rFonts w:ascii="Times New Roman" w:hAnsi="Times New Roman" w:cs="Times New Roman"/>
                <w:noProof/>
                <w:sz w:val="20"/>
                <w:szCs w:val="20"/>
              </w:rPr>
              <w:t xml:space="preserve"> aims to develop a protocol to streamline the implementation of provisions related to the respect of fundamental rights of persons in vulnerable situations who cross the EU’s external borders. The </w:t>
            </w:r>
            <w:r w:rsidRPr="000B6BFA">
              <w:rPr>
                <w:rFonts w:ascii="Times New Roman" w:hAnsi="Times New Roman" w:cs="Times New Roman"/>
                <w:b/>
                <w:bCs/>
                <w:noProof/>
                <w:sz w:val="20"/>
                <w:szCs w:val="20"/>
              </w:rPr>
              <w:t>Rightlines project</w:t>
            </w:r>
            <w:r w:rsidRPr="000B6BFA">
              <w:rPr>
                <w:rFonts w:ascii="Times New Roman" w:hAnsi="Times New Roman" w:cs="Times New Roman"/>
                <w:noProof/>
                <w:sz w:val="20"/>
                <w:szCs w:val="20"/>
              </w:rPr>
              <w:t xml:space="preserve"> works to strengthen fundamental rights protection at the Greek and Cypriot borders</w:t>
            </w:r>
            <w:r>
              <w:rPr>
                <w:rFonts w:ascii="Times New Roman" w:hAnsi="Times New Roman" w:cs="Times New Roman"/>
                <w:noProof/>
                <w:sz w:val="20"/>
                <w:szCs w:val="20"/>
              </w:rPr>
              <w:t xml:space="preserve"> </w:t>
            </w:r>
            <w:r w:rsidRPr="000B6BFA">
              <w:rPr>
                <w:rStyle w:val="FootnoteReference"/>
                <w:noProof/>
                <w:sz w:val="20"/>
                <w:szCs w:val="20"/>
              </w:rPr>
              <w:footnoteReference w:id="115"/>
            </w:r>
            <w:r>
              <w:rPr>
                <w:rFonts w:ascii="Times New Roman" w:hAnsi="Times New Roman" w:cs="Times New Roman"/>
                <w:noProof/>
                <w:sz w:val="20"/>
                <w:szCs w:val="20"/>
              </w:rPr>
              <w:t>.</w:t>
            </w:r>
          </w:p>
          <w:p w14:paraId="620BA431" w14:textId="77777777" w:rsidR="002C0325" w:rsidRPr="000B6BFA" w:rsidRDefault="002C0325" w:rsidP="00352B78">
            <w:pPr>
              <w:spacing w:line="276" w:lineRule="auto"/>
              <w:jc w:val="both"/>
              <w:rPr>
                <w:rFonts w:ascii="Times New Roman" w:hAnsi="Times New Roman" w:cs="Times New Roman"/>
                <w:noProof/>
                <w:sz w:val="20"/>
                <w:szCs w:val="20"/>
              </w:rPr>
            </w:pPr>
            <w:r w:rsidRPr="005042C0">
              <w:rPr>
                <w:rFonts w:ascii="Times New Roman" w:hAnsi="Times New Roman" w:cs="Times New Roman"/>
                <w:noProof/>
                <w:sz w:val="20"/>
                <w:szCs w:val="20"/>
              </w:rPr>
              <w:t xml:space="preserve">The </w:t>
            </w:r>
            <w:r w:rsidRPr="000B6BFA">
              <w:rPr>
                <w:rFonts w:ascii="Times New Roman" w:hAnsi="Times New Roman" w:cs="Times New Roman"/>
                <w:b/>
                <w:noProof/>
                <w:sz w:val="20"/>
                <w:szCs w:val="20"/>
              </w:rPr>
              <w:t>CSAPE-project</w:t>
            </w:r>
            <w:r w:rsidRPr="005042C0">
              <w:rPr>
                <w:rFonts w:ascii="Times New Roman" w:hAnsi="Times New Roman" w:cs="Times New Roman"/>
                <w:noProof/>
                <w:sz w:val="20"/>
                <w:szCs w:val="20"/>
              </w:rPr>
              <w:t xml:space="preserve"> focuses on empowering children with information and helping young at-risk individuals</w:t>
            </w:r>
            <w:r w:rsidRPr="000B6BFA">
              <w:rPr>
                <w:rStyle w:val="FootnoteReference"/>
                <w:noProof/>
                <w:sz w:val="20"/>
                <w:szCs w:val="20"/>
              </w:rPr>
              <w:footnoteReference w:id="116"/>
            </w:r>
            <w:r w:rsidRPr="00FA2E2D">
              <w:rPr>
                <w:rFonts w:ascii="Times New Roman" w:hAnsi="Times New Roman" w:cs="Times New Roman"/>
                <w:noProof/>
                <w:sz w:val="20"/>
                <w:szCs w:val="20"/>
              </w:rPr>
              <w:t>.</w:t>
            </w:r>
            <w:r w:rsidRPr="000B6BFA">
              <w:rPr>
                <w:rFonts w:ascii="Times New Roman" w:hAnsi="Times New Roman" w:cs="Times New Roman"/>
                <w:noProof/>
              </w:rPr>
              <w:t xml:space="preserve"> </w:t>
            </w:r>
          </w:p>
        </w:tc>
      </w:tr>
    </w:tbl>
    <w:p w14:paraId="628578E4" w14:textId="77777777" w:rsidR="002C0325" w:rsidRPr="004C1AC1" w:rsidRDefault="002C0325" w:rsidP="002C0325">
      <w:pPr>
        <w:widowControl w:val="0"/>
        <w:spacing w:before="240" w:line="276" w:lineRule="auto"/>
        <w:jc w:val="both"/>
        <w:rPr>
          <w:noProof/>
        </w:rPr>
      </w:pPr>
      <w:r w:rsidRPr="007A5BDC">
        <w:rPr>
          <w:rFonts w:ascii="Times New Roman" w:eastAsia="Calibri" w:hAnsi="Times New Roman" w:cs="Times New Roman"/>
          <w:noProof/>
          <w:color w:val="000000" w:themeColor="text1"/>
          <w:sz w:val="24"/>
          <w:szCs w:val="24"/>
        </w:rPr>
        <w:t>The</w:t>
      </w:r>
      <w:r w:rsidRPr="00AB17F3">
        <w:rPr>
          <w:rFonts w:ascii="Times New Roman" w:hAnsi="Times New Roman" w:cs="Times New Roman"/>
          <w:noProof/>
          <w:sz w:val="24"/>
          <w:szCs w:val="24"/>
        </w:rPr>
        <w:t xml:space="preserve"> </w:t>
      </w:r>
      <w:r w:rsidRPr="000E0515">
        <w:rPr>
          <w:rFonts w:ascii="Times New Roman" w:hAnsi="Times New Roman" w:cs="Times New Roman"/>
          <w:b/>
          <w:bCs/>
          <w:noProof/>
          <w:sz w:val="24"/>
          <w:szCs w:val="24"/>
        </w:rPr>
        <w:t>European Maritime, Fisheries and Aquaculture Fund</w:t>
      </w:r>
      <w:r w:rsidRPr="00AB17F3">
        <w:rPr>
          <w:rFonts w:ascii="Times New Roman" w:hAnsi="Times New Roman" w:cs="Times New Roman"/>
          <w:noProof/>
          <w:sz w:val="24"/>
          <w:szCs w:val="24"/>
        </w:rPr>
        <w:t xml:space="preserve"> (EMFAF) supports projects on ensuring the sustainable use of aquatic and maritime resources. </w:t>
      </w:r>
      <w:r>
        <w:rPr>
          <w:rFonts w:ascii="Times New Roman" w:hAnsi="Times New Roman" w:cs="Times New Roman"/>
          <w:noProof/>
          <w:sz w:val="24"/>
          <w:szCs w:val="24"/>
        </w:rPr>
        <w:t>There have been t</w:t>
      </w:r>
      <w:r w:rsidRPr="008F587E">
        <w:rPr>
          <w:rFonts w:ascii="Times New Roman" w:hAnsi="Times New Roman" w:cs="Times New Roman"/>
          <w:noProof/>
          <w:sz w:val="24"/>
          <w:szCs w:val="24"/>
        </w:rPr>
        <w:t>wo calls for proposals for ‘Women in the Blue Economy’ to increase the participation and empowerment of women in fisheries, aquaculture, shipbuilding, and maritime transport.</w:t>
      </w:r>
    </w:p>
    <w:p w14:paraId="357BB3E5" w14:textId="77777777" w:rsidR="002C0325" w:rsidRDefault="002C0325" w:rsidP="002C0325">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T</w:t>
      </w:r>
      <w:r w:rsidRPr="009475FF">
        <w:rPr>
          <w:rFonts w:ascii="Times New Roman" w:hAnsi="Times New Roman" w:cs="Times New Roman"/>
          <w:noProof/>
          <w:sz w:val="24"/>
          <w:szCs w:val="24"/>
        </w:rPr>
        <w:t>he</w:t>
      </w:r>
      <w:r>
        <w:rPr>
          <w:rFonts w:ascii="Times New Roman" w:hAnsi="Times New Roman" w:cs="Times New Roman"/>
          <w:noProof/>
          <w:sz w:val="24"/>
          <w:szCs w:val="24"/>
        </w:rPr>
        <w:t xml:space="preserve"> </w:t>
      </w:r>
      <w:r w:rsidRPr="000B6BFA">
        <w:rPr>
          <w:rFonts w:ascii="Times New Roman" w:hAnsi="Times New Roman" w:cs="Times New Roman"/>
          <w:b/>
          <w:bCs/>
          <w:noProof/>
          <w:sz w:val="24"/>
          <w:szCs w:val="24"/>
        </w:rPr>
        <w:t>cohesion policy funds</w:t>
      </w:r>
      <w:r w:rsidRPr="009475FF">
        <w:rPr>
          <w:rFonts w:ascii="Times New Roman" w:hAnsi="Times New Roman" w:cs="Times New Roman"/>
          <w:noProof/>
          <w:sz w:val="24"/>
          <w:szCs w:val="24"/>
        </w:rPr>
        <w:t xml:space="preserve">, </w:t>
      </w:r>
      <w:r>
        <w:rPr>
          <w:rFonts w:ascii="Times New Roman" w:hAnsi="Times New Roman" w:cs="Times New Roman"/>
          <w:noProof/>
          <w:sz w:val="24"/>
          <w:szCs w:val="24"/>
        </w:rPr>
        <w:t>through</w:t>
      </w:r>
      <w:r w:rsidRPr="005F1ABD">
        <w:rPr>
          <w:noProof/>
        </w:rPr>
        <w:t xml:space="preserve"> </w:t>
      </w:r>
      <w:r w:rsidRPr="005F1ABD">
        <w:rPr>
          <w:rFonts w:ascii="Times New Roman" w:hAnsi="Times New Roman" w:cs="Times New Roman"/>
          <w:noProof/>
          <w:sz w:val="24"/>
          <w:szCs w:val="24"/>
        </w:rPr>
        <w:t xml:space="preserve">the European Social Fund Plus </w:t>
      </w:r>
      <w:r>
        <w:rPr>
          <w:rFonts w:ascii="Times New Roman" w:hAnsi="Times New Roman" w:cs="Times New Roman"/>
          <w:noProof/>
          <w:sz w:val="24"/>
          <w:szCs w:val="24"/>
        </w:rPr>
        <w:t>(</w:t>
      </w:r>
      <w:r w:rsidRPr="009475FF">
        <w:rPr>
          <w:rFonts w:ascii="Times New Roman" w:hAnsi="Times New Roman" w:cs="Times New Roman"/>
          <w:noProof/>
          <w:sz w:val="24"/>
          <w:szCs w:val="24"/>
        </w:rPr>
        <w:t>ESF+</w:t>
      </w:r>
      <w:r>
        <w:rPr>
          <w:rFonts w:ascii="Times New Roman" w:hAnsi="Times New Roman" w:cs="Times New Roman"/>
          <w:noProof/>
          <w:sz w:val="24"/>
          <w:szCs w:val="24"/>
        </w:rPr>
        <w:t>)</w:t>
      </w:r>
      <w:r>
        <w:rPr>
          <w:rStyle w:val="FootnoteReference"/>
          <w:noProof/>
        </w:rPr>
        <w:footnoteReference w:id="117"/>
      </w:r>
      <w:r w:rsidRPr="009475FF">
        <w:rPr>
          <w:rFonts w:ascii="Times New Roman" w:hAnsi="Times New Roman" w:cs="Times New Roman"/>
          <w:noProof/>
          <w:sz w:val="24"/>
          <w:szCs w:val="24"/>
        </w:rPr>
        <w:t xml:space="preserve"> and </w:t>
      </w:r>
      <w:r w:rsidRPr="005F1ABD">
        <w:rPr>
          <w:rFonts w:ascii="Times New Roman" w:hAnsi="Times New Roman" w:cs="Times New Roman"/>
          <w:noProof/>
          <w:sz w:val="24"/>
          <w:szCs w:val="24"/>
        </w:rPr>
        <w:t>European Regional Development Fund (ERDF)</w:t>
      </w:r>
      <w:r w:rsidRPr="00AB6D25">
        <w:rPr>
          <w:rStyle w:val="FootnoteReference"/>
          <w:noProof/>
        </w:rPr>
        <w:footnoteReference w:id="118"/>
      </w:r>
      <w:r>
        <w:rPr>
          <w:rFonts w:ascii="Times New Roman" w:hAnsi="Times New Roman" w:cs="Times New Roman"/>
          <w:noProof/>
          <w:sz w:val="24"/>
          <w:szCs w:val="24"/>
        </w:rPr>
        <w:t xml:space="preserve">, </w:t>
      </w:r>
      <w:r w:rsidRPr="009475FF">
        <w:rPr>
          <w:rFonts w:ascii="Times New Roman" w:hAnsi="Times New Roman" w:cs="Times New Roman"/>
          <w:noProof/>
          <w:sz w:val="24"/>
          <w:szCs w:val="24"/>
        </w:rPr>
        <w:t xml:space="preserve">promote </w:t>
      </w:r>
      <w:r>
        <w:rPr>
          <w:rFonts w:ascii="Times New Roman" w:hAnsi="Times New Roman" w:cs="Times New Roman"/>
          <w:noProof/>
          <w:sz w:val="24"/>
          <w:szCs w:val="24"/>
        </w:rPr>
        <w:t xml:space="preserve">for instance </w:t>
      </w:r>
      <w:r w:rsidRPr="009475FF">
        <w:rPr>
          <w:rFonts w:ascii="Times New Roman" w:hAnsi="Times New Roman" w:cs="Times New Roman"/>
          <w:noProof/>
          <w:sz w:val="24"/>
          <w:szCs w:val="24"/>
        </w:rPr>
        <w:t>the</w:t>
      </w:r>
      <w:r>
        <w:rPr>
          <w:rFonts w:ascii="Times New Roman" w:hAnsi="Times New Roman" w:cs="Times New Roman"/>
          <w:noProof/>
          <w:sz w:val="24"/>
          <w:szCs w:val="24"/>
        </w:rPr>
        <w:t xml:space="preserve"> application of the</w:t>
      </w:r>
      <w:r w:rsidRPr="009475FF">
        <w:rPr>
          <w:rFonts w:ascii="Times New Roman" w:hAnsi="Times New Roman" w:cs="Times New Roman"/>
          <w:noProof/>
          <w:sz w:val="24"/>
          <w:szCs w:val="24"/>
        </w:rPr>
        <w:t xml:space="preserve"> right to education</w:t>
      </w:r>
      <w:r>
        <w:rPr>
          <w:rFonts w:ascii="Times New Roman" w:hAnsi="Times New Roman" w:cs="Times New Roman"/>
          <w:noProof/>
          <w:sz w:val="24"/>
          <w:szCs w:val="24"/>
        </w:rPr>
        <w:t xml:space="preserve"> and to health, the rights of the elderly, </w:t>
      </w:r>
      <w:r w:rsidRPr="009475FF">
        <w:rPr>
          <w:rFonts w:ascii="Times New Roman" w:hAnsi="Times New Roman" w:cs="Times New Roman"/>
          <w:noProof/>
          <w:sz w:val="24"/>
          <w:szCs w:val="24"/>
        </w:rPr>
        <w:t>equality between</w:t>
      </w:r>
      <w:r>
        <w:rPr>
          <w:rFonts w:ascii="Times New Roman" w:hAnsi="Times New Roman" w:cs="Times New Roman"/>
          <w:noProof/>
          <w:sz w:val="24"/>
          <w:szCs w:val="24"/>
        </w:rPr>
        <w:t xml:space="preserve"> women and</w:t>
      </w:r>
      <w:r w:rsidRPr="009475FF">
        <w:rPr>
          <w:rFonts w:ascii="Times New Roman" w:hAnsi="Times New Roman" w:cs="Times New Roman"/>
          <w:noProof/>
          <w:sz w:val="24"/>
          <w:szCs w:val="24"/>
        </w:rPr>
        <w:t xml:space="preserve"> men, </w:t>
      </w:r>
      <w:r>
        <w:rPr>
          <w:rFonts w:ascii="Times New Roman" w:hAnsi="Times New Roman" w:cs="Times New Roman"/>
          <w:noProof/>
          <w:sz w:val="24"/>
          <w:szCs w:val="24"/>
        </w:rPr>
        <w:t>and integration</w:t>
      </w:r>
      <w:r w:rsidRPr="009475FF">
        <w:rPr>
          <w:rFonts w:ascii="Times New Roman" w:hAnsi="Times New Roman" w:cs="Times New Roman"/>
          <w:noProof/>
          <w:sz w:val="24"/>
          <w:szCs w:val="24"/>
        </w:rPr>
        <w:t xml:space="preserve"> of persons with disabilities.</w:t>
      </w:r>
    </w:p>
    <w:tbl>
      <w:tblPr>
        <w:tblStyle w:val="TableGrid"/>
        <w:tblW w:w="0" w:type="auto"/>
        <w:tblLook w:val="04A0" w:firstRow="1" w:lastRow="0" w:firstColumn="1" w:lastColumn="0" w:noHBand="0" w:noVBand="1"/>
      </w:tblPr>
      <w:tblGrid>
        <w:gridCol w:w="9062"/>
      </w:tblGrid>
      <w:tr w:rsidR="002C0325" w14:paraId="0827F4D5" w14:textId="77777777" w:rsidTr="00352B78">
        <w:tc>
          <w:tcPr>
            <w:tcW w:w="9062" w:type="dxa"/>
          </w:tcPr>
          <w:p w14:paraId="65B135B3" w14:textId="77777777" w:rsidR="002C0325" w:rsidRPr="00BA77DF" w:rsidRDefault="002C0325" w:rsidP="00352B78">
            <w:pPr>
              <w:pStyle w:val="FootnoteText"/>
              <w:jc w:val="both"/>
              <w:rPr>
                <w:noProof/>
              </w:rPr>
            </w:pPr>
            <w:r w:rsidRPr="000B6BFA">
              <w:rPr>
                <w:noProof/>
              </w:rPr>
              <w:t xml:space="preserve">The </w:t>
            </w:r>
            <w:r w:rsidRPr="00986E86">
              <w:rPr>
                <w:b/>
                <w:bCs/>
                <w:noProof/>
              </w:rPr>
              <w:t>e-Schools</w:t>
            </w:r>
            <w:r w:rsidRPr="000353FF">
              <w:rPr>
                <w:b/>
                <w:bCs/>
                <w:noProof/>
              </w:rPr>
              <w:t>-</w:t>
            </w:r>
            <w:r w:rsidRPr="000B6BFA">
              <w:rPr>
                <w:b/>
                <w:bCs/>
                <w:noProof/>
              </w:rPr>
              <w:t>project</w:t>
            </w:r>
            <w:r w:rsidRPr="000B6BFA">
              <w:rPr>
                <w:rStyle w:val="FootnoteReference"/>
                <w:noProof/>
                <w:sz w:val="20"/>
              </w:rPr>
              <w:footnoteReference w:id="119"/>
            </w:r>
            <w:r w:rsidRPr="000B6BFA">
              <w:rPr>
                <w:b/>
                <w:bCs/>
                <w:noProof/>
              </w:rPr>
              <w:t xml:space="preserve"> </w:t>
            </w:r>
            <w:r w:rsidRPr="000B6BFA">
              <w:rPr>
                <w:noProof/>
              </w:rPr>
              <w:t>increased digital competences and the use of ICT in teaching and learning in 147 schools by providing ICT equipment and digital education tools for primary and secondary schools in Croatia.</w:t>
            </w:r>
          </w:p>
          <w:p w14:paraId="5A66083D" w14:textId="77777777" w:rsidR="002C0325" w:rsidRPr="000B6BFA" w:rsidRDefault="002C0325" w:rsidP="00352B78">
            <w:pPr>
              <w:spacing w:line="276" w:lineRule="auto"/>
              <w:jc w:val="both"/>
              <w:rPr>
                <w:rFonts w:ascii="Times New Roman" w:hAnsi="Times New Roman" w:cs="Times New Roman"/>
                <w:noProof/>
                <w:sz w:val="20"/>
                <w:szCs w:val="20"/>
                <w:lang w:val="en-IE"/>
              </w:rPr>
            </w:pPr>
          </w:p>
          <w:p w14:paraId="175701CD" w14:textId="77777777" w:rsidR="002C0325" w:rsidRDefault="002C0325" w:rsidP="00352B78">
            <w:pPr>
              <w:spacing w:line="276" w:lineRule="auto"/>
              <w:jc w:val="both"/>
              <w:rPr>
                <w:rFonts w:ascii="Times New Roman" w:hAnsi="Times New Roman" w:cs="Times New Roman"/>
                <w:noProof/>
                <w:sz w:val="20"/>
                <w:szCs w:val="20"/>
              </w:rPr>
            </w:pPr>
            <w:r>
              <w:rPr>
                <w:rFonts w:ascii="Times New Roman" w:hAnsi="Times New Roman" w:cs="Times New Roman"/>
                <w:noProof/>
                <w:sz w:val="20"/>
                <w:szCs w:val="20"/>
              </w:rPr>
              <w:t>T</w:t>
            </w:r>
            <w:r w:rsidRPr="000B6BFA">
              <w:rPr>
                <w:rFonts w:ascii="Times New Roman" w:hAnsi="Times New Roman" w:cs="Times New Roman"/>
                <w:noProof/>
                <w:sz w:val="20"/>
                <w:szCs w:val="20"/>
              </w:rPr>
              <w:t xml:space="preserve">he </w:t>
            </w:r>
            <w:r w:rsidRPr="00986E86">
              <w:rPr>
                <w:rFonts w:ascii="Times New Roman" w:hAnsi="Times New Roman" w:cs="Times New Roman"/>
                <w:b/>
                <w:bCs/>
                <w:noProof/>
                <w:sz w:val="20"/>
                <w:szCs w:val="20"/>
              </w:rPr>
              <w:t>Proximity Mobile Healthcare Units</w:t>
            </w:r>
            <w:r w:rsidRPr="000B6BFA">
              <w:rPr>
                <w:rFonts w:ascii="Times New Roman" w:hAnsi="Times New Roman" w:cs="Times New Roman"/>
                <w:b/>
                <w:bCs/>
                <w:noProof/>
                <w:sz w:val="20"/>
                <w:szCs w:val="20"/>
              </w:rPr>
              <w:t>-project</w:t>
            </w:r>
            <w:r w:rsidRPr="000B6BFA">
              <w:rPr>
                <w:rStyle w:val="FootnoteReference"/>
                <w:noProof/>
                <w:sz w:val="20"/>
                <w:szCs w:val="20"/>
              </w:rPr>
              <w:footnoteReference w:id="120"/>
            </w:r>
            <w:r w:rsidRPr="000B6BFA">
              <w:rPr>
                <w:rFonts w:ascii="Times New Roman" w:hAnsi="Times New Roman" w:cs="Times New Roman"/>
                <w:noProof/>
                <w:sz w:val="20"/>
                <w:szCs w:val="20"/>
              </w:rPr>
              <w:t xml:space="preserve"> promot</w:t>
            </w:r>
            <w:r>
              <w:rPr>
                <w:rFonts w:ascii="Times New Roman" w:hAnsi="Times New Roman" w:cs="Times New Roman"/>
                <w:noProof/>
                <w:sz w:val="20"/>
                <w:szCs w:val="20"/>
              </w:rPr>
              <w:t>ed</w:t>
            </w:r>
            <w:r w:rsidRPr="000B6BFA">
              <w:rPr>
                <w:rFonts w:ascii="Times New Roman" w:hAnsi="Times New Roman" w:cs="Times New Roman"/>
                <w:noProof/>
                <w:sz w:val="20"/>
                <w:szCs w:val="20"/>
              </w:rPr>
              <w:t xml:space="preserve"> social inclusion and reduce</w:t>
            </w:r>
            <w:r>
              <w:rPr>
                <w:rFonts w:ascii="Times New Roman" w:hAnsi="Times New Roman" w:cs="Times New Roman"/>
                <w:noProof/>
                <w:sz w:val="20"/>
                <w:szCs w:val="20"/>
              </w:rPr>
              <w:t>d</w:t>
            </w:r>
            <w:r w:rsidRPr="000B6BFA">
              <w:rPr>
                <w:rFonts w:ascii="Times New Roman" w:hAnsi="Times New Roman" w:cs="Times New Roman"/>
                <w:noProof/>
                <w:sz w:val="20"/>
                <w:szCs w:val="20"/>
              </w:rPr>
              <w:t xml:space="preserve"> inequalities </w:t>
            </w:r>
            <w:r>
              <w:rPr>
                <w:rFonts w:ascii="Times New Roman" w:hAnsi="Times New Roman" w:cs="Times New Roman"/>
                <w:noProof/>
                <w:sz w:val="20"/>
                <w:szCs w:val="20"/>
              </w:rPr>
              <w:t xml:space="preserve">by deploying </w:t>
            </w:r>
            <w:r w:rsidRPr="000B6BFA">
              <w:rPr>
                <w:rFonts w:ascii="Times New Roman" w:hAnsi="Times New Roman" w:cs="Times New Roman"/>
                <w:noProof/>
                <w:sz w:val="20"/>
                <w:szCs w:val="20"/>
              </w:rPr>
              <w:t>mobile healthcare units to increase the accessibility of preventative care</w:t>
            </w:r>
            <w:r>
              <w:rPr>
                <w:rFonts w:ascii="Times New Roman" w:hAnsi="Times New Roman" w:cs="Times New Roman"/>
                <w:noProof/>
                <w:sz w:val="20"/>
                <w:szCs w:val="20"/>
              </w:rPr>
              <w:t xml:space="preserve">, </w:t>
            </w:r>
            <w:r w:rsidRPr="000B6BFA">
              <w:rPr>
                <w:rFonts w:ascii="Times New Roman" w:hAnsi="Times New Roman" w:cs="Times New Roman"/>
                <w:noProof/>
                <w:sz w:val="20"/>
                <w:szCs w:val="20"/>
              </w:rPr>
              <w:t>disease diagnosis and monitoring in the Algarve region.</w:t>
            </w:r>
          </w:p>
          <w:p w14:paraId="7FECCFB0" w14:textId="77777777" w:rsidR="002C0325" w:rsidRPr="00BA77DF" w:rsidRDefault="002C0325" w:rsidP="00352B78">
            <w:pPr>
              <w:spacing w:line="276" w:lineRule="auto"/>
              <w:jc w:val="both"/>
              <w:rPr>
                <w:rFonts w:ascii="Times New Roman" w:hAnsi="Times New Roman" w:cs="Times New Roman"/>
                <w:noProof/>
                <w:sz w:val="20"/>
                <w:szCs w:val="20"/>
              </w:rPr>
            </w:pPr>
          </w:p>
          <w:p w14:paraId="3AE8984F" w14:textId="77777777" w:rsidR="002C0325" w:rsidRDefault="002C0325" w:rsidP="00352B78">
            <w:pPr>
              <w:spacing w:line="276" w:lineRule="auto"/>
              <w:jc w:val="both"/>
              <w:rPr>
                <w:rFonts w:ascii="Times New Roman" w:hAnsi="Times New Roman" w:cs="Times New Roman"/>
                <w:noProof/>
                <w:sz w:val="24"/>
                <w:szCs w:val="24"/>
              </w:rPr>
            </w:pPr>
            <w:r w:rsidRPr="00F462E1">
              <w:rPr>
                <w:rFonts w:ascii="Times New Roman" w:hAnsi="Times New Roman" w:cs="Times New Roman"/>
                <w:noProof/>
                <w:sz w:val="20"/>
                <w:szCs w:val="20"/>
              </w:rPr>
              <w:t xml:space="preserve">The </w:t>
            </w:r>
            <w:r w:rsidRPr="003226BB">
              <w:rPr>
                <w:rFonts w:ascii="Times New Roman" w:hAnsi="Times New Roman" w:cs="Times New Roman"/>
                <w:noProof/>
                <w:sz w:val="20"/>
                <w:szCs w:val="20"/>
              </w:rPr>
              <w:t>Commission</w:t>
            </w:r>
            <w:r w:rsidRPr="00F462E1">
              <w:rPr>
                <w:rFonts w:ascii="Times New Roman" w:hAnsi="Times New Roman" w:cs="Times New Roman"/>
                <w:noProof/>
                <w:sz w:val="20"/>
                <w:szCs w:val="20"/>
              </w:rPr>
              <w:t xml:space="preserve"> </w:t>
            </w:r>
            <w:r>
              <w:rPr>
                <w:rFonts w:ascii="Times New Roman" w:hAnsi="Times New Roman" w:cs="Times New Roman"/>
                <w:noProof/>
                <w:sz w:val="20"/>
                <w:szCs w:val="20"/>
              </w:rPr>
              <w:t xml:space="preserve">has </w:t>
            </w:r>
            <w:r w:rsidRPr="00F462E1">
              <w:rPr>
                <w:rFonts w:ascii="Times New Roman" w:hAnsi="Times New Roman" w:cs="Times New Roman"/>
                <w:noProof/>
                <w:sz w:val="20"/>
                <w:szCs w:val="20"/>
              </w:rPr>
              <w:t xml:space="preserve">launched </w:t>
            </w:r>
            <w:r>
              <w:rPr>
                <w:rFonts w:ascii="Times New Roman" w:hAnsi="Times New Roman" w:cs="Times New Roman"/>
                <w:noProof/>
                <w:sz w:val="20"/>
                <w:szCs w:val="20"/>
              </w:rPr>
              <w:t>the</w:t>
            </w:r>
            <w:r w:rsidRPr="00F462E1">
              <w:rPr>
                <w:rFonts w:ascii="Times New Roman" w:hAnsi="Times New Roman" w:cs="Times New Roman"/>
                <w:noProof/>
                <w:sz w:val="20"/>
                <w:szCs w:val="20"/>
              </w:rPr>
              <w:t xml:space="preserve"> </w:t>
            </w:r>
            <w:r w:rsidRPr="00F462E1">
              <w:rPr>
                <w:rFonts w:ascii="Times New Roman" w:hAnsi="Times New Roman" w:cs="Times New Roman"/>
                <w:b/>
                <w:bCs/>
                <w:noProof/>
                <w:sz w:val="20"/>
                <w:szCs w:val="20"/>
              </w:rPr>
              <w:t>Subgroup for the use of EU funds for Roma inclusion</w:t>
            </w:r>
            <w:r w:rsidRPr="00F462E1">
              <w:rPr>
                <w:rFonts w:ascii="Times New Roman" w:hAnsi="Times New Roman" w:cs="Times New Roman"/>
                <w:noProof/>
                <w:sz w:val="20"/>
                <w:szCs w:val="20"/>
              </w:rPr>
              <w:t xml:space="preserve"> to follow up</w:t>
            </w:r>
            <w:r>
              <w:rPr>
                <w:rFonts w:ascii="Times New Roman" w:hAnsi="Times New Roman" w:cs="Times New Roman"/>
                <w:noProof/>
                <w:sz w:val="20"/>
                <w:szCs w:val="20"/>
              </w:rPr>
              <w:t xml:space="preserve"> on</w:t>
            </w:r>
            <w:r w:rsidRPr="00F462E1">
              <w:rPr>
                <w:rFonts w:ascii="Times New Roman" w:hAnsi="Times New Roman" w:cs="Times New Roman"/>
                <w:noProof/>
                <w:sz w:val="20"/>
                <w:szCs w:val="20"/>
              </w:rPr>
              <w:t xml:space="preserve"> </w:t>
            </w:r>
            <w:r>
              <w:rPr>
                <w:rFonts w:ascii="Times New Roman" w:hAnsi="Times New Roman" w:cs="Times New Roman"/>
                <w:noProof/>
                <w:sz w:val="20"/>
                <w:szCs w:val="20"/>
              </w:rPr>
              <w:t xml:space="preserve">expert </w:t>
            </w:r>
            <w:r w:rsidRPr="00F462E1">
              <w:rPr>
                <w:rFonts w:ascii="Times New Roman" w:hAnsi="Times New Roman" w:cs="Times New Roman"/>
                <w:noProof/>
                <w:sz w:val="20"/>
                <w:szCs w:val="20"/>
              </w:rPr>
              <w:t xml:space="preserve">hearings </w:t>
            </w:r>
            <w:r>
              <w:rPr>
                <w:rFonts w:ascii="Times New Roman" w:hAnsi="Times New Roman" w:cs="Times New Roman"/>
                <w:noProof/>
                <w:sz w:val="20"/>
                <w:szCs w:val="20"/>
              </w:rPr>
              <w:t>on meeting</w:t>
            </w:r>
            <w:r w:rsidRPr="00F462E1">
              <w:rPr>
                <w:rFonts w:ascii="Times New Roman" w:hAnsi="Times New Roman" w:cs="Times New Roman"/>
                <w:noProof/>
                <w:sz w:val="20"/>
                <w:szCs w:val="20"/>
              </w:rPr>
              <w:t xml:space="preserve"> the challenges in accessing EU funds </w:t>
            </w:r>
            <w:r>
              <w:rPr>
                <w:rFonts w:ascii="Times New Roman" w:hAnsi="Times New Roman" w:cs="Times New Roman"/>
                <w:noProof/>
                <w:sz w:val="20"/>
                <w:szCs w:val="20"/>
              </w:rPr>
              <w:t>and</w:t>
            </w:r>
            <w:r w:rsidRPr="00F462E1">
              <w:rPr>
                <w:rFonts w:ascii="Times New Roman" w:hAnsi="Times New Roman" w:cs="Times New Roman"/>
                <w:noProof/>
                <w:sz w:val="20"/>
                <w:szCs w:val="20"/>
              </w:rPr>
              <w:t xml:space="preserve"> improv</w:t>
            </w:r>
            <w:r>
              <w:rPr>
                <w:rFonts w:ascii="Times New Roman" w:hAnsi="Times New Roman" w:cs="Times New Roman"/>
                <w:noProof/>
                <w:sz w:val="20"/>
                <w:szCs w:val="20"/>
              </w:rPr>
              <w:t>ing</w:t>
            </w:r>
            <w:r w:rsidRPr="00F462E1">
              <w:rPr>
                <w:rFonts w:ascii="Times New Roman" w:hAnsi="Times New Roman" w:cs="Times New Roman"/>
                <w:noProof/>
                <w:sz w:val="20"/>
                <w:szCs w:val="20"/>
              </w:rPr>
              <w:t xml:space="preserve"> the lives of marginalised Roma communities</w:t>
            </w:r>
            <w:r>
              <w:rPr>
                <w:rStyle w:val="FootnoteReference"/>
                <w:noProof/>
              </w:rPr>
              <w:footnoteReference w:id="121"/>
            </w:r>
            <w:r w:rsidRPr="00F462E1">
              <w:rPr>
                <w:rFonts w:ascii="Times New Roman" w:hAnsi="Times New Roman" w:cs="Times New Roman"/>
                <w:noProof/>
                <w:sz w:val="20"/>
                <w:szCs w:val="20"/>
              </w:rPr>
              <w:t xml:space="preserve">. The Subgroup </w:t>
            </w:r>
            <w:r>
              <w:rPr>
                <w:rFonts w:ascii="Times New Roman" w:hAnsi="Times New Roman" w:cs="Times New Roman"/>
                <w:noProof/>
                <w:sz w:val="20"/>
                <w:szCs w:val="20"/>
              </w:rPr>
              <w:t xml:space="preserve">has </w:t>
            </w:r>
            <w:r w:rsidRPr="00F462E1">
              <w:rPr>
                <w:rFonts w:ascii="Times New Roman" w:hAnsi="Times New Roman" w:cs="Times New Roman"/>
                <w:noProof/>
                <w:sz w:val="20"/>
                <w:szCs w:val="20"/>
              </w:rPr>
              <w:t>prepared a compilation of promising practices, which has been shared with National Roma Contact Points, relevant managing authorities and CSOs. The process feed</w:t>
            </w:r>
            <w:r>
              <w:rPr>
                <w:rFonts w:ascii="Times New Roman" w:hAnsi="Times New Roman" w:cs="Times New Roman"/>
                <w:noProof/>
                <w:sz w:val="20"/>
                <w:szCs w:val="20"/>
              </w:rPr>
              <w:t>s</w:t>
            </w:r>
            <w:r w:rsidRPr="00F462E1">
              <w:rPr>
                <w:rFonts w:ascii="Times New Roman" w:hAnsi="Times New Roman" w:cs="Times New Roman"/>
                <w:noProof/>
                <w:sz w:val="20"/>
                <w:szCs w:val="20"/>
              </w:rPr>
              <w:t xml:space="preserve"> into the preparations of the next MFF, the upcoming cohesion policy programming and similar developments </w:t>
            </w:r>
            <w:r>
              <w:rPr>
                <w:rFonts w:ascii="Times New Roman" w:hAnsi="Times New Roman" w:cs="Times New Roman"/>
                <w:noProof/>
                <w:sz w:val="20"/>
                <w:szCs w:val="20"/>
              </w:rPr>
              <w:t>in</w:t>
            </w:r>
            <w:r w:rsidRPr="00F462E1">
              <w:rPr>
                <w:rFonts w:ascii="Times New Roman" w:hAnsi="Times New Roman" w:cs="Times New Roman"/>
                <w:noProof/>
                <w:sz w:val="20"/>
                <w:szCs w:val="20"/>
              </w:rPr>
              <w:t xml:space="preserve"> other relevant funds.</w:t>
            </w:r>
          </w:p>
        </w:tc>
      </w:tr>
    </w:tbl>
    <w:p w14:paraId="7FE83297" w14:textId="77777777" w:rsidR="002C0325" w:rsidRPr="008D19DB" w:rsidRDefault="002C0325" w:rsidP="002C0325">
      <w:pPr>
        <w:pStyle w:val="Headerlevel2"/>
        <w:numPr>
          <w:ilvl w:val="0"/>
          <w:numId w:val="0"/>
        </w:numPr>
        <w:ind w:left="432" w:hanging="432"/>
        <w:rPr>
          <w:b w:val="0"/>
          <w:bCs w:val="0"/>
          <w:i/>
          <w:iCs/>
        </w:rPr>
      </w:pPr>
      <w:r w:rsidRPr="008D19DB">
        <w:rPr>
          <w:b w:val="0"/>
          <w:bCs w:val="0"/>
          <w:i/>
          <w:iCs/>
        </w:rPr>
        <w:t>The horizontal enabling condition on the Charter</w:t>
      </w:r>
    </w:p>
    <w:p w14:paraId="09E9D94C" w14:textId="77777777" w:rsidR="002C0325" w:rsidRDefault="002C0325" w:rsidP="002C0325">
      <w:pPr>
        <w:pStyle w:val="Style1"/>
        <w:rPr>
          <w:noProof/>
          <w:lang w:val="en-US"/>
        </w:rPr>
      </w:pPr>
      <w:r w:rsidRPr="009B4EE2">
        <w:rPr>
          <w:noProof/>
          <w:lang w:val="en-US"/>
        </w:rPr>
        <w:t xml:space="preserve">The CPR contributes to the protection and promotion of fundamental rights through the introduction of ‘enabling conditions’ for all CPR funds, a novelty compared to the </w:t>
      </w:r>
      <w:r w:rsidRPr="009B4EE2">
        <w:rPr>
          <w:i/>
          <w:iCs/>
          <w:noProof/>
          <w:lang w:val="en-US"/>
        </w:rPr>
        <w:t xml:space="preserve">ex ante </w:t>
      </w:r>
      <w:r w:rsidRPr="009B4EE2">
        <w:rPr>
          <w:noProof/>
          <w:lang w:val="en-US"/>
        </w:rPr>
        <w:t>conditionalities</w:t>
      </w:r>
      <w:r w:rsidRPr="009B4EE2">
        <w:rPr>
          <w:i/>
          <w:iCs/>
          <w:noProof/>
          <w:lang w:val="en-US"/>
        </w:rPr>
        <w:t xml:space="preserve"> </w:t>
      </w:r>
      <w:r w:rsidRPr="009B4EE2">
        <w:rPr>
          <w:noProof/>
          <w:lang w:val="en-US"/>
        </w:rPr>
        <w:t>in the 2014-2020 CPR</w:t>
      </w:r>
      <w:r w:rsidRPr="009B4EE2">
        <w:rPr>
          <w:noProof/>
          <w:vertAlign w:val="superscript"/>
          <w:lang w:val="en-US"/>
        </w:rPr>
        <w:footnoteReference w:id="122"/>
      </w:r>
      <w:r w:rsidRPr="009B4EE2">
        <w:rPr>
          <w:noProof/>
          <w:lang w:val="en-US"/>
        </w:rPr>
        <w:t xml:space="preserve">. The enabling conditions must be fulfilled by each Member State to ensure the effective and efficient implementation of these funds throughout the programming period. There are two types of enabling conditions, </w:t>
      </w:r>
      <w:r w:rsidRPr="009B4EE2">
        <w:rPr>
          <w:i/>
          <w:iCs/>
          <w:noProof/>
          <w:lang w:val="en-US"/>
        </w:rPr>
        <w:t>i.e.</w:t>
      </w:r>
      <w:r w:rsidRPr="009B4EE2">
        <w:rPr>
          <w:noProof/>
          <w:lang w:val="en-US"/>
        </w:rPr>
        <w:t xml:space="preserve"> the </w:t>
      </w:r>
      <w:r w:rsidRPr="009B4EE2">
        <w:rPr>
          <w:b/>
          <w:bCs/>
          <w:noProof/>
          <w:lang w:val="en-US"/>
        </w:rPr>
        <w:t>Horizontal Enabling Conditions (HECs)</w:t>
      </w:r>
      <w:r w:rsidRPr="009B4EE2">
        <w:rPr>
          <w:noProof/>
          <w:lang w:val="en-US"/>
        </w:rPr>
        <w:t xml:space="preserve"> applicable to all CPR funds</w:t>
      </w:r>
      <w:r w:rsidRPr="009B4EE2">
        <w:rPr>
          <w:noProof/>
          <w:vertAlign w:val="superscript"/>
          <w:lang w:val="en-US"/>
        </w:rPr>
        <w:footnoteReference w:id="123"/>
      </w:r>
      <w:r w:rsidRPr="009B4EE2">
        <w:rPr>
          <w:noProof/>
          <w:lang w:val="en-US"/>
        </w:rPr>
        <w:t>, and the thematic enabling conditions (TECs) exclusively applicable to ERDF, CF and ESF+</w:t>
      </w:r>
      <w:r w:rsidRPr="009B4EE2">
        <w:rPr>
          <w:noProof/>
          <w:vertAlign w:val="superscript"/>
          <w:lang w:val="en-US"/>
        </w:rPr>
        <w:footnoteReference w:id="124"/>
      </w:r>
      <w:r w:rsidRPr="009B4EE2">
        <w:rPr>
          <w:noProof/>
          <w:lang w:val="en-US"/>
        </w:rPr>
        <w:t>.</w:t>
      </w:r>
    </w:p>
    <w:p w14:paraId="6B41F79F" w14:textId="77777777" w:rsidR="002C0325" w:rsidRDefault="002C0325" w:rsidP="002C0325">
      <w:pPr>
        <w:pStyle w:val="Style1"/>
        <w:rPr>
          <w:noProof/>
        </w:rPr>
      </w:pPr>
      <w:r>
        <w:rPr>
          <w:b/>
          <w:bCs/>
          <w:noProof/>
        </w:rPr>
        <w:t xml:space="preserve">The Charter HEC </w:t>
      </w:r>
      <w:r>
        <w:rPr>
          <w:noProof/>
        </w:rPr>
        <w:t>requires Member States to set up effective mechanisms to ensure effective application and implementation of the Charter. These include arrangements to ensure that the programmes supported by the CPR funds and their implementation comply with the relevant provisions of the Charter, and reporting arrangements to the monitoring committee regarding cases of non-compliance of operations supported by these funds with the Charter and complaints regarding the Charter.</w:t>
      </w:r>
    </w:p>
    <w:p w14:paraId="5CC585BF" w14:textId="77777777" w:rsidR="002C0325" w:rsidRDefault="002C0325" w:rsidP="002C0325">
      <w:pPr>
        <w:pStyle w:val="Style1"/>
        <w:rPr>
          <w:noProof/>
        </w:rPr>
      </w:pPr>
      <w:r>
        <w:rPr>
          <w:noProof/>
        </w:rPr>
        <w:t>If effective mechanisms are not in place, the Charter HEC is not considered fulfilled. As a consequence, the Commission informs the Member State that the expenditure linked to the specific objectives will not be reimbursed until the Member State provides sufficient guarantees that effective mechanisms are in place</w:t>
      </w:r>
      <w:r>
        <w:rPr>
          <w:rStyle w:val="FootnoteReference"/>
          <w:noProof/>
        </w:rPr>
        <w:footnoteReference w:id="125"/>
      </w:r>
      <w:r>
        <w:rPr>
          <w:noProof/>
        </w:rPr>
        <w:t>. In particular, the Member States are required to set out the roles and responsibilities of different authorities and bodies. This must cover all stages of the programming and implementation, and the bodies or persons which provide assistance on fundamental rights must be identified. Member States are also required to provide information about the procedures for cases of non-compliance and complaints and about the composition and rules of procedures of the monitoring committees. These should include relevant bodies representing civil society, such as bodies responsible for promoting social inclusion, fundamental rights, rights of persons with disabilities, gender equality and non-discrimination</w:t>
      </w:r>
      <w:r>
        <w:rPr>
          <w:rStyle w:val="FootnoteReference"/>
          <w:noProof/>
        </w:rPr>
        <w:footnoteReference w:id="126"/>
      </w:r>
      <w:r>
        <w:rPr>
          <w:noProof/>
        </w:rPr>
        <w:t>.</w:t>
      </w:r>
    </w:p>
    <w:tbl>
      <w:tblPr>
        <w:tblStyle w:val="TableGrid"/>
        <w:tblW w:w="0" w:type="auto"/>
        <w:tblLook w:val="04A0" w:firstRow="1" w:lastRow="0" w:firstColumn="1" w:lastColumn="0" w:noHBand="0" w:noVBand="1"/>
      </w:tblPr>
      <w:tblGrid>
        <w:gridCol w:w="9060"/>
      </w:tblGrid>
      <w:tr w:rsidR="002C0325" w14:paraId="08F24742" w14:textId="77777777" w:rsidTr="00352B78">
        <w:tc>
          <w:tcPr>
            <w:tcW w:w="9060" w:type="dxa"/>
          </w:tcPr>
          <w:p w14:paraId="20A8DB50" w14:textId="7D53515C" w:rsidR="002C0325" w:rsidRPr="000B6BFA" w:rsidRDefault="002C0325" w:rsidP="00352B78">
            <w:pPr>
              <w:pStyle w:val="Style1"/>
              <w:rPr>
                <w:noProof/>
                <w:sz w:val="20"/>
                <w:szCs w:val="20"/>
              </w:rPr>
            </w:pPr>
            <w:r>
              <w:rPr>
                <w:noProof/>
                <w:sz w:val="20"/>
                <w:szCs w:val="20"/>
              </w:rPr>
              <w:t>In the online consultation conducted in support of the report</w:t>
            </w:r>
            <w:r>
              <w:rPr>
                <w:rStyle w:val="FootnoteReference"/>
                <w:noProof/>
              </w:rPr>
              <w:footnoteReference w:id="127"/>
            </w:r>
            <w:r>
              <w:rPr>
                <w:noProof/>
                <w:sz w:val="20"/>
                <w:szCs w:val="20"/>
              </w:rPr>
              <w:t>, 62% of the responding CSOs w</w:t>
            </w:r>
            <w:r w:rsidR="00D364B1">
              <w:rPr>
                <w:noProof/>
                <w:sz w:val="20"/>
                <w:szCs w:val="20"/>
              </w:rPr>
              <w:t>e</w:t>
            </w:r>
            <w:r>
              <w:rPr>
                <w:noProof/>
                <w:sz w:val="20"/>
                <w:szCs w:val="20"/>
              </w:rPr>
              <w:t xml:space="preserve">re aware of the obligations following from the Charter HEC. </w:t>
            </w:r>
            <w:r>
              <w:rPr>
                <w:b/>
                <w:bCs/>
                <w:noProof/>
                <w:sz w:val="20"/>
                <w:szCs w:val="20"/>
              </w:rPr>
              <w:t>One in two of the responding organisations indicated that they worked on ensuring fundamental rights compliance in the use of EU funds</w:t>
            </w:r>
            <w:r>
              <w:rPr>
                <w:noProof/>
                <w:sz w:val="20"/>
                <w:szCs w:val="20"/>
              </w:rPr>
              <w:t xml:space="preserve">, </w:t>
            </w:r>
            <w:r>
              <w:rPr>
                <w:i/>
                <w:iCs/>
                <w:noProof/>
                <w:sz w:val="20"/>
                <w:szCs w:val="20"/>
              </w:rPr>
              <w:t xml:space="preserve">i.e. </w:t>
            </w:r>
            <w:r>
              <w:rPr>
                <w:noProof/>
                <w:sz w:val="20"/>
                <w:szCs w:val="20"/>
              </w:rPr>
              <w:t>as member or observers in monitoring committees</w:t>
            </w:r>
            <w:r>
              <w:rPr>
                <w:rStyle w:val="FootnoteReference"/>
                <w:noProof/>
              </w:rPr>
              <w:footnoteReference w:id="128"/>
            </w:r>
            <w:r>
              <w:rPr>
                <w:noProof/>
                <w:sz w:val="20"/>
                <w:szCs w:val="20"/>
              </w:rPr>
              <w:t>, or by delivering training, capacity building or evaluations of fundamental rights compliance of projects funded by the EU</w:t>
            </w:r>
            <w:r>
              <w:rPr>
                <w:rStyle w:val="FootnoteReference"/>
                <w:noProof/>
              </w:rPr>
              <w:footnoteReference w:id="129"/>
            </w:r>
            <w:r>
              <w:rPr>
                <w:noProof/>
                <w:sz w:val="20"/>
                <w:szCs w:val="20"/>
              </w:rPr>
              <w:t>.</w:t>
            </w:r>
          </w:p>
        </w:tc>
      </w:tr>
    </w:tbl>
    <w:p w14:paraId="51A4757C" w14:textId="54EA2853" w:rsidR="002C0325" w:rsidRPr="007A5BDC" w:rsidRDefault="002C0325" w:rsidP="002C0325">
      <w:pPr>
        <w:widowControl w:val="0"/>
        <w:spacing w:before="240" w:line="276" w:lineRule="auto"/>
        <w:jc w:val="both"/>
        <w:rPr>
          <w:rFonts w:ascii="Times New Roman" w:hAnsi="Times New Roman" w:cs="Times New Roman"/>
          <w:noProof/>
          <w:sz w:val="24"/>
          <w:szCs w:val="24"/>
        </w:rPr>
      </w:pPr>
      <w:r w:rsidRPr="007A5BDC">
        <w:rPr>
          <w:rFonts w:ascii="Times New Roman" w:hAnsi="Times New Roman" w:cs="Times New Roman"/>
          <w:noProof/>
          <w:sz w:val="24"/>
          <w:szCs w:val="24"/>
        </w:rPr>
        <w:t xml:space="preserve">Member States are also required to provide information about the procedures for examination of complaints in cases of non-compliance with the Charter and about the composition and rules of procedure of the monitoring committees, guaranteeing the balanced representation of relevant partners with the necessary </w:t>
      </w:r>
      <w:r w:rsidR="00990FBB" w:rsidRPr="007A5BDC">
        <w:rPr>
          <w:rFonts w:ascii="Times New Roman" w:hAnsi="Times New Roman" w:cs="Times New Roman"/>
          <w:noProof/>
          <w:sz w:val="24"/>
          <w:szCs w:val="24"/>
        </w:rPr>
        <w:t>independence</w:t>
      </w:r>
      <w:r w:rsidRPr="007A5BDC">
        <w:rPr>
          <w:rFonts w:ascii="Times New Roman" w:hAnsi="Times New Roman" w:cs="Times New Roman"/>
          <w:noProof/>
          <w:sz w:val="24"/>
          <w:szCs w:val="24"/>
        </w:rPr>
        <w:t xml:space="preserve"> to ensure </w:t>
      </w:r>
      <w:r w:rsidR="00990FBB" w:rsidRPr="007A5BDC">
        <w:rPr>
          <w:rFonts w:ascii="Times New Roman" w:hAnsi="Times New Roman" w:cs="Times New Roman"/>
          <w:noProof/>
          <w:sz w:val="24"/>
          <w:szCs w:val="24"/>
        </w:rPr>
        <w:t>compliance</w:t>
      </w:r>
      <w:r w:rsidRPr="007A5BDC">
        <w:rPr>
          <w:rFonts w:ascii="Times New Roman" w:hAnsi="Times New Roman" w:cs="Times New Roman"/>
          <w:noProof/>
          <w:sz w:val="24"/>
          <w:szCs w:val="24"/>
        </w:rPr>
        <w:t xml:space="preserve"> with the Charter. To ensure the fulfilment of the Charter HEC, in line with the principle of shared management</w:t>
      </w:r>
      <w:r w:rsidRPr="007A5BDC">
        <w:rPr>
          <w:rFonts w:ascii="Times New Roman" w:hAnsi="Times New Roman" w:cs="Times New Roman"/>
          <w:noProof/>
          <w:sz w:val="24"/>
          <w:szCs w:val="24"/>
          <w:vertAlign w:val="superscript"/>
        </w:rPr>
        <w:footnoteReference w:id="130"/>
      </w:r>
      <w:r w:rsidRPr="007A5BDC">
        <w:rPr>
          <w:rFonts w:ascii="Times New Roman" w:hAnsi="Times New Roman" w:cs="Times New Roman"/>
          <w:noProof/>
          <w:sz w:val="24"/>
          <w:szCs w:val="24"/>
        </w:rPr>
        <w:t>, the Commission maintains a dialogue with the Member States in the monitoring committees or bilaterally.</w:t>
      </w:r>
    </w:p>
    <w:tbl>
      <w:tblPr>
        <w:tblStyle w:val="TableGrid"/>
        <w:tblW w:w="0" w:type="auto"/>
        <w:tblLook w:val="04A0" w:firstRow="1" w:lastRow="0" w:firstColumn="1" w:lastColumn="0" w:noHBand="0" w:noVBand="1"/>
      </w:tblPr>
      <w:tblGrid>
        <w:gridCol w:w="9060"/>
      </w:tblGrid>
      <w:tr w:rsidR="002C0325" w14:paraId="36A15B5F" w14:textId="77777777" w:rsidTr="00352B78">
        <w:tc>
          <w:tcPr>
            <w:tcW w:w="9060" w:type="dxa"/>
          </w:tcPr>
          <w:p w14:paraId="2D3BECF7" w14:textId="77777777" w:rsidR="002C0325" w:rsidRPr="000B6BFA" w:rsidRDefault="002C0325" w:rsidP="00352B78">
            <w:pPr>
              <w:pStyle w:val="Style1"/>
              <w:rPr>
                <w:noProof/>
                <w:sz w:val="20"/>
                <w:szCs w:val="20"/>
              </w:rPr>
            </w:pPr>
            <w:r w:rsidRPr="000B6BFA">
              <w:rPr>
                <w:b/>
                <w:bCs/>
                <w:noProof/>
                <w:sz w:val="20"/>
                <w:szCs w:val="20"/>
              </w:rPr>
              <w:t>The Charter HEC has contributed to the protection and promotion of Article 21 of the Charter</w:t>
            </w:r>
            <w:r w:rsidRPr="000B6BFA">
              <w:rPr>
                <w:noProof/>
                <w:sz w:val="20"/>
                <w:szCs w:val="20"/>
              </w:rPr>
              <w:t xml:space="preserve"> in a case where</w:t>
            </w:r>
            <w:r>
              <w:rPr>
                <w:noProof/>
                <w:sz w:val="20"/>
                <w:szCs w:val="20"/>
              </w:rPr>
              <w:t xml:space="preserve"> </w:t>
            </w:r>
            <w:r w:rsidRPr="000B6BFA">
              <w:rPr>
                <w:noProof/>
                <w:sz w:val="20"/>
                <w:szCs w:val="20"/>
              </w:rPr>
              <w:t>an anti-discrimination clause was included in the partnership agreement and the cohesion programmes to ensure that no discriminatory action (for instance on grounds of sexual orientation) was contained in project applications submitted by local or regional authorities.</w:t>
            </w:r>
          </w:p>
          <w:p w14:paraId="00478857" w14:textId="77777777" w:rsidR="000353FF" w:rsidRDefault="000353FF" w:rsidP="00352B78">
            <w:pPr>
              <w:pStyle w:val="Style1"/>
              <w:rPr>
                <w:b/>
                <w:bCs/>
                <w:noProof/>
                <w:sz w:val="20"/>
                <w:szCs w:val="20"/>
              </w:rPr>
            </w:pPr>
          </w:p>
          <w:p w14:paraId="6EFE8E2E" w14:textId="22570AD6" w:rsidR="002C0325" w:rsidRDefault="002C0325" w:rsidP="00352B78">
            <w:pPr>
              <w:pStyle w:val="Style1"/>
              <w:rPr>
                <w:noProof/>
              </w:rPr>
            </w:pPr>
            <w:r w:rsidRPr="000B6BFA">
              <w:rPr>
                <w:b/>
                <w:bCs/>
                <w:noProof/>
                <w:sz w:val="20"/>
                <w:szCs w:val="20"/>
              </w:rPr>
              <w:t>It has contributed to the application of Article 47 of the Charter</w:t>
            </w:r>
            <w:r w:rsidRPr="000B6BFA">
              <w:rPr>
                <w:noProof/>
                <w:sz w:val="20"/>
                <w:szCs w:val="20"/>
              </w:rPr>
              <w:t xml:space="preserve"> in some Member States, which adopted measures to strengthen the independence and impartiality of the courts and tribunals.</w:t>
            </w:r>
          </w:p>
        </w:tc>
      </w:tr>
    </w:tbl>
    <w:p w14:paraId="673B0B46" w14:textId="77777777" w:rsidR="002C0325" w:rsidRPr="007A5BDC" w:rsidRDefault="002C0325" w:rsidP="002C0325">
      <w:pPr>
        <w:widowControl w:val="0"/>
        <w:spacing w:before="240" w:line="276" w:lineRule="auto"/>
        <w:jc w:val="both"/>
        <w:rPr>
          <w:rFonts w:ascii="Times New Roman" w:hAnsi="Times New Roman" w:cs="Times New Roman"/>
          <w:noProof/>
          <w:sz w:val="24"/>
          <w:szCs w:val="24"/>
        </w:rPr>
      </w:pPr>
      <w:r w:rsidRPr="007A5BDC">
        <w:rPr>
          <w:rFonts w:ascii="Times New Roman" w:hAnsi="Times New Roman" w:cs="Times New Roman"/>
          <w:noProof/>
          <w:sz w:val="24"/>
          <w:szCs w:val="24"/>
        </w:rPr>
        <w:t>Challenges relating to the implementation fo the Charter HEC however remain</w:t>
      </w:r>
      <w:r w:rsidRPr="007A5BDC">
        <w:rPr>
          <w:rStyle w:val="FootnoteReference"/>
          <w:noProof/>
        </w:rPr>
        <w:footnoteReference w:id="131"/>
      </w:r>
      <w:r w:rsidRPr="007A5BDC">
        <w:rPr>
          <w:rFonts w:ascii="Times New Roman" w:hAnsi="Times New Roman" w:cs="Times New Roman"/>
          <w:noProof/>
          <w:sz w:val="24"/>
          <w:szCs w:val="24"/>
        </w:rPr>
        <w:t xml:space="preserve">, with the most relevant being the </w:t>
      </w:r>
      <w:r w:rsidRPr="007A5BDC">
        <w:rPr>
          <w:rFonts w:ascii="Times New Roman" w:hAnsi="Times New Roman" w:cs="Times New Roman"/>
          <w:b/>
          <w:bCs/>
          <w:noProof/>
          <w:sz w:val="24"/>
          <w:szCs w:val="24"/>
        </w:rPr>
        <w:t>lack of financial and human resources</w:t>
      </w:r>
      <w:r w:rsidRPr="007A5BDC">
        <w:rPr>
          <w:rStyle w:val="FootnoteReference"/>
          <w:noProof/>
        </w:rPr>
        <w:footnoteReference w:id="132"/>
      </w:r>
      <w:r w:rsidRPr="007A5BDC">
        <w:rPr>
          <w:rFonts w:ascii="Times New Roman" w:hAnsi="Times New Roman" w:cs="Times New Roman"/>
          <w:noProof/>
          <w:sz w:val="24"/>
          <w:szCs w:val="24"/>
        </w:rPr>
        <w:t xml:space="preserve"> for the organisations that participate in the implementation of the Charter HEC. This results from the increase in demand for support from fundamental rigths bodies</w:t>
      </w:r>
      <w:r w:rsidRPr="007A5BDC">
        <w:rPr>
          <w:rStyle w:val="FootnoteReference"/>
          <w:noProof/>
        </w:rPr>
        <w:footnoteReference w:id="133"/>
      </w:r>
      <w:r w:rsidRPr="007A5BDC">
        <w:rPr>
          <w:rFonts w:ascii="Times New Roman" w:hAnsi="Times New Roman" w:cs="Times New Roman"/>
          <w:noProof/>
          <w:sz w:val="24"/>
          <w:szCs w:val="24"/>
        </w:rPr>
        <w:t>.</w:t>
      </w:r>
      <w:r w:rsidRPr="007A5BDC">
        <w:rPr>
          <w:rFonts w:ascii="Times New Roman" w:hAnsi="Times New Roman" w:cs="Times New Roman"/>
          <w:noProof/>
          <w:sz w:val="24"/>
          <w:szCs w:val="24"/>
          <w:lang w:val="en-GB"/>
        </w:rPr>
        <w:t xml:space="preserve"> Referring to the requirement under the UN Paris Principles for countries to ensure that NHRIs enjoy adequate resources and financial autonomy, </w:t>
      </w:r>
      <w:r w:rsidRPr="007A5BDC">
        <w:rPr>
          <w:rFonts w:ascii="Times New Roman" w:hAnsi="Times New Roman" w:cs="Times New Roman"/>
          <w:b/>
          <w:bCs/>
          <w:noProof/>
          <w:sz w:val="24"/>
          <w:szCs w:val="24"/>
          <w:lang w:val="en-GB"/>
        </w:rPr>
        <w:t xml:space="preserve">ENNHRI </w:t>
      </w:r>
      <w:r w:rsidRPr="007A5BDC">
        <w:rPr>
          <w:rFonts w:ascii="Times New Roman" w:hAnsi="Times New Roman" w:cs="Times New Roman"/>
          <w:noProof/>
          <w:sz w:val="24"/>
          <w:szCs w:val="24"/>
          <w:lang w:val="en-GB"/>
        </w:rPr>
        <w:t>advocates for sufficient resources for its members. It notes that ensuring fundamental rights compliance requires substantial resources in a context where the resources for NHRIs to carry out their core mandate are limited</w:t>
      </w:r>
      <w:r w:rsidRPr="007A5BDC">
        <w:rPr>
          <w:rStyle w:val="FootnoteReference"/>
          <w:noProof/>
          <w:lang w:val="en-GB"/>
        </w:rPr>
        <w:footnoteReference w:id="134"/>
      </w:r>
      <w:r w:rsidRPr="007A5BDC">
        <w:rPr>
          <w:rFonts w:ascii="Times New Roman" w:hAnsi="Times New Roman" w:cs="Times New Roman"/>
          <w:noProof/>
          <w:sz w:val="24"/>
          <w:szCs w:val="24"/>
          <w:lang w:val="en-GB"/>
        </w:rPr>
        <w:t xml:space="preserve">. </w:t>
      </w:r>
      <w:r w:rsidRPr="007A5BDC">
        <w:rPr>
          <w:rFonts w:ascii="Times New Roman" w:hAnsi="Times New Roman" w:cs="Times New Roman"/>
          <w:noProof/>
          <w:sz w:val="24"/>
          <w:szCs w:val="24"/>
        </w:rPr>
        <w:t>While some NHRIs have remedied the lack of human resources by recruiting additional staff</w:t>
      </w:r>
      <w:r w:rsidRPr="007A5BDC">
        <w:rPr>
          <w:rStyle w:val="FootnoteReference"/>
          <w:noProof/>
        </w:rPr>
        <w:footnoteReference w:id="135"/>
      </w:r>
      <w:r w:rsidRPr="007A5BDC">
        <w:rPr>
          <w:rFonts w:ascii="Times New Roman" w:hAnsi="Times New Roman" w:cs="Times New Roman"/>
          <w:noProof/>
          <w:sz w:val="24"/>
          <w:szCs w:val="24"/>
        </w:rPr>
        <w:t>, others must limit the role of bodies or persons providing assistance on fundamental rights based on the limited resources, calling for the further allocation of funds for this issue</w:t>
      </w:r>
      <w:r w:rsidRPr="007A5BDC">
        <w:rPr>
          <w:rStyle w:val="FootnoteReference"/>
          <w:noProof/>
        </w:rPr>
        <w:footnoteReference w:id="136"/>
      </w:r>
      <w:r w:rsidRPr="007A5BDC">
        <w:rPr>
          <w:rFonts w:ascii="Times New Roman" w:hAnsi="Times New Roman" w:cs="Times New Roman"/>
          <w:noProof/>
          <w:sz w:val="24"/>
          <w:szCs w:val="24"/>
        </w:rPr>
        <w:t>.</w:t>
      </w:r>
    </w:p>
    <w:tbl>
      <w:tblPr>
        <w:tblStyle w:val="TableGrid"/>
        <w:tblW w:w="0" w:type="auto"/>
        <w:tblLook w:val="04A0" w:firstRow="1" w:lastRow="0" w:firstColumn="1" w:lastColumn="0" w:noHBand="0" w:noVBand="1"/>
      </w:tblPr>
      <w:tblGrid>
        <w:gridCol w:w="9060"/>
      </w:tblGrid>
      <w:tr w:rsidR="002C0325" w14:paraId="46466096" w14:textId="77777777" w:rsidTr="00352B78">
        <w:tc>
          <w:tcPr>
            <w:tcW w:w="9060" w:type="dxa"/>
          </w:tcPr>
          <w:p w14:paraId="5F2C6C5F" w14:textId="0ADE80FA" w:rsidR="002C0325" w:rsidRPr="00AC0422" w:rsidRDefault="002C0325" w:rsidP="00352B78">
            <w:pPr>
              <w:pStyle w:val="Style1"/>
              <w:rPr>
                <w:noProof/>
              </w:rPr>
            </w:pPr>
            <w:r w:rsidRPr="000B6BFA">
              <w:rPr>
                <w:noProof/>
                <w:sz w:val="20"/>
                <w:szCs w:val="20"/>
              </w:rPr>
              <w:t xml:space="preserve">It should be noted that </w:t>
            </w:r>
            <w:r w:rsidRPr="000B6BFA">
              <w:rPr>
                <w:b/>
                <w:bCs/>
                <w:noProof/>
                <w:sz w:val="20"/>
                <w:szCs w:val="20"/>
              </w:rPr>
              <w:t>the CPR</w:t>
            </w:r>
            <w:r w:rsidRPr="000B6BFA">
              <w:rPr>
                <w:rStyle w:val="FootnoteReference"/>
                <w:b/>
                <w:bCs/>
                <w:noProof/>
                <w:sz w:val="20"/>
                <w:szCs w:val="20"/>
              </w:rPr>
              <w:footnoteReference w:id="137"/>
            </w:r>
            <w:r w:rsidRPr="000B6BFA">
              <w:rPr>
                <w:b/>
                <w:bCs/>
                <w:noProof/>
                <w:sz w:val="20"/>
                <w:szCs w:val="20"/>
              </w:rPr>
              <w:t xml:space="preserve"> explicitly enables Member States to allocate a percentage of the resources from the funds for the capacity-building of social partners and CSOs </w:t>
            </w:r>
            <w:r w:rsidRPr="000B6BFA">
              <w:rPr>
                <w:noProof/>
                <w:sz w:val="20"/>
                <w:szCs w:val="20"/>
              </w:rPr>
              <w:t>involved in the preparation, implementation and evaluation of the programmes, but this is not sufficiently well known or applied</w:t>
            </w:r>
            <w:r w:rsidRPr="000B6BFA">
              <w:rPr>
                <w:rStyle w:val="FootnoteReference"/>
                <w:noProof/>
                <w:sz w:val="20"/>
                <w:szCs w:val="20"/>
              </w:rPr>
              <w:footnoteReference w:id="138"/>
            </w:r>
            <w:r w:rsidRPr="000B6BFA">
              <w:rPr>
                <w:noProof/>
                <w:sz w:val="20"/>
                <w:szCs w:val="20"/>
              </w:rPr>
              <w:t>.</w:t>
            </w:r>
            <w:r>
              <w:rPr>
                <w:noProof/>
                <w:sz w:val="20"/>
                <w:szCs w:val="20"/>
              </w:rPr>
              <w:t xml:space="preserve"> </w:t>
            </w:r>
            <w:r w:rsidRPr="000B6BFA">
              <w:rPr>
                <w:noProof/>
                <w:sz w:val="20"/>
                <w:szCs w:val="20"/>
              </w:rPr>
              <w:t>In addition, ESF+ has a thematic concentration requirement on the capacity-building of social partners and CSOs to ensure their meaning</w:t>
            </w:r>
            <w:r w:rsidR="00D364B1">
              <w:rPr>
                <w:noProof/>
                <w:sz w:val="20"/>
                <w:szCs w:val="20"/>
              </w:rPr>
              <w:t>ful</w:t>
            </w:r>
            <w:r w:rsidRPr="000B6BFA">
              <w:rPr>
                <w:noProof/>
                <w:sz w:val="20"/>
                <w:szCs w:val="20"/>
              </w:rPr>
              <w:t xml:space="preserve"> participation in the </w:t>
            </w:r>
            <w:r w:rsidR="00D364B1">
              <w:rPr>
                <w:noProof/>
                <w:sz w:val="20"/>
                <w:szCs w:val="20"/>
              </w:rPr>
              <w:t>delivery of employment, education and social inclu</w:t>
            </w:r>
            <w:r w:rsidR="00CD0284">
              <w:rPr>
                <w:noProof/>
                <w:sz w:val="20"/>
                <w:szCs w:val="20"/>
              </w:rPr>
              <w:t>s</w:t>
            </w:r>
            <w:r w:rsidR="00D364B1">
              <w:rPr>
                <w:noProof/>
                <w:sz w:val="20"/>
                <w:szCs w:val="20"/>
              </w:rPr>
              <w:t>ion policies supported by the</w:t>
            </w:r>
            <w:r w:rsidRPr="000B6BFA">
              <w:rPr>
                <w:noProof/>
                <w:sz w:val="20"/>
                <w:szCs w:val="20"/>
              </w:rPr>
              <w:t xml:space="preserve"> ESF+</w:t>
            </w:r>
            <w:r w:rsidRPr="000B6BFA">
              <w:rPr>
                <w:rStyle w:val="FootnoteReference"/>
                <w:noProof/>
                <w:sz w:val="20"/>
                <w:szCs w:val="20"/>
              </w:rPr>
              <w:footnoteReference w:id="139"/>
            </w:r>
            <w:r w:rsidRPr="000B6BFA">
              <w:rPr>
                <w:noProof/>
                <w:sz w:val="20"/>
                <w:szCs w:val="20"/>
              </w:rPr>
              <w:t>. Member States have allocated 400 million EUR to support civil society and 362 million EUR to support social partners.</w:t>
            </w:r>
          </w:p>
        </w:tc>
      </w:tr>
    </w:tbl>
    <w:p w14:paraId="14F43FCC" w14:textId="77777777" w:rsidR="002C0325" w:rsidRPr="007A5BDC" w:rsidRDefault="002C0325" w:rsidP="002C0325">
      <w:pPr>
        <w:widowControl w:val="0"/>
        <w:spacing w:before="240" w:line="276" w:lineRule="auto"/>
        <w:jc w:val="both"/>
        <w:rPr>
          <w:rFonts w:ascii="Times New Roman" w:hAnsi="Times New Roman" w:cs="Times New Roman"/>
          <w:noProof/>
          <w:sz w:val="24"/>
          <w:szCs w:val="24"/>
          <w:lang w:val="en-GB"/>
        </w:rPr>
      </w:pPr>
      <w:r w:rsidRPr="007A5BDC">
        <w:rPr>
          <w:rFonts w:ascii="Times New Roman" w:hAnsi="Times New Roman" w:cs="Times New Roman"/>
          <w:noProof/>
          <w:sz w:val="24"/>
          <w:szCs w:val="24"/>
        </w:rPr>
        <w:t>The consultations also included a clear call for</w:t>
      </w:r>
      <w:r w:rsidRPr="007A5BDC">
        <w:rPr>
          <w:rFonts w:ascii="Times New Roman" w:hAnsi="Times New Roman" w:cs="Times New Roman"/>
          <w:b/>
          <w:bCs/>
          <w:noProof/>
          <w:sz w:val="24"/>
          <w:szCs w:val="24"/>
        </w:rPr>
        <w:t xml:space="preserve"> more information and guidance</w:t>
      </w:r>
      <w:r w:rsidRPr="007A5BDC">
        <w:rPr>
          <w:rFonts w:ascii="Times New Roman" w:hAnsi="Times New Roman" w:cs="Times New Roman"/>
          <w:noProof/>
          <w:sz w:val="24"/>
          <w:szCs w:val="24"/>
        </w:rPr>
        <w:t xml:space="preserve"> to support national authorities in the implementation of the Charter HEC, in particular as regards </w:t>
      </w:r>
      <w:r w:rsidRPr="007A5BDC">
        <w:rPr>
          <w:rFonts w:ascii="Times New Roman" w:hAnsi="Times New Roman" w:cs="Times New Roman"/>
          <w:noProof/>
          <w:sz w:val="24"/>
          <w:szCs w:val="24"/>
          <w:lang w:val="en-GB"/>
        </w:rPr>
        <w:t>the need for clarity regarding its practical implications</w:t>
      </w:r>
      <w:r w:rsidRPr="007A5BDC">
        <w:rPr>
          <w:rStyle w:val="FootnoteReference"/>
          <w:noProof/>
          <w:lang w:val="en-GB"/>
        </w:rPr>
        <w:footnoteReference w:id="140"/>
      </w:r>
      <w:r w:rsidRPr="007A5BDC">
        <w:rPr>
          <w:rFonts w:ascii="Times New Roman" w:hAnsi="Times New Roman" w:cs="Times New Roman"/>
          <w:noProof/>
          <w:sz w:val="24"/>
          <w:szCs w:val="24"/>
          <w:lang w:val="en-GB"/>
        </w:rPr>
        <w:t xml:space="preserve"> and for increased technical expertise on EU funds</w:t>
      </w:r>
      <w:r w:rsidRPr="007A5BDC">
        <w:rPr>
          <w:rStyle w:val="FootnoteReference"/>
          <w:noProof/>
          <w:lang w:val="en-GB"/>
        </w:rPr>
        <w:footnoteReference w:id="141"/>
      </w:r>
      <w:r w:rsidRPr="007A5BDC">
        <w:rPr>
          <w:rFonts w:ascii="Times New Roman" w:hAnsi="Times New Roman" w:cs="Times New Roman"/>
          <w:noProof/>
          <w:sz w:val="24"/>
          <w:szCs w:val="24"/>
          <w:lang w:val="en-GB"/>
        </w:rPr>
        <w:t xml:space="preserve">. In line with the commitments of the Charter strategy, the Commission has initiated the </w:t>
      </w:r>
      <w:r w:rsidRPr="007A5BDC">
        <w:rPr>
          <w:rFonts w:ascii="Times New Roman" w:hAnsi="Times New Roman" w:cs="Times New Roman"/>
          <w:b/>
          <w:bCs/>
          <w:noProof/>
          <w:sz w:val="24"/>
          <w:szCs w:val="24"/>
          <w:lang w:val="en-GB"/>
        </w:rPr>
        <w:t>preparation of a manual</w:t>
      </w:r>
      <w:r w:rsidRPr="007A5BDC">
        <w:rPr>
          <w:rFonts w:ascii="Times New Roman" w:hAnsi="Times New Roman" w:cs="Times New Roman"/>
          <w:noProof/>
          <w:sz w:val="24"/>
          <w:szCs w:val="24"/>
          <w:lang w:val="en-GB"/>
        </w:rPr>
        <w:t xml:space="preserve"> that will guide national authorities and bodies in the effective implementation of the Charter HEC.</w:t>
      </w:r>
    </w:p>
    <w:tbl>
      <w:tblPr>
        <w:tblStyle w:val="TableGrid"/>
        <w:tblW w:w="0" w:type="auto"/>
        <w:tblLook w:val="04A0" w:firstRow="1" w:lastRow="0" w:firstColumn="1" w:lastColumn="0" w:noHBand="0" w:noVBand="1"/>
      </w:tblPr>
      <w:tblGrid>
        <w:gridCol w:w="9060"/>
      </w:tblGrid>
      <w:tr w:rsidR="002C0325" w14:paraId="2459AC96" w14:textId="77777777" w:rsidTr="00352B78">
        <w:tc>
          <w:tcPr>
            <w:tcW w:w="9060" w:type="dxa"/>
          </w:tcPr>
          <w:p w14:paraId="79403EC3" w14:textId="77777777" w:rsidR="002C0325" w:rsidRDefault="002C0325" w:rsidP="00352B78">
            <w:pPr>
              <w:pStyle w:val="Style1"/>
              <w:rPr>
                <w:noProof/>
                <w:sz w:val="20"/>
                <w:szCs w:val="20"/>
                <w:lang w:val="en-GB"/>
              </w:rPr>
            </w:pPr>
            <w:r w:rsidRPr="00800B4B">
              <w:rPr>
                <w:noProof/>
                <w:sz w:val="20"/>
                <w:szCs w:val="20"/>
                <w:lang w:val="en-GB"/>
              </w:rPr>
              <w:t xml:space="preserve">In 2023, the </w:t>
            </w:r>
            <w:r w:rsidRPr="00800B4B">
              <w:rPr>
                <w:b/>
                <w:bCs/>
                <w:noProof/>
                <w:sz w:val="20"/>
                <w:szCs w:val="20"/>
                <w:lang w:val="en-GB"/>
              </w:rPr>
              <w:t xml:space="preserve">Slovak National Centre for Human Rights </w:t>
            </w:r>
            <w:r w:rsidRPr="00800B4B">
              <w:rPr>
                <w:noProof/>
                <w:sz w:val="20"/>
                <w:szCs w:val="20"/>
                <w:lang w:val="en-GB"/>
              </w:rPr>
              <w:t xml:space="preserve">published a report on </w:t>
            </w:r>
            <w:r>
              <w:rPr>
                <w:noProof/>
                <w:sz w:val="20"/>
                <w:szCs w:val="20"/>
                <w:lang w:val="en-GB"/>
              </w:rPr>
              <w:t>t</w:t>
            </w:r>
            <w:r w:rsidRPr="00800B4B">
              <w:rPr>
                <w:noProof/>
                <w:sz w:val="20"/>
                <w:szCs w:val="20"/>
                <w:lang w:val="en-GB"/>
              </w:rPr>
              <w:t xml:space="preserve">he role of national </w:t>
            </w:r>
            <w:r>
              <w:rPr>
                <w:noProof/>
                <w:sz w:val="20"/>
                <w:szCs w:val="20"/>
                <w:lang w:val="en-GB"/>
              </w:rPr>
              <w:t xml:space="preserve">fundamental rights </w:t>
            </w:r>
            <w:r w:rsidRPr="00800B4B">
              <w:rPr>
                <w:noProof/>
                <w:sz w:val="20"/>
                <w:szCs w:val="20"/>
                <w:lang w:val="en-GB"/>
              </w:rPr>
              <w:t>bodies in ensuring fundamental rights compliance of EU funds</w:t>
            </w:r>
            <w:r>
              <w:rPr>
                <w:rStyle w:val="FootnoteReference"/>
                <w:noProof/>
                <w:lang w:val="en-GB"/>
              </w:rPr>
              <w:footnoteReference w:id="142"/>
            </w:r>
            <w:r>
              <w:rPr>
                <w:noProof/>
                <w:sz w:val="20"/>
                <w:szCs w:val="20"/>
                <w:lang w:val="en-GB"/>
              </w:rPr>
              <w:t xml:space="preserve">. </w:t>
            </w:r>
            <w:r w:rsidRPr="002F5A8C">
              <w:rPr>
                <w:noProof/>
                <w:sz w:val="20"/>
                <w:szCs w:val="20"/>
                <w:lang w:val="en-GB"/>
              </w:rPr>
              <w:t xml:space="preserve">According to it, several factors affect the likelihood of reaching the full potential of the Charter HEC. These include the availability of information, capacity-building, cooperation among authorities and the need to simplify management documentation. </w:t>
            </w:r>
          </w:p>
          <w:p w14:paraId="30B4ADE3" w14:textId="77777777" w:rsidR="002C0325" w:rsidRPr="002F5A8C" w:rsidRDefault="002C0325" w:rsidP="00352B78">
            <w:pPr>
              <w:pStyle w:val="Style1"/>
              <w:rPr>
                <w:noProof/>
                <w:sz w:val="20"/>
                <w:szCs w:val="20"/>
                <w:lang w:val="en-GB"/>
              </w:rPr>
            </w:pPr>
          </w:p>
          <w:p w14:paraId="1E7F9870" w14:textId="77777777" w:rsidR="002C0325" w:rsidRDefault="002C0325" w:rsidP="00352B78">
            <w:pPr>
              <w:pStyle w:val="Style1"/>
              <w:rPr>
                <w:noProof/>
                <w:sz w:val="20"/>
                <w:szCs w:val="20"/>
                <w:lang w:val="en-GB"/>
              </w:rPr>
            </w:pPr>
            <w:r w:rsidRPr="002F5A8C">
              <w:rPr>
                <w:noProof/>
                <w:sz w:val="20"/>
                <w:szCs w:val="20"/>
                <w:lang w:val="en-GB"/>
              </w:rPr>
              <w:t xml:space="preserve">The </w:t>
            </w:r>
            <w:r w:rsidRPr="002F5A8C">
              <w:rPr>
                <w:b/>
                <w:bCs/>
                <w:noProof/>
                <w:sz w:val="20"/>
                <w:szCs w:val="20"/>
                <w:lang w:val="en-GB"/>
              </w:rPr>
              <w:t>Polish NHRI</w:t>
            </w:r>
            <w:r w:rsidRPr="002F5A8C">
              <w:rPr>
                <w:noProof/>
                <w:sz w:val="20"/>
                <w:szCs w:val="20"/>
                <w:lang w:val="en-GB"/>
              </w:rPr>
              <w:t xml:space="preserve"> has developed a checklist of Charter compliance for the implementation of EU funds, and a guidance on the application of the Charter when spending EU funds</w:t>
            </w:r>
            <w:r>
              <w:rPr>
                <w:rStyle w:val="FootnoteReference"/>
                <w:noProof/>
                <w:lang w:val="en-GB"/>
              </w:rPr>
              <w:footnoteReference w:id="143"/>
            </w:r>
            <w:r w:rsidRPr="002F5A8C">
              <w:rPr>
                <w:noProof/>
                <w:sz w:val="20"/>
                <w:szCs w:val="20"/>
                <w:lang w:val="en-GB"/>
              </w:rPr>
              <w:t xml:space="preserve">. </w:t>
            </w:r>
          </w:p>
          <w:p w14:paraId="2007B24B" w14:textId="77777777" w:rsidR="002C0325" w:rsidRPr="002F5A8C" w:rsidRDefault="002C0325" w:rsidP="00352B78">
            <w:pPr>
              <w:pStyle w:val="Style1"/>
              <w:rPr>
                <w:noProof/>
                <w:sz w:val="20"/>
                <w:szCs w:val="20"/>
                <w:lang w:val="en-GB"/>
              </w:rPr>
            </w:pPr>
          </w:p>
          <w:p w14:paraId="624FA429" w14:textId="77777777" w:rsidR="002C0325" w:rsidRDefault="002C0325" w:rsidP="00352B78">
            <w:pPr>
              <w:pStyle w:val="Style1"/>
              <w:rPr>
                <w:noProof/>
                <w:lang w:val="en-GB"/>
              </w:rPr>
            </w:pPr>
            <w:r w:rsidRPr="002F5A8C">
              <w:rPr>
                <w:noProof/>
                <w:sz w:val="20"/>
                <w:szCs w:val="20"/>
                <w:lang w:val="en-GB"/>
              </w:rPr>
              <w:t xml:space="preserve">The CERV-funded project </w:t>
            </w:r>
            <w:r w:rsidRPr="002F5A8C">
              <w:rPr>
                <w:b/>
                <w:bCs/>
                <w:noProof/>
                <w:sz w:val="20"/>
                <w:szCs w:val="20"/>
                <w:lang w:val="en-GB"/>
              </w:rPr>
              <w:t>ECHOFunds – Enhancing Charter Compliance of EU Funds</w:t>
            </w:r>
            <w:r w:rsidRPr="002F5A8C">
              <w:rPr>
                <w:noProof/>
                <w:sz w:val="20"/>
                <w:szCs w:val="20"/>
                <w:lang w:val="en-GB"/>
              </w:rPr>
              <w:t xml:space="preserve"> works to provide an overview of the stakeholders involved in the implementation of EU funds, as well as develop online materials based on identified good practice from this field</w:t>
            </w:r>
            <w:r>
              <w:rPr>
                <w:rStyle w:val="FootnoteReference"/>
                <w:noProof/>
                <w:lang w:val="en-GB"/>
              </w:rPr>
              <w:footnoteReference w:id="144"/>
            </w:r>
            <w:r>
              <w:rPr>
                <w:noProof/>
                <w:sz w:val="20"/>
                <w:szCs w:val="20"/>
                <w:lang w:val="en-GB"/>
              </w:rPr>
              <w:t>.</w:t>
            </w:r>
          </w:p>
        </w:tc>
      </w:tr>
    </w:tbl>
    <w:p w14:paraId="1F3EBB5B" w14:textId="510C0C80" w:rsidR="002C0325" w:rsidRPr="007A5BDC" w:rsidRDefault="002C0325" w:rsidP="002C0325">
      <w:pPr>
        <w:widowControl w:val="0"/>
        <w:spacing w:before="240" w:line="276" w:lineRule="auto"/>
        <w:jc w:val="both"/>
        <w:rPr>
          <w:rFonts w:ascii="Times New Roman" w:hAnsi="Times New Roman" w:cs="Times New Roman"/>
          <w:noProof/>
          <w:sz w:val="24"/>
          <w:szCs w:val="24"/>
          <w:lang w:val="en-GB"/>
        </w:rPr>
      </w:pPr>
      <w:r w:rsidRPr="007A5BDC">
        <w:rPr>
          <w:rFonts w:ascii="Times New Roman" w:hAnsi="Times New Roman" w:cs="Times New Roman"/>
          <w:noProof/>
          <w:sz w:val="24"/>
          <w:szCs w:val="24"/>
        </w:rPr>
        <w:t>As a result of the intensive dialogue between the Commission and the Member States during the approval phase of the programmes and after the approval, 26 Member States currently fulfill the Charter HEC</w:t>
      </w:r>
      <w:r w:rsidRPr="007A5BDC">
        <w:rPr>
          <w:rStyle w:val="FootnoteReference"/>
          <w:noProof/>
        </w:rPr>
        <w:footnoteReference w:id="145"/>
      </w:r>
      <w:r w:rsidRPr="007A5BDC">
        <w:rPr>
          <w:rFonts w:ascii="Times New Roman" w:hAnsi="Times New Roman" w:cs="Times New Roman"/>
          <w:noProof/>
          <w:sz w:val="24"/>
          <w:szCs w:val="24"/>
        </w:rPr>
        <w:t xml:space="preserve">. </w:t>
      </w:r>
      <w:r w:rsidRPr="007A5BDC">
        <w:rPr>
          <w:rFonts w:ascii="Times New Roman" w:hAnsi="Times New Roman" w:cs="Times New Roman"/>
          <w:noProof/>
          <w:sz w:val="24"/>
          <w:szCs w:val="24"/>
          <w:lang w:val="en-GB"/>
        </w:rPr>
        <w:t>One Member State does not yet fulfil it under several programmes, as serious concerns related to several fundamental rights remain</w:t>
      </w:r>
      <w:r w:rsidRPr="007A5BDC">
        <w:rPr>
          <w:rStyle w:val="FootnoteReference"/>
          <w:noProof/>
          <w:lang w:val="en-GB"/>
        </w:rPr>
        <w:footnoteReference w:id="146"/>
      </w:r>
      <w:r w:rsidRPr="007A5BDC">
        <w:rPr>
          <w:rFonts w:ascii="Times New Roman" w:hAnsi="Times New Roman" w:cs="Times New Roman"/>
          <w:noProof/>
          <w:sz w:val="24"/>
          <w:szCs w:val="24"/>
          <w:lang w:val="en-GB"/>
        </w:rPr>
        <w:t>.</w:t>
      </w:r>
    </w:p>
    <w:p w14:paraId="44A642C3" w14:textId="77777777" w:rsidR="002C0325" w:rsidRPr="00025919" w:rsidRDefault="002C0325" w:rsidP="002C0325">
      <w:pPr>
        <w:pStyle w:val="Style1"/>
        <w:rPr>
          <w:noProof/>
        </w:rPr>
      </w:pPr>
      <w:r w:rsidRPr="00F57E29">
        <w:rPr>
          <w:noProof/>
          <w:lang w:val="en-US"/>
        </w:rPr>
        <w:t>The Commission continuously monitor</w:t>
      </w:r>
      <w:r>
        <w:rPr>
          <w:noProof/>
          <w:lang w:val="en-US"/>
        </w:rPr>
        <w:t>s</w:t>
      </w:r>
      <w:r w:rsidRPr="00F57E29">
        <w:rPr>
          <w:noProof/>
          <w:lang w:val="en-US"/>
        </w:rPr>
        <w:t xml:space="preserve"> whether the Charter HEC remains fulfilled or whether developments in the Member States </w:t>
      </w:r>
      <w:r>
        <w:rPr>
          <w:noProof/>
          <w:lang w:val="en-US"/>
        </w:rPr>
        <w:t xml:space="preserve">have an impact on </w:t>
      </w:r>
      <w:r w:rsidRPr="00F57E29">
        <w:rPr>
          <w:noProof/>
          <w:lang w:val="en-US"/>
        </w:rPr>
        <w:t>the fulfilment</w:t>
      </w:r>
      <w:r>
        <w:rPr>
          <w:noProof/>
          <w:lang w:val="en-US"/>
        </w:rPr>
        <w:t xml:space="preserve"> of enabling conditions</w:t>
      </w:r>
      <w:r w:rsidRPr="00F57E29">
        <w:rPr>
          <w:noProof/>
          <w:lang w:val="en-US"/>
        </w:rPr>
        <w:t xml:space="preserve">. </w:t>
      </w:r>
      <w:r>
        <w:rPr>
          <w:noProof/>
          <w:lang w:val="en-US"/>
        </w:rPr>
        <w:t xml:space="preserve">In addition to the regular channels of information used by the Commission, the CPR provides a framework for </w:t>
      </w:r>
      <w:r w:rsidRPr="00F57E29">
        <w:rPr>
          <w:noProof/>
          <w:lang w:val="en-US"/>
        </w:rPr>
        <w:t>monitoring, among others, through Annual Performance Review meetings</w:t>
      </w:r>
      <w:r>
        <w:rPr>
          <w:rStyle w:val="FootnoteReference"/>
          <w:noProof/>
          <w:lang w:val="en-US"/>
        </w:rPr>
        <w:footnoteReference w:id="147"/>
      </w:r>
      <w:r>
        <w:rPr>
          <w:noProof/>
          <w:lang w:val="en-US"/>
        </w:rPr>
        <w:t xml:space="preserve"> </w:t>
      </w:r>
      <w:r w:rsidRPr="00F57E29">
        <w:rPr>
          <w:noProof/>
          <w:lang w:val="en-US"/>
        </w:rPr>
        <w:t xml:space="preserve">and </w:t>
      </w:r>
      <w:r>
        <w:rPr>
          <w:noProof/>
          <w:lang w:val="en-US"/>
        </w:rPr>
        <w:t>m</w:t>
      </w:r>
      <w:r w:rsidRPr="00F57E29">
        <w:rPr>
          <w:noProof/>
          <w:lang w:val="en-US"/>
        </w:rPr>
        <w:t xml:space="preserve">onitoring </w:t>
      </w:r>
      <w:r>
        <w:rPr>
          <w:noProof/>
          <w:lang w:val="en-US"/>
        </w:rPr>
        <w:t>c</w:t>
      </w:r>
      <w:r w:rsidRPr="00F57E29">
        <w:rPr>
          <w:noProof/>
          <w:lang w:val="en-US"/>
        </w:rPr>
        <w:t>ommittee meetings</w:t>
      </w:r>
      <w:r>
        <w:rPr>
          <w:rStyle w:val="FootnoteReference"/>
          <w:noProof/>
          <w:lang w:val="en-US"/>
        </w:rPr>
        <w:footnoteReference w:id="148"/>
      </w:r>
      <w:r>
        <w:rPr>
          <w:noProof/>
          <w:lang w:val="en-US"/>
        </w:rPr>
        <w:t>. These</w:t>
      </w:r>
      <w:r w:rsidRPr="00F57E29">
        <w:rPr>
          <w:noProof/>
          <w:lang w:val="en-US"/>
        </w:rPr>
        <w:t xml:space="preserve"> underlin</w:t>
      </w:r>
      <w:r>
        <w:rPr>
          <w:noProof/>
          <w:lang w:val="en-US"/>
        </w:rPr>
        <w:t>e</w:t>
      </w:r>
      <w:r w:rsidRPr="00F57E29">
        <w:rPr>
          <w:noProof/>
          <w:lang w:val="en-US"/>
        </w:rPr>
        <w:t xml:space="preserve"> the legal obligation for Member States to </w:t>
      </w:r>
      <w:r>
        <w:rPr>
          <w:noProof/>
          <w:lang w:val="en-US"/>
        </w:rPr>
        <w:t>discuss with</w:t>
      </w:r>
      <w:r w:rsidRPr="00F57E29">
        <w:rPr>
          <w:noProof/>
          <w:lang w:val="en-US"/>
        </w:rPr>
        <w:t xml:space="preserve"> the </w:t>
      </w:r>
      <w:r>
        <w:rPr>
          <w:noProof/>
          <w:lang w:val="en-US"/>
        </w:rPr>
        <w:t xml:space="preserve">partners in monitoring committes or the </w:t>
      </w:r>
      <w:r w:rsidRPr="00F57E29">
        <w:rPr>
          <w:noProof/>
          <w:lang w:val="en-US"/>
        </w:rPr>
        <w:t xml:space="preserve">Commission any </w:t>
      </w:r>
      <w:r>
        <w:rPr>
          <w:noProof/>
          <w:lang w:val="en-US"/>
        </w:rPr>
        <w:t xml:space="preserve">issues impacting </w:t>
      </w:r>
      <w:r w:rsidRPr="00F57E29">
        <w:rPr>
          <w:noProof/>
          <w:lang w:val="en-US"/>
        </w:rPr>
        <w:t>the fulfilment of the Charter HEC.</w:t>
      </w:r>
    </w:p>
    <w:p w14:paraId="395C0F3A" w14:textId="77777777" w:rsidR="002C0325" w:rsidRPr="002C4AE4" w:rsidRDefault="002C0325" w:rsidP="002C0325">
      <w:pPr>
        <w:pStyle w:val="Headerlevel2"/>
      </w:pPr>
      <w:r>
        <w:t xml:space="preserve"> Measures to prevent and mitigate the abuse of EU funds </w:t>
      </w:r>
    </w:p>
    <w:p w14:paraId="1BC0FC7D" w14:textId="77777777" w:rsidR="002C0325" w:rsidRDefault="002C0325" w:rsidP="002C0325">
      <w:pPr>
        <w:pStyle w:val="Style1"/>
        <w:rPr>
          <w:noProof/>
        </w:rPr>
      </w:pPr>
      <w:r w:rsidRPr="001E5A75">
        <w:rPr>
          <w:noProof/>
        </w:rPr>
        <w:t xml:space="preserve">Member States have a general responsibility to respect the </w:t>
      </w:r>
      <w:r>
        <w:rPr>
          <w:noProof/>
        </w:rPr>
        <w:t xml:space="preserve">common </w:t>
      </w:r>
      <w:r w:rsidRPr="001E5A75">
        <w:rPr>
          <w:noProof/>
        </w:rPr>
        <w:t>values</w:t>
      </w:r>
      <w:r>
        <w:rPr>
          <w:noProof/>
        </w:rPr>
        <w:t xml:space="preserve"> </w:t>
      </w:r>
      <w:r w:rsidRPr="001E5A75">
        <w:rPr>
          <w:noProof/>
        </w:rPr>
        <w:t>enshrined in Article 2</w:t>
      </w:r>
      <w:r>
        <w:rPr>
          <w:noProof/>
        </w:rPr>
        <w:t xml:space="preserve"> TEU and the Charter, when implementing the EU budget. The Financial Regulation</w:t>
      </w:r>
      <w:r>
        <w:rPr>
          <w:rStyle w:val="FootnoteReference"/>
          <w:noProof/>
        </w:rPr>
        <w:footnoteReference w:id="149"/>
      </w:r>
      <w:r>
        <w:rPr>
          <w:noProof/>
        </w:rPr>
        <w:t xml:space="preserve"> requires the Commission to ensure at all stages of the funding cycle (pre-signature, implementation, ex-post checks) that </w:t>
      </w:r>
      <w:r w:rsidRPr="007D65AA">
        <w:rPr>
          <w:noProof/>
        </w:rPr>
        <w:t>EU funding is not issued to organisations and projects that carry out activities that are incompatible with EU values</w:t>
      </w:r>
      <w:r w:rsidRPr="000B6BFA">
        <w:rPr>
          <w:rStyle w:val="FootnoteReference"/>
          <w:noProof/>
        </w:rPr>
        <w:footnoteReference w:id="150"/>
      </w:r>
      <w:r w:rsidRPr="00C44F5E">
        <w:rPr>
          <w:noProof/>
        </w:rPr>
        <w:t xml:space="preserve">. </w:t>
      </w:r>
    </w:p>
    <w:p w14:paraId="55A307C6" w14:textId="77777777" w:rsidR="002C0325" w:rsidRDefault="002C0325" w:rsidP="002C0325">
      <w:pPr>
        <w:pStyle w:val="Style1"/>
        <w:rPr>
          <w:noProof/>
        </w:rPr>
      </w:pPr>
      <w:r>
        <w:rPr>
          <w:noProof/>
        </w:rPr>
        <w:t xml:space="preserve">Before the signing of a grant agreement, the Commission evaluates the submitted proposals to select those to be funded. At this stage, checks are carried out to verify whether the projects respect EU values. The </w:t>
      </w:r>
      <w:r w:rsidRPr="002C4AE4">
        <w:rPr>
          <w:b/>
          <w:bCs/>
          <w:noProof/>
        </w:rPr>
        <w:t>Early Detection and Exclusion System (EDES)</w:t>
      </w:r>
      <w:r>
        <w:rPr>
          <w:noProof/>
        </w:rPr>
        <w:t xml:space="preserve">, a mechanism to protect the EU’s financial interests against unreliable persons and entities, enables the early detection of entities who represent risks, and provides for their exclusion. It also enables </w:t>
      </w:r>
      <w:r w:rsidRPr="00E9661E">
        <w:rPr>
          <w:noProof/>
        </w:rPr>
        <w:t xml:space="preserve">the imposition of a financial penalty </w:t>
      </w:r>
      <w:r>
        <w:rPr>
          <w:noProof/>
        </w:rPr>
        <w:t xml:space="preserve">following </w:t>
      </w:r>
      <w:r w:rsidRPr="00E9661E">
        <w:rPr>
          <w:noProof/>
        </w:rPr>
        <w:t>Article 138 of the Financial Regulation</w:t>
      </w:r>
      <w:r>
        <w:rPr>
          <w:rStyle w:val="FootnoteReference"/>
          <w:noProof/>
        </w:rPr>
        <w:footnoteReference w:id="151"/>
      </w:r>
      <w:r>
        <w:rPr>
          <w:noProof/>
        </w:rPr>
        <w:t>.</w:t>
      </w:r>
      <w:r w:rsidRPr="00E9661E">
        <w:rPr>
          <w:noProof/>
        </w:rPr>
        <w:t xml:space="preserve"> </w:t>
      </w:r>
      <w:r>
        <w:rPr>
          <w:noProof/>
        </w:rPr>
        <w:t xml:space="preserve">In addition, grant signatories sign a declaration of honour to certify that they do not take part in activities against EU values. </w:t>
      </w:r>
      <w:r w:rsidRPr="000B6BFA">
        <w:rPr>
          <w:b/>
          <w:bCs/>
          <w:noProof/>
        </w:rPr>
        <w:t>Detailed eligibility criteria concerning the respect of EU values</w:t>
      </w:r>
      <w:r>
        <w:rPr>
          <w:noProof/>
        </w:rPr>
        <w:t xml:space="preserve"> may also be included in specific calls for proposals.</w:t>
      </w:r>
    </w:p>
    <w:p w14:paraId="6A6E11E4" w14:textId="77777777" w:rsidR="002C0325" w:rsidRDefault="002C0325" w:rsidP="002C0325">
      <w:pPr>
        <w:pStyle w:val="Style1"/>
        <w:rPr>
          <w:noProof/>
        </w:rPr>
      </w:pPr>
      <w:r>
        <w:rPr>
          <w:noProof/>
        </w:rPr>
        <w:t xml:space="preserve">During the implementation stage, </w:t>
      </w:r>
      <w:r w:rsidRPr="00E9661E">
        <w:rPr>
          <w:b/>
          <w:bCs/>
          <w:noProof/>
        </w:rPr>
        <w:t xml:space="preserve">corporate </w:t>
      </w:r>
      <w:r>
        <w:rPr>
          <w:b/>
          <w:bCs/>
          <w:noProof/>
        </w:rPr>
        <w:t>m</w:t>
      </w:r>
      <w:r w:rsidRPr="00E9661E">
        <w:rPr>
          <w:b/>
          <w:bCs/>
          <w:noProof/>
        </w:rPr>
        <w:t xml:space="preserve">odel </w:t>
      </w:r>
      <w:r>
        <w:rPr>
          <w:b/>
          <w:bCs/>
          <w:noProof/>
        </w:rPr>
        <w:t>g</w:t>
      </w:r>
      <w:r w:rsidRPr="00E9661E">
        <w:rPr>
          <w:b/>
          <w:bCs/>
          <w:noProof/>
        </w:rPr>
        <w:t xml:space="preserve">rant </w:t>
      </w:r>
      <w:r>
        <w:rPr>
          <w:b/>
          <w:bCs/>
          <w:noProof/>
        </w:rPr>
        <w:t>a</w:t>
      </w:r>
      <w:r w:rsidRPr="00E9661E">
        <w:rPr>
          <w:b/>
          <w:bCs/>
          <w:noProof/>
        </w:rPr>
        <w:t>greement</w:t>
      </w:r>
      <w:r>
        <w:rPr>
          <w:b/>
          <w:bCs/>
          <w:noProof/>
        </w:rPr>
        <w:t>s</w:t>
      </w:r>
      <w:r w:rsidRPr="002966E3">
        <w:rPr>
          <w:rStyle w:val="FootnoteReference"/>
          <w:noProof/>
        </w:rPr>
        <w:footnoteReference w:id="152"/>
      </w:r>
      <w:r w:rsidRPr="00055471">
        <w:rPr>
          <w:noProof/>
        </w:rPr>
        <w:t xml:space="preserve"> </w:t>
      </w:r>
      <w:r>
        <w:rPr>
          <w:noProof/>
        </w:rPr>
        <w:t xml:space="preserve">provide for the obligation for the selected beneficiaries to respect EU values. This obligation is extended to associated partners, subcontractors, and recipients of financial support to third parties. If a breach of EU values is identified </w:t>
      </w:r>
      <w:r w:rsidRPr="002175B0">
        <w:rPr>
          <w:b/>
          <w:bCs/>
          <w:noProof/>
        </w:rPr>
        <w:t>during the implementation of the action</w:t>
      </w:r>
      <w:r>
        <w:rPr>
          <w:noProof/>
        </w:rPr>
        <w:t>, the authorising officer can take measures, such as the suspension of payment, grant reduction or cost rejection, termination of the agreement or of the participation of the concerned beneficiary.</w:t>
      </w:r>
    </w:p>
    <w:p w14:paraId="1BB1454D" w14:textId="77777777" w:rsidR="002C0325" w:rsidRDefault="002C0325" w:rsidP="002C0325">
      <w:pPr>
        <w:pStyle w:val="Style1"/>
        <w:rPr>
          <w:noProof/>
        </w:rPr>
      </w:pPr>
      <w:r w:rsidRPr="000B6BFA">
        <w:rPr>
          <w:b/>
          <w:bCs/>
          <w:noProof/>
        </w:rPr>
        <w:t>A</w:t>
      </w:r>
      <w:r w:rsidRPr="00A27180">
        <w:rPr>
          <w:b/>
          <w:bCs/>
          <w:noProof/>
        </w:rPr>
        <w:t>fter</w:t>
      </w:r>
      <w:r w:rsidRPr="00572A5A">
        <w:rPr>
          <w:b/>
          <w:bCs/>
          <w:noProof/>
        </w:rPr>
        <w:t xml:space="preserve"> the</w:t>
      </w:r>
      <w:r>
        <w:rPr>
          <w:b/>
          <w:bCs/>
          <w:noProof/>
        </w:rPr>
        <w:t xml:space="preserve"> activity’s</w:t>
      </w:r>
      <w:r w:rsidRPr="00572A5A">
        <w:rPr>
          <w:b/>
          <w:bCs/>
          <w:noProof/>
        </w:rPr>
        <w:t xml:space="preserve"> </w:t>
      </w:r>
      <w:r>
        <w:rPr>
          <w:b/>
          <w:bCs/>
          <w:noProof/>
        </w:rPr>
        <w:t>finalisation</w:t>
      </w:r>
      <w:r>
        <w:rPr>
          <w:noProof/>
        </w:rPr>
        <w:t xml:space="preserve">, the grant remains subject to checks, audits or investigation by the granting authority, </w:t>
      </w:r>
      <w:r w:rsidRPr="00FC0709">
        <w:rPr>
          <w:noProof/>
        </w:rPr>
        <w:t>European Anti-Fraud Office (OLAF)</w:t>
      </w:r>
      <w:r>
        <w:rPr>
          <w:noProof/>
        </w:rPr>
        <w:t>,</w:t>
      </w:r>
      <w:r w:rsidRPr="00FC0709">
        <w:rPr>
          <w:noProof/>
        </w:rPr>
        <w:t xml:space="preserve"> </w:t>
      </w:r>
      <w:r>
        <w:rPr>
          <w:noProof/>
        </w:rPr>
        <w:t>or the Court of Auditors.</w:t>
      </w:r>
      <w:r>
        <w:rPr>
          <w:rStyle w:val="FootnoteReference"/>
          <w:noProof/>
        </w:rPr>
        <w:footnoteReference w:id="153"/>
      </w:r>
      <w:r>
        <w:rPr>
          <w:noProof/>
        </w:rPr>
        <w:t xml:space="preserve"> </w:t>
      </w:r>
      <w:r w:rsidRPr="00FC0709">
        <w:rPr>
          <w:noProof/>
        </w:rPr>
        <w:t xml:space="preserve">OLAF </w:t>
      </w:r>
      <w:r>
        <w:rPr>
          <w:noProof/>
        </w:rPr>
        <w:t xml:space="preserve">moreover </w:t>
      </w:r>
      <w:r w:rsidRPr="00FC0709">
        <w:rPr>
          <w:noProof/>
        </w:rPr>
        <w:t xml:space="preserve">manages the </w:t>
      </w:r>
      <w:r w:rsidRPr="00FC0709">
        <w:rPr>
          <w:b/>
          <w:noProof/>
        </w:rPr>
        <w:t>Union Anti-Fraud Programme</w:t>
      </w:r>
      <w:r w:rsidRPr="001E5A75">
        <w:rPr>
          <w:rStyle w:val="FootnoteReference"/>
          <w:noProof/>
        </w:rPr>
        <w:footnoteReference w:id="154"/>
      </w:r>
      <w:r w:rsidRPr="001E5A75">
        <w:rPr>
          <w:bCs/>
          <w:noProof/>
        </w:rPr>
        <w:t xml:space="preserve">, </w:t>
      </w:r>
      <w:r>
        <w:rPr>
          <w:noProof/>
        </w:rPr>
        <w:t>which</w:t>
      </w:r>
      <w:r w:rsidRPr="00FC0709">
        <w:rPr>
          <w:noProof/>
        </w:rPr>
        <w:t xml:space="preserve"> support</w:t>
      </w:r>
      <w:r>
        <w:rPr>
          <w:noProof/>
        </w:rPr>
        <w:t>s</w:t>
      </w:r>
      <w:r w:rsidRPr="00FC0709">
        <w:rPr>
          <w:noProof/>
        </w:rPr>
        <w:t xml:space="preserve"> Member States in their fight against fraud a</w:t>
      </w:r>
      <w:r>
        <w:rPr>
          <w:noProof/>
        </w:rPr>
        <w:t>gainst</w:t>
      </w:r>
      <w:r w:rsidRPr="00FC0709">
        <w:rPr>
          <w:noProof/>
        </w:rPr>
        <w:t xml:space="preserve"> the financial interests of the EU</w:t>
      </w:r>
      <w:r>
        <w:rPr>
          <w:noProof/>
        </w:rPr>
        <w:t>. Support is</w:t>
      </w:r>
      <w:r w:rsidRPr="00FC0709">
        <w:rPr>
          <w:noProof/>
        </w:rPr>
        <w:t xml:space="preserve"> </w:t>
      </w:r>
      <w:r>
        <w:rPr>
          <w:noProof/>
        </w:rPr>
        <w:t>provided as</w:t>
      </w:r>
      <w:r w:rsidRPr="00FC0709">
        <w:rPr>
          <w:noProof/>
        </w:rPr>
        <w:t xml:space="preserve"> technical assistance, training, and research.</w:t>
      </w:r>
      <w:r>
        <w:rPr>
          <w:noProof/>
        </w:rPr>
        <w:t xml:space="preserve"> Some of the funded</w:t>
      </w:r>
      <w:r w:rsidRPr="00FC0709">
        <w:rPr>
          <w:noProof/>
        </w:rPr>
        <w:t xml:space="preserve"> projects</w:t>
      </w:r>
      <w:r>
        <w:rPr>
          <w:noProof/>
        </w:rPr>
        <w:t xml:space="preserve"> have focused on</w:t>
      </w:r>
      <w:r w:rsidRPr="00FC0709">
        <w:rPr>
          <w:noProof/>
        </w:rPr>
        <w:t xml:space="preserve"> </w:t>
      </w:r>
      <w:r>
        <w:rPr>
          <w:noProof/>
        </w:rPr>
        <w:t>ensuring</w:t>
      </w:r>
      <w:r w:rsidRPr="00FC0709">
        <w:rPr>
          <w:noProof/>
        </w:rPr>
        <w:t xml:space="preserve"> that the investigations comply with fundamental rights and procedural guarantees. </w:t>
      </w:r>
    </w:p>
    <w:p w14:paraId="7ABC5CE8" w14:textId="77777777" w:rsidR="002C0325" w:rsidRPr="00D33AA1" w:rsidRDefault="002C0325" w:rsidP="002C0325">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sidRPr="00D33AA1">
        <w:rPr>
          <w:rFonts w:ascii="Times New Roman" w:hAnsi="Times New Roman" w:cs="Times New Roman"/>
          <w:bCs/>
          <w:noProof/>
          <w:sz w:val="20"/>
          <w:szCs w:val="20"/>
        </w:rPr>
        <w:t>The</w:t>
      </w:r>
      <w:r w:rsidRPr="00D33AA1">
        <w:rPr>
          <w:rFonts w:ascii="Times New Roman" w:hAnsi="Times New Roman" w:cs="Times New Roman"/>
          <w:b/>
          <w:noProof/>
          <w:sz w:val="20"/>
          <w:szCs w:val="20"/>
        </w:rPr>
        <w:t xml:space="preserve"> Non-Incrimination principle In Administrative and OLAF investigations</w:t>
      </w:r>
      <w:r w:rsidRPr="00D33AA1">
        <w:rPr>
          <w:rFonts w:ascii="Times New Roman" w:hAnsi="Times New Roman" w:cs="Times New Roman"/>
          <w:noProof/>
          <w:sz w:val="20"/>
          <w:szCs w:val="20"/>
        </w:rPr>
        <w:t xml:space="preserve"> </w:t>
      </w:r>
      <w:r w:rsidRPr="00D33AA1">
        <w:rPr>
          <w:rFonts w:ascii="Times New Roman" w:hAnsi="Times New Roman" w:cs="Times New Roman"/>
          <w:b/>
          <w:bCs/>
          <w:noProof/>
          <w:sz w:val="20"/>
          <w:szCs w:val="20"/>
        </w:rPr>
        <w:t>(NonIncrimInA)</w:t>
      </w:r>
      <w:r w:rsidRPr="00D33AA1">
        <w:rPr>
          <w:rStyle w:val="FootnoteReference"/>
          <w:noProof/>
          <w:sz w:val="20"/>
          <w:szCs w:val="20"/>
        </w:rPr>
        <w:footnoteReference w:id="155"/>
      </w:r>
      <w:r w:rsidRPr="00D33AA1">
        <w:rPr>
          <w:rFonts w:ascii="Times New Roman" w:hAnsi="Times New Roman" w:cs="Times New Roman"/>
          <w:noProof/>
          <w:sz w:val="20"/>
          <w:szCs w:val="20"/>
        </w:rPr>
        <w:t xml:space="preserve"> project aims to reinforce the protection of the EU’s financial interests and fair trial guarantees. It conducts legal research and provides training on the application of the right to remain silent and not to incriminate oneself in administrative proceedings, in particular in OLAF investigations, in light of the CJEU’s case law.</w:t>
      </w:r>
    </w:p>
    <w:p w14:paraId="27452A7E" w14:textId="77777777" w:rsidR="002C0325" w:rsidRDefault="002C0325" w:rsidP="002C0325">
      <w:pPr>
        <w:pStyle w:val="Style1"/>
        <w:rPr>
          <w:noProof/>
          <w:lang w:val="en-GB"/>
        </w:rPr>
      </w:pPr>
      <w:r w:rsidRPr="002966E3">
        <w:rPr>
          <w:noProof/>
        </w:rPr>
        <w:t xml:space="preserve">Sectoral </w:t>
      </w:r>
      <w:r>
        <w:rPr>
          <w:noProof/>
        </w:rPr>
        <w:t xml:space="preserve">funding </w:t>
      </w:r>
      <w:r w:rsidRPr="002966E3">
        <w:rPr>
          <w:noProof/>
        </w:rPr>
        <w:t xml:space="preserve">legislation may set further requirements </w:t>
      </w:r>
      <w:r>
        <w:rPr>
          <w:noProof/>
        </w:rPr>
        <w:t xml:space="preserve">regarding </w:t>
      </w:r>
      <w:r w:rsidRPr="002966E3">
        <w:rPr>
          <w:noProof/>
        </w:rPr>
        <w:t>EU values.</w:t>
      </w:r>
      <w:r>
        <w:rPr>
          <w:noProof/>
        </w:rPr>
        <w:t xml:space="preserve"> For instance, the </w:t>
      </w:r>
      <w:r w:rsidRPr="000B6BFA">
        <w:rPr>
          <w:b/>
          <w:bCs/>
          <w:noProof/>
        </w:rPr>
        <w:t>CERV</w:t>
      </w:r>
      <w:r>
        <w:rPr>
          <w:noProof/>
        </w:rPr>
        <w:t xml:space="preserve"> Regulation</w:t>
      </w:r>
      <w:r>
        <w:rPr>
          <w:rStyle w:val="FootnoteReference"/>
          <w:noProof/>
        </w:rPr>
        <w:footnoteReference w:id="156"/>
      </w:r>
      <w:r>
        <w:rPr>
          <w:noProof/>
        </w:rPr>
        <w:t xml:space="preserve"> refers to the </w:t>
      </w:r>
      <w:r w:rsidRPr="00F06793">
        <w:rPr>
          <w:b/>
          <w:bCs/>
          <w:noProof/>
        </w:rPr>
        <w:t>need to actively cultivate, protect and promote the founding values and fundamental rights</w:t>
      </w:r>
      <w:r>
        <w:rPr>
          <w:noProof/>
        </w:rPr>
        <w:t xml:space="preserve"> at a time where European societies are confronted with extremism, radicalism and divisions, and where the space for independent civil society is shrinking. </w:t>
      </w:r>
      <w:r>
        <w:rPr>
          <w:noProof/>
          <w:lang w:val="en-GB"/>
        </w:rPr>
        <w:t xml:space="preserve">Potential applicants are required to outline the </w:t>
      </w:r>
      <w:r w:rsidRPr="00D94841">
        <w:rPr>
          <w:noProof/>
          <w:lang w:val="en-GB"/>
        </w:rPr>
        <w:t xml:space="preserve">measures </w:t>
      </w:r>
      <w:r>
        <w:rPr>
          <w:noProof/>
          <w:lang w:val="en-GB"/>
        </w:rPr>
        <w:t>they plan to take</w:t>
      </w:r>
      <w:r w:rsidRPr="00D94841">
        <w:rPr>
          <w:noProof/>
          <w:lang w:val="en-GB"/>
        </w:rPr>
        <w:t xml:space="preserve"> to guarantee full compliance with the EU values and Article 21 of the Charter</w:t>
      </w:r>
      <w:r>
        <w:rPr>
          <w:rStyle w:val="FootnoteReference"/>
          <w:noProof/>
        </w:rPr>
        <w:footnoteReference w:id="157"/>
      </w:r>
      <w:r w:rsidRPr="00D94841">
        <w:rPr>
          <w:noProof/>
          <w:lang w:val="en-GB"/>
        </w:rPr>
        <w:t>.</w:t>
      </w:r>
      <w:r>
        <w:rPr>
          <w:noProof/>
          <w:lang w:val="en-GB"/>
        </w:rPr>
        <w:t xml:space="preserve"> </w:t>
      </w:r>
    </w:p>
    <w:p w14:paraId="237BE124" w14:textId="77777777" w:rsidR="002C0325" w:rsidRPr="000522FF" w:rsidRDefault="002C0325" w:rsidP="002C0325">
      <w:pPr>
        <w:autoSpaceDE w:val="0"/>
        <w:autoSpaceDN w:val="0"/>
        <w:adjustRightInd w:val="0"/>
        <w:spacing w:after="120"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w:t>
      </w:r>
      <w:r w:rsidRPr="00321A5B">
        <w:rPr>
          <w:rFonts w:ascii="Times New Roman" w:hAnsi="Times New Roman" w:cs="Times New Roman"/>
          <w:noProof/>
          <w:color w:val="000000"/>
          <w:sz w:val="24"/>
          <w:szCs w:val="24"/>
        </w:rPr>
        <w:t>s of 2024,</w:t>
      </w:r>
      <w:r>
        <w:rPr>
          <w:rFonts w:ascii="Times New Roman" w:hAnsi="Times New Roman" w:cs="Times New Roman"/>
          <w:noProof/>
          <w:color w:val="000000"/>
          <w:sz w:val="24"/>
          <w:szCs w:val="24"/>
        </w:rPr>
        <w:t xml:space="preserve"> </w:t>
      </w:r>
      <w:r w:rsidRPr="00321A5B">
        <w:rPr>
          <w:rFonts w:ascii="Times New Roman" w:hAnsi="Times New Roman" w:cs="Times New Roman"/>
          <w:noProof/>
          <w:color w:val="000000"/>
          <w:sz w:val="24"/>
          <w:szCs w:val="24"/>
          <w:lang w:eastAsia="en-GB"/>
        </w:rPr>
        <w:t>the national agencies</w:t>
      </w:r>
      <w:r w:rsidRPr="000522FF">
        <w:rPr>
          <w:rFonts w:ascii="Times New Roman" w:hAnsi="Times New Roman" w:cs="Times New Roman"/>
          <w:noProof/>
          <w:color w:val="000000"/>
          <w:sz w:val="24"/>
          <w:szCs w:val="24"/>
          <w:lang w:eastAsia="en-GB"/>
        </w:rPr>
        <w:t xml:space="preserve"> </w:t>
      </w:r>
      <w:r w:rsidRPr="00321A5B">
        <w:rPr>
          <w:rFonts w:ascii="Times New Roman" w:hAnsi="Times New Roman" w:cs="Times New Roman"/>
          <w:noProof/>
          <w:color w:val="000000"/>
          <w:sz w:val="24"/>
          <w:szCs w:val="24"/>
          <w:lang w:eastAsia="en-GB"/>
        </w:rPr>
        <w:t xml:space="preserve">implementing the </w:t>
      </w:r>
      <w:r w:rsidRPr="000B6BFA">
        <w:rPr>
          <w:rFonts w:ascii="Times New Roman" w:hAnsi="Times New Roman" w:cs="Times New Roman"/>
          <w:b/>
          <w:bCs/>
          <w:noProof/>
          <w:color w:val="000000"/>
          <w:sz w:val="24"/>
          <w:szCs w:val="24"/>
          <w:lang w:eastAsia="en-GB"/>
        </w:rPr>
        <w:t>Erasmus+</w:t>
      </w:r>
      <w:r w:rsidRPr="00321A5B">
        <w:rPr>
          <w:rFonts w:ascii="Times New Roman" w:hAnsi="Times New Roman" w:cs="Times New Roman"/>
          <w:noProof/>
          <w:color w:val="000000"/>
          <w:sz w:val="24"/>
          <w:szCs w:val="24"/>
          <w:lang w:eastAsia="en-GB"/>
        </w:rPr>
        <w:t xml:space="preserve"> programme through indirect management </w:t>
      </w:r>
      <w:r>
        <w:rPr>
          <w:rFonts w:ascii="Times New Roman" w:hAnsi="Times New Roman" w:cs="Times New Roman"/>
          <w:noProof/>
          <w:color w:val="000000"/>
          <w:sz w:val="24"/>
          <w:szCs w:val="24"/>
          <w:lang w:eastAsia="en-GB"/>
        </w:rPr>
        <w:t xml:space="preserve">are also explicitly </w:t>
      </w:r>
      <w:r w:rsidRPr="00321A5B">
        <w:rPr>
          <w:rFonts w:ascii="Times New Roman" w:hAnsi="Times New Roman" w:cs="Times New Roman"/>
          <w:noProof/>
          <w:color w:val="000000"/>
          <w:sz w:val="24"/>
          <w:szCs w:val="24"/>
          <w:lang w:eastAsia="en-GB"/>
        </w:rPr>
        <w:t>require</w:t>
      </w:r>
      <w:r>
        <w:rPr>
          <w:rFonts w:ascii="Times New Roman" w:hAnsi="Times New Roman" w:cs="Times New Roman"/>
          <w:noProof/>
          <w:color w:val="000000"/>
          <w:sz w:val="24"/>
          <w:szCs w:val="24"/>
          <w:lang w:eastAsia="en-GB"/>
        </w:rPr>
        <w:t>d</w:t>
      </w:r>
      <w:r w:rsidRPr="00321A5B">
        <w:rPr>
          <w:rFonts w:ascii="Times New Roman" w:hAnsi="Times New Roman" w:cs="Times New Roman"/>
          <w:noProof/>
          <w:color w:val="000000"/>
          <w:sz w:val="24"/>
          <w:szCs w:val="24"/>
          <w:lang w:eastAsia="en-GB"/>
        </w:rPr>
        <w:t xml:space="preserve"> to ensure the respect of EU values</w:t>
      </w:r>
      <w:r w:rsidRPr="00321A5B">
        <w:rPr>
          <w:rStyle w:val="FootnoteReference"/>
          <w:noProof/>
          <w:color w:val="000000"/>
          <w:lang w:eastAsia="en-GB"/>
        </w:rPr>
        <w:footnoteReference w:id="158"/>
      </w:r>
      <w:r w:rsidRPr="00321A5B">
        <w:rPr>
          <w:rFonts w:ascii="Times New Roman" w:hAnsi="Times New Roman" w:cs="Times New Roman"/>
          <w:noProof/>
          <w:color w:val="000000"/>
          <w:sz w:val="24"/>
          <w:szCs w:val="24"/>
          <w:lang w:eastAsia="en-GB"/>
        </w:rPr>
        <w:t xml:space="preserve">. </w:t>
      </w:r>
      <w:r>
        <w:rPr>
          <w:rFonts w:ascii="Times New Roman" w:eastAsia="Times New Roman" w:hAnsi="Times New Roman" w:cs="Times New Roman"/>
          <w:noProof/>
          <w:color w:val="000000"/>
          <w:sz w:val="24"/>
          <w:szCs w:val="24"/>
          <w:lang w:eastAsia="en-IE"/>
        </w:rPr>
        <w:t>In addition,</w:t>
      </w:r>
      <w:r w:rsidRPr="00321A5B">
        <w:rPr>
          <w:rFonts w:ascii="Times New Roman" w:eastAsia="Times New Roman" w:hAnsi="Times New Roman" w:cs="Times New Roman"/>
          <w:noProof/>
          <w:color w:val="000000"/>
          <w:sz w:val="24"/>
          <w:szCs w:val="24"/>
          <w:lang w:eastAsia="en-IE"/>
        </w:rPr>
        <w:t xml:space="preserve"> </w:t>
      </w:r>
      <w:r>
        <w:rPr>
          <w:rFonts w:ascii="Times New Roman" w:eastAsia="Times New Roman" w:hAnsi="Times New Roman" w:cs="Times New Roman"/>
          <w:noProof/>
          <w:color w:val="000000"/>
          <w:sz w:val="24"/>
          <w:szCs w:val="24"/>
          <w:lang w:eastAsia="en-IE"/>
        </w:rPr>
        <w:t xml:space="preserve">the </w:t>
      </w:r>
      <w:r w:rsidRPr="00321A5B">
        <w:rPr>
          <w:rFonts w:ascii="Times New Roman" w:eastAsia="Times New Roman" w:hAnsi="Times New Roman" w:cs="Times New Roman"/>
          <w:noProof/>
          <w:color w:val="000000"/>
          <w:sz w:val="24"/>
          <w:szCs w:val="24"/>
          <w:lang w:eastAsia="en-IE"/>
        </w:rPr>
        <w:t xml:space="preserve">grant award criteria include </w:t>
      </w:r>
      <w:r>
        <w:rPr>
          <w:rFonts w:ascii="Times New Roman" w:eastAsia="Times New Roman" w:hAnsi="Times New Roman" w:cs="Times New Roman"/>
          <w:noProof/>
          <w:color w:val="000000"/>
          <w:sz w:val="24"/>
          <w:szCs w:val="24"/>
          <w:lang w:eastAsia="en-IE"/>
        </w:rPr>
        <w:t>“</w:t>
      </w:r>
      <w:r w:rsidRPr="00321A5B">
        <w:rPr>
          <w:rFonts w:ascii="Times New Roman" w:eastAsia="Times New Roman" w:hAnsi="Times New Roman" w:cs="Times New Roman"/>
          <w:noProof/>
          <w:color w:val="000000"/>
          <w:sz w:val="24"/>
          <w:szCs w:val="24"/>
          <w:lang w:eastAsia="en-IE"/>
        </w:rPr>
        <w:t>the extent to which the proposal is relevant for the respect and promotion</w:t>
      </w:r>
      <w:r>
        <w:rPr>
          <w:rFonts w:ascii="Times New Roman" w:eastAsia="Times New Roman" w:hAnsi="Times New Roman" w:cs="Times New Roman"/>
          <w:noProof/>
          <w:color w:val="000000"/>
          <w:sz w:val="24"/>
          <w:szCs w:val="24"/>
          <w:lang w:eastAsia="en-IE"/>
        </w:rPr>
        <w:t>”.</w:t>
      </w:r>
      <w:r w:rsidRPr="00321A5B">
        <w:rPr>
          <w:rFonts w:ascii="Times New Roman" w:eastAsia="Times New Roman" w:hAnsi="Times New Roman" w:cs="Times New Roman"/>
          <w:noProof/>
          <w:color w:val="000000"/>
          <w:sz w:val="24"/>
          <w:szCs w:val="24"/>
          <w:lang w:eastAsia="en-IE"/>
        </w:rPr>
        <w:t xml:space="preserve"> </w:t>
      </w:r>
      <w:r>
        <w:rPr>
          <w:rFonts w:ascii="Times New Roman" w:hAnsi="Times New Roman" w:cs="Times New Roman"/>
          <w:noProof/>
          <w:color w:val="000000"/>
          <w:sz w:val="24"/>
          <w:szCs w:val="24"/>
        </w:rPr>
        <w:t>A</w:t>
      </w:r>
      <w:r w:rsidRPr="00321A5B">
        <w:rPr>
          <w:rFonts w:ascii="Times New Roman" w:hAnsi="Times New Roman" w:cs="Times New Roman"/>
          <w:noProof/>
          <w:color w:val="000000"/>
          <w:sz w:val="24"/>
          <w:szCs w:val="24"/>
        </w:rPr>
        <w:t xml:space="preserve"> grant may be terminated or reduced if these provisions are not respected</w:t>
      </w:r>
      <w:r w:rsidRPr="00321A5B">
        <w:rPr>
          <w:rFonts w:ascii="Times New Roman" w:hAnsi="Times New Roman" w:cs="Times New Roman"/>
          <w:noProof/>
          <w:color w:val="000000"/>
          <w:sz w:val="24"/>
          <w:szCs w:val="24"/>
          <w:vertAlign w:val="superscript"/>
        </w:rPr>
        <w:footnoteReference w:id="159"/>
      </w:r>
      <w:r w:rsidRPr="00321A5B">
        <w:rPr>
          <w:rFonts w:ascii="Times New Roman" w:hAnsi="Times New Roman" w:cs="Times New Roman"/>
          <w:noProof/>
          <w:color w:val="000000"/>
          <w:sz w:val="24"/>
          <w:szCs w:val="24"/>
        </w:rPr>
        <w:t xml:space="preserve">. </w:t>
      </w:r>
    </w:p>
    <w:p w14:paraId="6278F2D9" w14:textId="77777777" w:rsidR="002C0325" w:rsidRDefault="002C0325" w:rsidP="002C0325">
      <w:pPr>
        <w:jc w:val="both"/>
        <w:rPr>
          <w:rFonts w:ascii="Times New Roman" w:hAnsi="Times New Roman" w:cs="Times New Roman"/>
          <w:noProof/>
          <w:sz w:val="24"/>
          <w:szCs w:val="24"/>
        </w:rPr>
      </w:pPr>
      <w:r>
        <w:rPr>
          <w:rFonts w:ascii="Times New Roman" w:hAnsi="Times New Roman" w:cs="Times New Roman"/>
          <w:noProof/>
          <w:color w:val="000000"/>
          <w:sz w:val="24"/>
          <w:szCs w:val="24"/>
        </w:rPr>
        <w:t xml:space="preserve">Similarly, in the </w:t>
      </w:r>
      <w:r w:rsidRPr="000B6BFA">
        <w:rPr>
          <w:rFonts w:ascii="Times New Roman" w:hAnsi="Times New Roman" w:cs="Times New Roman"/>
          <w:b/>
          <w:bCs/>
          <w:noProof/>
          <w:color w:val="000000"/>
          <w:sz w:val="24"/>
          <w:szCs w:val="24"/>
        </w:rPr>
        <w:t>Horizon Europe</w:t>
      </w:r>
      <w:r>
        <w:rPr>
          <w:rFonts w:ascii="Times New Roman" w:hAnsi="Times New Roman" w:cs="Times New Roman"/>
          <w:noProof/>
          <w:color w:val="000000"/>
          <w:sz w:val="24"/>
          <w:szCs w:val="24"/>
        </w:rPr>
        <w:t xml:space="preserve"> programme</w:t>
      </w:r>
      <w:r w:rsidRPr="00B466D9">
        <w:rPr>
          <w:rStyle w:val="FootnoteReference"/>
          <w:rFonts w:eastAsia="Times New Roman"/>
          <w:noProof/>
        </w:rPr>
        <w:footnoteReference w:id="160"/>
      </w:r>
      <w:r w:rsidRPr="000522FF">
        <w:rPr>
          <w:rFonts w:ascii="Times New Roman" w:hAnsi="Times New Roman" w:cs="Times New Roman"/>
          <w:noProof/>
          <w:color w:val="000000"/>
          <w:sz w:val="24"/>
          <w:szCs w:val="24"/>
        </w:rPr>
        <w:t xml:space="preserve">, </w:t>
      </w:r>
      <w:r w:rsidRPr="00B466D9">
        <w:rPr>
          <w:rFonts w:ascii="Times New Roman" w:eastAsia="Times New Roman" w:hAnsi="Times New Roman" w:cs="Times New Roman"/>
          <w:noProof/>
          <w:sz w:val="24"/>
          <w:szCs w:val="24"/>
          <w:lang w:val="en-GB"/>
        </w:rPr>
        <w:t xml:space="preserve">all research and innovation activities carried out must comply with national, EU and international law, including the Charter and the European Convention on Human Rights. </w:t>
      </w:r>
      <w:r w:rsidRPr="00B466D9">
        <w:rPr>
          <w:rFonts w:ascii="Times New Roman" w:eastAsia="Times New Roman" w:hAnsi="Times New Roman" w:cs="Times New Roman"/>
          <w:noProof/>
          <w:sz w:val="24"/>
          <w:szCs w:val="24"/>
        </w:rPr>
        <w:t xml:space="preserve">These provisions are </w:t>
      </w:r>
      <w:r w:rsidRPr="00B466D9">
        <w:rPr>
          <w:rFonts w:ascii="Times New Roman" w:hAnsi="Times New Roman" w:cs="Times New Roman"/>
          <w:noProof/>
          <w:sz w:val="24"/>
          <w:szCs w:val="24"/>
        </w:rPr>
        <w:t xml:space="preserve">translated into contractual obligations </w:t>
      </w:r>
      <w:r>
        <w:rPr>
          <w:rFonts w:ascii="Times New Roman" w:hAnsi="Times New Roman" w:cs="Times New Roman"/>
          <w:noProof/>
          <w:sz w:val="24"/>
          <w:szCs w:val="24"/>
        </w:rPr>
        <w:t>in</w:t>
      </w:r>
      <w:r w:rsidRPr="00B466D9">
        <w:rPr>
          <w:rFonts w:ascii="Times New Roman" w:hAnsi="Times New Roman" w:cs="Times New Roman"/>
          <w:noProof/>
          <w:sz w:val="24"/>
          <w:szCs w:val="24"/>
        </w:rPr>
        <w:t xml:space="preserve"> the </w:t>
      </w:r>
      <w:r>
        <w:rPr>
          <w:rFonts w:ascii="Times New Roman" w:hAnsi="Times New Roman" w:cs="Times New Roman"/>
          <w:noProof/>
          <w:sz w:val="24"/>
          <w:szCs w:val="24"/>
        </w:rPr>
        <w:t>m</w:t>
      </w:r>
      <w:r w:rsidRPr="00B466D9">
        <w:rPr>
          <w:rFonts w:ascii="Times New Roman" w:hAnsi="Times New Roman" w:cs="Times New Roman"/>
          <w:noProof/>
          <w:sz w:val="24"/>
          <w:szCs w:val="24"/>
        </w:rPr>
        <w:t xml:space="preserve">odel </w:t>
      </w:r>
      <w:r>
        <w:rPr>
          <w:rFonts w:ascii="Times New Roman" w:hAnsi="Times New Roman" w:cs="Times New Roman"/>
          <w:noProof/>
          <w:sz w:val="24"/>
          <w:szCs w:val="24"/>
        </w:rPr>
        <w:t>g</w:t>
      </w:r>
      <w:r w:rsidRPr="00B466D9">
        <w:rPr>
          <w:rFonts w:ascii="Times New Roman" w:hAnsi="Times New Roman" w:cs="Times New Roman"/>
          <w:noProof/>
          <w:sz w:val="24"/>
          <w:szCs w:val="24"/>
        </w:rPr>
        <w:t xml:space="preserve">rant </w:t>
      </w:r>
      <w:r>
        <w:rPr>
          <w:rFonts w:ascii="Times New Roman" w:hAnsi="Times New Roman" w:cs="Times New Roman"/>
          <w:noProof/>
          <w:sz w:val="24"/>
          <w:szCs w:val="24"/>
        </w:rPr>
        <w:t>a</w:t>
      </w:r>
      <w:r w:rsidRPr="00B466D9">
        <w:rPr>
          <w:rFonts w:ascii="Times New Roman" w:hAnsi="Times New Roman" w:cs="Times New Roman"/>
          <w:noProof/>
          <w:sz w:val="24"/>
          <w:szCs w:val="24"/>
        </w:rPr>
        <w:t>greement</w:t>
      </w:r>
      <w:r w:rsidRPr="00B466D9">
        <w:rPr>
          <w:rStyle w:val="FootnoteReference"/>
          <w:noProof/>
        </w:rPr>
        <w:footnoteReference w:id="161"/>
      </w:r>
      <w:r w:rsidRPr="00B466D9">
        <w:rPr>
          <w:rFonts w:ascii="Times New Roman" w:hAnsi="Times New Roman" w:cs="Times New Roman"/>
          <w:noProof/>
          <w:sz w:val="24"/>
          <w:szCs w:val="24"/>
        </w:rPr>
        <w:t xml:space="preserve">. </w:t>
      </w:r>
    </w:p>
    <w:p w14:paraId="550967B1" w14:textId="77777777" w:rsidR="002C0325" w:rsidRPr="00800B4B" w:rsidRDefault="002C0325" w:rsidP="002C0325">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0"/>
          <w:szCs w:val="20"/>
        </w:rPr>
      </w:pPr>
      <w:r w:rsidRPr="00800B4B">
        <w:rPr>
          <w:rFonts w:ascii="Times New Roman" w:hAnsi="Times New Roman" w:cs="Times New Roman"/>
          <w:b/>
          <w:noProof/>
          <w:sz w:val="20"/>
          <w:szCs w:val="20"/>
        </w:rPr>
        <w:t>Et</w:t>
      </w:r>
      <w:r w:rsidRPr="00800B4B">
        <w:rPr>
          <w:rFonts w:ascii="Times New Roman" w:hAnsi="Times New Roman" w:cs="Times New Roman"/>
          <w:b/>
          <w:bCs/>
          <w:noProof/>
          <w:sz w:val="20"/>
          <w:szCs w:val="20"/>
        </w:rPr>
        <w:t>hical compliance is seen as pivotal for achieving research excellence</w:t>
      </w:r>
      <w:r w:rsidRPr="00800B4B">
        <w:rPr>
          <w:rFonts w:ascii="Times New Roman" w:hAnsi="Times New Roman" w:cs="Times New Roman"/>
          <w:noProof/>
          <w:sz w:val="20"/>
          <w:szCs w:val="20"/>
        </w:rPr>
        <w:t xml:space="preserve">. </w:t>
      </w:r>
      <w:r w:rsidRPr="00800B4B">
        <w:rPr>
          <w:rFonts w:ascii="Times New Roman" w:hAnsi="Times New Roman" w:cs="Times New Roman"/>
          <w:noProof/>
          <w:sz w:val="20"/>
          <w:szCs w:val="20"/>
          <w:lang w:val="en-GB"/>
        </w:rPr>
        <w:t xml:space="preserve">Before projects are granted, </w:t>
      </w:r>
      <w:r>
        <w:rPr>
          <w:rFonts w:ascii="Times New Roman" w:hAnsi="Times New Roman" w:cs="Times New Roman"/>
          <w:noProof/>
          <w:sz w:val="20"/>
          <w:szCs w:val="20"/>
          <w:lang w:val="en-GB"/>
        </w:rPr>
        <w:t xml:space="preserve">Horizon Europe </w:t>
      </w:r>
      <w:r w:rsidRPr="00800B4B">
        <w:rPr>
          <w:rFonts w:ascii="Times New Roman" w:hAnsi="Times New Roman" w:cs="Times New Roman"/>
          <w:noProof/>
          <w:sz w:val="20"/>
          <w:szCs w:val="20"/>
          <w:lang w:val="en-GB"/>
        </w:rPr>
        <w:t>proposals undergo an ethics evaluation</w:t>
      </w:r>
      <w:r w:rsidRPr="00800B4B">
        <w:rPr>
          <w:rStyle w:val="FootnoteReference"/>
          <w:noProof/>
          <w:sz w:val="20"/>
          <w:szCs w:val="20"/>
          <w:lang w:val="en-GB"/>
        </w:rPr>
        <w:footnoteReference w:id="162"/>
      </w:r>
      <w:r w:rsidRPr="00800B4B">
        <w:rPr>
          <w:rFonts w:ascii="Times New Roman" w:hAnsi="Times New Roman" w:cs="Times New Roman"/>
          <w:noProof/>
          <w:sz w:val="20"/>
          <w:szCs w:val="20"/>
          <w:lang w:val="en-GB"/>
        </w:rPr>
        <w:t xml:space="preserve"> to verify compliance with ethical rules and standards</w:t>
      </w:r>
      <w:r w:rsidRPr="00800B4B">
        <w:rPr>
          <w:rFonts w:ascii="Times New Roman" w:hAnsi="Times New Roman" w:cs="Times New Roman"/>
          <w:noProof/>
          <w:sz w:val="20"/>
          <w:szCs w:val="20"/>
        </w:rPr>
        <w:t>, including the Charter</w:t>
      </w:r>
      <w:r w:rsidRPr="00800B4B">
        <w:rPr>
          <w:rStyle w:val="FootnoteReference"/>
          <w:noProof/>
          <w:sz w:val="20"/>
          <w:szCs w:val="20"/>
        </w:rPr>
        <w:footnoteReference w:id="163"/>
      </w:r>
      <w:r w:rsidRPr="00800B4B">
        <w:rPr>
          <w:rFonts w:ascii="Times New Roman" w:hAnsi="Times New Roman" w:cs="Times New Roman"/>
          <w:noProof/>
          <w:sz w:val="20"/>
          <w:szCs w:val="20"/>
        </w:rPr>
        <w:t xml:space="preserve">. </w:t>
      </w:r>
      <w:r w:rsidRPr="00800B4B">
        <w:rPr>
          <w:rFonts w:ascii="Times New Roman" w:hAnsi="Times New Roman" w:cs="Times New Roman"/>
          <w:noProof/>
          <w:sz w:val="20"/>
          <w:szCs w:val="20"/>
          <w:lang w:val="en-GB"/>
        </w:rPr>
        <w:t>These aspects are monitored during the project and analysed in cooperation with independent experts</w:t>
      </w:r>
      <w:r w:rsidRPr="00800B4B">
        <w:rPr>
          <w:rFonts w:ascii="Times New Roman" w:hAnsi="Times New Roman" w:cs="Times New Roman"/>
          <w:noProof/>
          <w:sz w:val="20"/>
          <w:szCs w:val="20"/>
        </w:rPr>
        <w:t xml:space="preserve">. Controls and audits ensure that the management and control systems of the programmes implemented in shared management for the 2021-2027 programming period comply with the Charter. </w:t>
      </w:r>
    </w:p>
    <w:p w14:paraId="64DBCA9D" w14:textId="77777777" w:rsidR="002C0325" w:rsidRDefault="002C0325" w:rsidP="002C0325">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and national stakeholders, such as </w:t>
      </w:r>
      <w:r w:rsidRPr="00732A31">
        <w:rPr>
          <w:rFonts w:ascii="Times New Roman" w:hAnsi="Times New Roman" w:cs="Times New Roman"/>
          <w:noProof/>
          <w:sz w:val="24"/>
          <w:szCs w:val="24"/>
        </w:rPr>
        <w:t>NHRIs, equality bodies and ombudspersons</w:t>
      </w:r>
      <w:r>
        <w:rPr>
          <w:rFonts w:ascii="Times New Roman" w:hAnsi="Times New Roman" w:cs="Times New Roman"/>
          <w:noProof/>
          <w:sz w:val="24"/>
          <w:szCs w:val="24"/>
        </w:rPr>
        <w:t>, also implement m</w:t>
      </w:r>
      <w:r w:rsidRPr="00732A31">
        <w:rPr>
          <w:rFonts w:ascii="Times New Roman" w:hAnsi="Times New Roman" w:cs="Times New Roman"/>
          <w:noProof/>
          <w:sz w:val="24"/>
          <w:szCs w:val="24"/>
        </w:rPr>
        <w:t>easures to mitigate risks in the granting and disbursement of funding</w:t>
      </w:r>
      <w:r>
        <w:rPr>
          <w:rFonts w:ascii="Times New Roman" w:hAnsi="Times New Roman" w:cs="Times New Roman"/>
          <w:noProof/>
          <w:sz w:val="24"/>
          <w:szCs w:val="24"/>
        </w:rPr>
        <w:t>. These</w:t>
      </w:r>
      <w:r w:rsidRPr="00732A31">
        <w:rPr>
          <w:rFonts w:ascii="Times New Roman" w:hAnsi="Times New Roman" w:cs="Times New Roman"/>
          <w:noProof/>
          <w:sz w:val="24"/>
          <w:szCs w:val="24"/>
        </w:rPr>
        <w:t xml:space="preserve"> are usually included in the grant agreements. </w:t>
      </w:r>
      <w:r>
        <w:rPr>
          <w:rFonts w:ascii="Times New Roman" w:hAnsi="Times New Roman" w:cs="Times New Roman"/>
          <w:noProof/>
          <w:sz w:val="24"/>
          <w:szCs w:val="24"/>
        </w:rPr>
        <w:t>These stakeholders also</w:t>
      </w:r>
      <w:r w:rsidRPr="00732A31">
        <w:rPr>
          <w:rFonts w:ascii="Times New Roman" w:hAnsi="Times New Roman" w:cs="Times New Roman"/>
          <w:noProof/>
          <w:sz w:val="24"/>
          <w:szCs w:val="24"/>
        </w:rPr>
        <w:t xml:space="preserve"> refer to national anti-corruption policies, whistleblower rules and codes of conduct. </w:t>
      </w:r>
    </w:p>
    <w:p w14:paraId="5EF8D6A7" w14:textId="564868C2" w:rsidR="002C0325" w:rsidRPr="00D33AA1" w:rsidRDefault="002C0325" w:rsidP="002C0325">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0"/>
          <w:szCs w:val="20"/>
        </w:rPr>
      </w:pPr>
      <w:r w:rsidRPr="00D33AA1">
        <w:rPr>
          <w:rFonts w:ascii="Times New Roman" w:hAnsi="Times New Roman" w:cs="Times New Roman"/>
          <w:noProof/>
          <w:sz w:val="20"/>
          <w:szCs w:val="20"/>
        </w:rPr>
        <w:t xml:space="preserve">In the grant scheme of the </w:t>
      </w:r>
      <w:r w:rsidRPr="00D33AA1">
        <w:rPr>
          <w:rFonts w:ascii="Times New Roman" w:hAnsi="Times New Roman" w:cs="Times New Roman"/>
          <w:b/>
          <w:bCs/>
          <w:noProof/>
          <w:sz w:val="20"/>
          <w:szCs w:val="20"/>
        </w:rPr>
        <w:t>Irish Human Rights and Equality Commission</w:t>
      </w:r>
      <w:r w:rsidRPr="00D33AA1">
        <w:rPr>
          <w:rFonts w:ascii="Times New Roman" w:hAnsi="Times New Roman" w:cs="Times New Roman"/>
          <w:noProof/>
          <w:sz w:val="20"/>
          <w:szCs w:val="20"/>
        </w:rPr>
        <w:t xml:space="preserve"> (IHREC)</w:t>
      </w:r>
      <w:r>
        <w:rPr>
          <w:rStyle w:val="FootnoteReference"/>
          <w:noProof/>
          <w:sz w:val="20"/>
          <w:szCs w:val="20"/>
        </w:rPr>
        <w:footnoteReference w:id="164"/>
      </w:r>
      <w:r w:rsidRPr="00D33AA1">
        <w:rPr>
          <w:rFonts w:ascii="Times New Roman" w:hAnsi="Times New Roman" w:cs="Times New Roman"/>
          <w:noProof/>
          <w:sz w:val="20"/>
          <w:szCs w:val="20"/>
        </w:rPr>
        <w:t xml:space="preserve">, </w:t>
      </w:r>
      <w:r>
        <w:rPr>
          <w:rFonts w:ascii="Times New Roman" w:hAnsi="Times New Roman" w:cs="Times New Roman"/>
          <w:noProof/>
          <w:sz w:val="20"/>
          <w:szCs w:val="20"/>
        </w:rPr>
        <w:t>a</w:t>
      </w:r>
      <w:r w:rsidRPr="00D33AA1">
        <w:rPr>
          <w:rFonts w:ascii="Times New Roman" w:hAnsi="Times New Roman" w:cs="Times New Roman"/>
          <w:noProof/>
          <w:sz w:val="20"/>
          <w:szCs w:val="20"/>
        </w:rPr>
        <w:t xml:space="preserve">n award is </w:t>
      </w:r>
      <w:r>
        <w:rPr>
          <w:rFonts w:ascii="Times New Roman" w:hAnsi="Times New Roman" w:cs="Times New Roman"/>
          <w:noProof/>
          <w:sz w:val="20"/>
          <w:szCs w:val="20"/>
        </w:rPr>
        <w:t>granted</w:t>
      </w:r>
      <w:r w:rsidRPr="00D33AA1">
        <w:rPr>
          <w:rFonts w:ascii="Times New Roman" w:hAnsi="Times New Roman" w:cs="Times New Roman"/>
          <w:noProof/>
          <w:sz w:val="20"/>
          <w:szCs w:val="20"/>
        </w:rPr>
        <w:t xml:space="preserve"> after a financial risk assessment of each shortlisted applicant. Payments are made in instalments, and applicants provide quarterly reports on the progress of their projects and the spending. If challenges are identified, the IHREC assesses the situation and offers support. These projects are monitored more closely. In the rare cases where projects are unable to progress, the IHREC requests the return of funds.</w:t>
      </w:r>
      <w:r>
        <w:rPr>
          <w:rFonts w:ascii="Times New Roman" w:hAnsi="Times New Roman" w:cs="Times New Roman"/>
          <w:noProof/>
          <w:sz w:val="20"/>
          <w:szCs w:val="20"/>
        </w:rPr>
        <w:t xml:space="preserve"> </w:t>
      </w:r>
      <w:r w:rsidRPr="00D33AA1">
        <w:rPr>
          <w:rFonts w:ascii="Times New Roman" w:hAnsi="Times New Roman" w:cs="Times New Roman"/>
          <w:noProof/>
          <w:sz w:val="20"/>
          <w:szCs w:val="20"/>
        </w:rPr>
        <w:t>Once a project is completed, the grantee must submit a final project and financial report together with outstanding receipts and copies of tangible</w:t>
      </w:r>
      <w:r>
        <w:rPr>
          <w:rFonts w:ascii="Times New Roman" w:hAnsi="Times New Roman" w:cs="Times New Roman"/>
          <w:noProof/>
          <w:sz w:val="20"/>
          <w:szCs w:val="20"/>
        </w:rPr>
        <w:t xml:space="preserve"> </w:t>
      </w:r>
      <w:r w:rsidRPr="00D33AA1">
        <w:rPr>
          <w:rFonts w:ascii="Times New Roman" w:hAnsi="Times New Roman" w:cs="Times New Roman"/>
          <w:noProof/>
          <w:sz w:val="20"/>
          <w:szCs w:val="20"/>
        </w:rPr>
        <w:t>outputs. A final payment is released after the satisfactory completion of the project. The grants scheme is reviewed annually by the State’s controller and auditor general. It is also subject to internal audit.</w:t>
      </w:r>
    </w:p>
    <w:p w14:paraId="0B4FBAE9" w14:textId="77777777" w:rsidR="002C0325" w:rsidRPr="00873FF9" w:rsidRDefault="002C0325" w:rsidP="002C0325">
      <w:pPr>
        <w:pStyle w:val="Style1"/>
        <w:rPr>
          <w:noProof/>
        </w:rPr>
      </w:pPr>
    </w:p>
    <w:p w14:paraId="0CC221E3" w14:textId="77777777" w:rsidR="002C0325" w:rsidRPr="004C53B6" w:rsidRDefault="002C0325" w:rsidP="002C0325">
      <w:pPr>
        <w:pStyle w:val="Heading1"/>
        <w:rPr>
          <w:noProof/>
        </w:rPr>
      </w:pPr>
      <w:bookmarkStart w:id="19" w:name="_Toc178607505"/>
      <w:r>
        <w:rPr>
          <w:noProof/>
        </w:rPr>
        <w:t>Funding for f</w:t>
      </w:r>
      <w:r w:rsidRPr="008813CF">
        <w:rPr>
          <w:noProof/>
        </w:rPr>
        <w:t xml:space="preserve">undamental rights </w:t>
      </w:r>
      <w:r>
        <w:rPr>
          <w:noProof/>
        </w:rPr>
        <w:t>in the Member States</w:t>
      </w:r>
      <w:bookmarkEnd w:id="19"/>
    </w:p>
    <w:p w14:paraId="0E9ABF82" w14:textId="32E7C7A6" w:rsidR="002C0325" w:rsidRDefault="002C0325" w:rsidP="002C0325">
      <w:pPr>
        <w:spacing w:after="120" w:line="276" w:lineRule="auto"/>
        <w:jc w:val="both"/>
        <w:rPr>
          <w:rFonts w:ascii="Times New Roman" w:hAnsi="Times New Roman"/>
          <w:noProof/>
          <w:sz w:val="24"/>
          <w:szCs w:val="24"/>
        </w:rPr>
      </w:pPr>
      <w:bookmarkStart w:id="20" w:name="_Toc147916081"/>
      <w:r w:rsidRPr="005B363F">
        <w:rPr>
          <w:rFonts w:ascii="Times New Roman" w:hAnsi="Times New Roman"/>
          <w:noProof/>
          <w:sz w:val="24"/>
          <w:szCs w:val="24"/>
        </w:rPr>
        <w:t xml:space="preserve">Based on the </w:t>
      </w:r>
      <w:r>
        <w:rPr>
          <w:rFonts w:ascii="Times New Roman" w:hAnsi="Times New Roman"/>
          <w:noProof/>
          <w:sz w:val="24"/>
          <w:szCs w:val="24"/>
        </w:rPr>
        <w:t>mutually</w:t>
      </w:r>
      <w:r w:rsidRPr="005B363F">
        <w:rPr>
          <w:rFonts w:ascii="Times New Roman" w:hAnsi="Times New Roman"/>
          <w:noProof/>
          <w:sz w:val="24"/>
          <w:szCs w:val="24"/>
        </w:rPr>
        <w:t xml:space="preserve"> complementary role of EU funding </w:t>
      </w:r>
      <w:r>
        <w:rPr>
          <w:rFonts w:ascii="Times New Roman" w:hAnsi="Times New Roman"/>
          <w:noProof/>
          <w:sz w:val="24"/>
          <w:szCs w:val="24"/>
        </w:rPr>
        <w:t>and</w:t>
      </w:r>
      <w:r w:rsidRPr="005B363F">
        <w:rPr>
          <w:rFonts w:ascii="Times New Roman" w:hAnsi="Times New Roman"/>
          <w:noProof/>
          <w:sz w:val="24"/>
          <w:szCs w:val="24"/>
        </w:rPr>
        <w:t xml:space="preserve"> national funding, this chapte</w:t>
      </w:r>
      <w:r>
        <w:rPr>
          <w:rFonts w:ascii="Times New Roman" w:hAnsi="Times New Roman"/>
          <w:noProof/>
          <w:sz w:val="24"/>
          <w:szCs w:val="24"/>
        </w:rPr>
        <w:t>r describes</w:t>
      </w:r>
      <w:r w:rsidRPr="005B363F">
        <w:rPr>
          <w:rFonts w:ascii="Times New Roman" w:hAnsi="Times New Roman"/>
          <w:noProof/>
          <w:sz w:val="24"/>
          <w:szCs w:val="24"/>
        </w:rPr>
        <w:t xml:space="preserve"> how Member States provide funding to </w:t>
      </w:r>
      <w:r>
        <w:rPr>
          <w:rFonts w:ascii="Times New Roman" w:hAnsi="Times New Roman"/>
          <w:noProof/>
          <w:sz w:val="24"/>
          <w:szCs w:val="24"/>
        </w:rPr>
        <w:t>promote</w:t>
      </w:r>
      <w:r w:rsidRPr="005B363F">
        <w:rPr>
          <w:rFonts w:ascii="Times New Roman" w:hAnsi="Times New Roman"/>
          <w:noProof/>
          <w:sz w:val="24"/>
          <w:szCs w:val="24"/>
        </w:rPr>
        <w:t xml:space="preserve"> the application of fundamental rights. Drawing </w:t>
      </w:r>
      <w:r>
        <w:rPr>
          <w:rFonts w:ascii="Times New Roman" w:hAnsi="Times New Roman"/>
          <w:noProof/>
          <w:sz w:val="24"/>
          <w:szCs w:val="24"/>
        </w:rPr>
        <w:t>in particular</w:t>
      </w:r>
      <w:r w:rsidRPr="005B363F">
        <w:rPr>
          <w:rFonts w:ascii="Times New Roman" w:hAnsi="Times New Roman"/>
          <w:noProof/>
          <w:sz w:val="24"/>
          <w:szCs w:val="24"/>
        </w:rPr>
        <w:t xml:space="preserve"> </w:t>
      </w:r>
      <w:r>
        <w:rPr>
          <w:rFonts w:ascii="Times New Roman" w:hAnsi="Times New Roman"/>
          <w:noProof/>
          <w:sz w:val="24"/>
          <w:szCs w:val="24"/>
        </w:rPr>
        <w:t>on the targeted consultations with</w:t>
      </w:r>
      <w:r w:rsidRPr="005B363F">
        <w:rPr>
          <w:rFonts w:ascii="Times New Roman" w:hAnsi="Times New Roman"/>
          <w:noProof/>
          <w:sz w:val="24"/>
          <w:szCs w:val="24"/>
        </w:rPr>
        <w:t xml:space="preserve"> Member States and other stakeholders, </w:t>
      </w:r>
      <w:r>
        <w:rPr>
          <w:rFonts w:ascii="Times New Roman" w:hAnsi="Times New Roman"/>
          <w:noProof/>
          <w:sz w:val="24"/>
          <w:szCs w:val="24"/>
        </w:rPr>
        <w:t>it</w:t>
      </w:r>
      <w:r w:rsidRPr="005B363F">
        <w:rPr>
          <w:rFonts w:ascii="Times New Roman" w:hAnsi="Times New Roman"/>
          <w:noProof/>
          <w:sz w:val="24"/>
          <w:szCs w:val="24"/>
        </w:rPr>
        <w:t xml:space="preserve"> </w:t>
      </w:r>
      <w:r>
        <w:rPr>
          <w:rFonts w:ascii="Times New Roman" w:hAnsi="Times New Roman"/>
          <w:noProof/>
          <w:sz w:val="24"/>
          <w:szCs w:val="24"/>
        </w:rPr>
        <w:t xml:space="preserve">describes and gives examples </w:t>
      </w:r>
      <w:r w:rsidR="007F470D">
        <w:rPr>
          <w:rFonts w:ascii="Times New Roman" w:hAnsi="Times New Roman"/>
          <w:noProof/>
          <w:sz w:val="24"/>
          <w:szCs w:val="24"/>
        </w:rPr>
        <w:t xml:space="preserve">on </w:t>
      </w:r>
      <w:r>
        <w:rPr>
          <w:rFonts w:ascii="Times New Roman" w:hAnsi="Times New Roman"/>
          <w:noProof/>
          <w:sz w:val="24"/>
          <w:szCs w:val="24"/>
        </w:rPr>
        <w:t>how</w:t>
      </w:r>
      <w:r w:rsidRPr="005B363F">
        <w:rPr>
          <w:rFonts w:ascii="Times New Roman" w:hAnsi="Times New Roman"/>
          <w:noProof/>
          <w:sz w:val="24"/>
          <w:szCs w:val="24"/>
        </w:rPr>
        <w:t xml:space="preserve"> national funding opportunities have been used to </w:t>
      </w:r>
      <w:r>
        <w:rPr>
          <w:rFonts w:ascii="Times New Roman" w:hAnsi="Times New Roman"/>
          <w:noProof/>
          <w:sz w:val="24"/>
          <w:szCs w:val="24"/>
        </w:rPr>
        <w:t>promote</w:t>
      </w:r>
      <w:r w:rsidRPr="005B363F">
        <w:rPr>
          <w:rFonts w:ascii="Times New Roman" w:hAnsi="Times New Roman"/>
          <w:noProof/>
          <w:sz w:val="24"/>
          <w:szCs w:val="24"/>
        </w:rPr>
        <w:t xml:space="preserve"> the application of the Charter. </w:t>
      </w:r>
    </w:p>
    <w:p w14:paraId="3C15A041" w14:textId="77777777" w:rsidR="007F470D" w:rsidRDefault="002C0325" w:rsidP="00E21E46">
      <w:pPr>
        <w:pBdr>
          <w:top w:val="single" w:sz="4" w:space="1" w:color="auto"/>
          <w:left w:val="single" w:sz="4" w:space="4" w:color="auto"/>
          <w:bottom w:val="single" w:sz="4" w:space="0" w:color="auto"/>
          <w:right w:val="single" w:sz="4" w:space="4" w:color="auto"/>
        </w:pBdr>
        <w:jc w:val="both"/>
        <w:rPr>
          <w:rFonts w:ascii="Times New Roman" w:hAnsi="Times New Roman" w:cs="Times New Roman"/>
          <w:noProof/>
          <w:sz w:val="20"/>
          <w:szCs w:val="20"/>
        </w:rPr>
      </w:pPr>
      <w:r w:rsidRPr="000B6BFA">
        <w:rPr>
          <w:rFonts w:ascii="Times New Roman" w:hAnsi="Times New Roman" w:cs="Times New Roman"/>
          <w:noProof/>
          <w:sz w:val="20"/>
          <w:szCs w:val="20"/>
        </w:rPr>
        <w:t xml:space="preserve">In the survey conducted to prepare this report, </w:t>
      </w:r>
      <w:r w:rsidRPr="000B6BFA">
        <w:rPr>
          <w:rFonts w:ascii="Times New Roman" w:hAnsi="Times New Roman" w:cs="Times New Roman"/>
          <w:b/>
          <w:bCs/>
          <w:noProof/>
          <w:sz w:val="20"/>
          <w:szCs w:val="20"/>
        </w:rPr>
        <w:t>one in three (34%) of the responding CSOs indicated that EU funds represented the most important funding source</w:t>
      </w:r>
      <w:r w:rsidRPr="000B6BFA">
        <w:rPr>
          <w:rFonts w:ascii="Times New Roman" w:hAnsi="Times New Roman" w:cs="Times New Roman"/>
          <w:noProof/>
          <w:sz w:val="20"/>
          <w:szCs w:val="20"/>
        </w:rPr>
        <w:t xml:space="preserve"> for their fundamental rights work in 2019-2024, whereas </w:t>
      </w:r>
      <w:r w:rsidRPr="000B6BFA">
        <w:rPr>
          <w:rFonts w:ascii="Times New Roman" w:hAnsi="Times New Roman" w:cs="Times New Roman"/>
          <w:b/>
          <w:bCs/>
          <w:noProof/>
          <w:sz w:val="20"/>
          <w:szCs w:val="20"/>
        </w:rPr>
        <w:t>funding from the national government was the primary source for 17%</w:t>
      </w:r>
      <w:r w:rsidRPr="00800B4B">
        <w:rPr>
          <w:rStyle w:val="FootnoteReference"/>
          <w:rFonts w:eastAsiaTheme="minorEastAsia"/>
          <w:noProof/>
          <w:sz w:val="20"/>
          <w:szCs w:val="20"/>
        </w:rPr>
        <w:footnoteReference w:id="165"/>
      </w:r>
      <w:r w:rsidRPr="000B6BFA">
        <w:rPr>
          <w:rFonts w:ascii="Times New Roman" w:hAnsi="Times New Roman" w:cs="Times New Roman"/>
          <w:noProof/>
          <w:sz w:val="20"/>
          <w:szCs w:val="20"/>
        </w:rPr>
        <w:t>. At the same time, in the FRA’s annual civic space consultation covering experience in 2023</w:t>
      </w:r>
      <w:r w:rsidRPr="00194430">
        <w:rPr>
          <w:rStyle w:val="FootnoteReference"/>
          <w:rFonts w:eastAsia="Calibri"/>
          <w:noProof/>
          <w:sz w:val="20"/>
          <w:szCs w:val="20"/>
        </w:rPr>
        <w:footnoteReference w:id="166"/>
      </w:r>
      <w:r w:rsidRPr="000B6BFA">
        <w:rPr>
          <w:rFonts w:ascii="Times New Roman" w:hAnsi="Times New Roman" w:cs="Times New Roman"/>
          <w:noProof/>
          <w:sz w:val="20"/>
          <w:szCs w:val="20"/>
        </w:rPr>
        <w:t xml:space="preserve">, </w:t>
      </w:r>
      <w:r w:rsidRPr="000B6BFA">
        <w:rPr>
          <w:rFonts w:ascii="Times New Roman" w:hAnsi="Times New Roman" w:cs="Times New Roman"/>
          <w:b/>
          <w:bCs/>
          <w:noProof/>
          <w:sz w:val="20"/>
          <w:szCs w:val="20"/>
        </w:rPr>
        <w:t>CSOs refer to national governments as their main funding source (22%)</w:t>
      </w:r>
      <w:r w:rsidRPr="000B6BFA">
        <w:rPr>
          <w:rFonts w:ascii="Times New Roman" w:hAnsi="Times New Roman" w:cs="Times New Roman"/>
          <w:noProof/>
          <w:sz w:val="20"/>
          <w:szCs w:val="20"/>
        </w:rPr>
        <w:t xml:space="preserve">, followed by funding from the EU and private foundations (17% each). </w:t>
      </w:r>
    </w:p>
    <w:p w14:paraId="2958A5A5" w14:textId="22A4BABF" w:rsidR="007F470D" w:rsidRPr="00E21E46" w:rsidRDefault="007F470D" w:rsidP="00E21E46">
      <w:pPr>
        <w:pBdr>
          <w:top w:val="single" w:sz="4" w:space="1" w:color="auto"/>
          <w:left w:val="single" w:sz="4" w:space="4" w:color="auto"/>
          <w:bottom w:val="single" w:sz="4" w:space="0" w:color="auto"/>
          <w:right w:val="single" w:sz="4" w:space="4" w:color="auto"/>
        </w:pBdr>
        <w:jc w:val="both"/>
        <w:rPr>
          <w:rFonts w:ascii="Times New Roman" w:hAnsi="Times New Roman" w:cs="Times New Roman"/>
          <w:noProof/>
          <w:sz w:val="20"/>
          <w:szCs w:val="20"/>
        </w:rPr>
      </w:pPr>
      <w:r w:rsidRPr="00E21E46">
        <w:rPr>
          <w:rFonts w:ascii="Times New Roman" w:eastAsia="Times New Roman" w:hAnsi="Times New Roman"/>
          <w:noProof/>
          <w:sz w:val="20"/>
          <w:szCs w:val="20"/>
        </w:rPr>
        <w:t xml:space="preserve">The respondents of the civil society survey </w:t>
      </w:r>
      <w:r>
        <w:rPr>
          <w:rFonts w:ascii="Times New Roman" w:eastAsia="Times New Roman" w:hAnsi="Times New Roman"/>
          <w:noProof/>
          <w:sz w:val="20"/>
          <w:szCs w:val="20"/>
        </w:rPr>
        <w:t xml:space="preserve">also </w:t>
      </w:r>
      <w:r w:rsidRPr="00E21E46">
        <w:rPr>
          <w:rFonts w:ascii="Times New Roman" w:eastAsia="Times New Roman" w:hAnsi="Times New Roman"/>
          <w:noProof/>
          <w:sz w:val="20"/>
          <w:szCs w:val="20"/>
        </w:rPr>
        <w:t xml:space="preserve">considered that </w:t>
      </w:r>
      <w:r w:rsidRPr="00E21E46">
        <w:rPr>
          <w:rFonts w:ascii="Times New Roman" w:eastAsia="Times New Roman" w:hAnsi="Times New Roman"/>
          <w:b/>
          <w:bCs/>
          <w:noProof/>
          <w:sz w:val="20"/>
          <w:szCs w:val="20"/>
        </w:rPr>
        <w:t>the main added value of EU funding</w:t>
      </w:r>
      <w:r w:rsidRPr="00E21E46">
        <w:rPr>
          <w:rFonts w:ascii="Times New Roman" w:eastAsia="Times New Roman" w:hAnsi="Times New Roman"/>
          <w:noProof/>
          <w:sz w:val="20"/>
          <w:szCs w:val="20"/>
        </w:rPr>
        <w:t xml:space="preserve"> was in that it supported their organisation’s work on the EU’s founding values (61%), enabled cooperation, partnerships, or networking across several Member States (60%), and supported the development of European networks and civil society (56%). According to some respondents, more attention to national-level regranting mechanisms and core funding would help to further increase the added value</w:t>
      </w:r>
      <w:r w:rsidRPr="00E21E46">
        <w:rPr>
          <w:rStyle w:val="FootnoteReference"/>
          <w:rFonts w:eastAsia="Times New Roman"/>
          <w:noProof/>
          <w:sz w:val="20"/>
          <w:szCs w:val="20"/>
        </w:rPr>
        <w:footnoteReference w:id="167"/>
      </w:r>
      <w:r w:rsidRPr="00E21E46">
        <w:rPr>
          <w:rFonts w:ascii="Times New Roman" w:eastAsia="Times New Roman" w:hAnsi="Times New Roman"/>
          <w:noProof/>
          <w:sz w:val="20"/>
          <w:szCs w:val="20"/>
        </w:rPr>
        <w:t>. In line with this, results from FRA’s annual civic space consultation</w:t>
      </w:r>
      <w:r w:rsidRPr="00E21E46">
        <w:rPr>
          <w:rStyle w:val="FootnoteReference"/>
          <w:rFonts w:eastAsia="Times New Roman"/>
          <w:noProof/>
          <w:sz w:val="20"/>
          <w:szCs w:val="20"/>
        </w:rPr>
        <w:footnoteReference w:id="168"/>
      </w:r>
      <w:r w:rsidRPr="00E21E46">
        <w:rPr>
          <w:rFonts w:ascii="Times New Roman" w:eastAsia="Times New Roman" w:hAnsi="Times New Roman"/>
          <w:noProof/>
          <w:sz w:val="20"/>
          <w:szCs w:val="20"/>
        </w:rPr>
        <w:t xml:space="preserve"> show that 58% of the CSOs consider the further availability of unrestricted, core or infrastructure funding as the most relevant change to funding frameworks.</w:t>
      </w:r>
    </w:p>
    <w:p w14:paraId="7679DDAD" w14:textId="77777777" w:rsidR="002C0325" w:rsidRDefault="002C0325" w:rsidP="002C0325">
      <w:pPr>
        <w:spacing w:after="120" w:line="276" w:lineRule="auto"/>
        <w:jc w:val="both"/>
        <w:rPr>
          <w:rFonts w:ascii="Times New Roman" w:hAnsi="Times New Roman"/>
          <w:noProof/>
          <w:sz w:val="24"/>
          <w:szCs w:val="24"/>
        </w:rPr>
      </w:pPr>
      <w:r>
        <w:rPr>
          <w:rFonts w:ascii="Times New Roman" w:hAnsi="Times New Roman" w:cs="Times New Roman"/>
          <w:noProof/>
          <w:sz w:val="24"/>
          <w:szCs w:val="24"/>
          <w:lang w:val="en-GB"/>
        </w:rPr>
        <w:t>The chapter</w:t>
      </w:r>
      <w:r w:rsidRPr="00EC04DA">
        <w:rPr>
          <w:rFonts w:ascii="Times New Roman" w:hAnsi="Times New Roman" w:cs="Times New Roman"/>
          <w:noProof/>
          <w:sz w:val="24"/>
          <w:szCs w:val="24"/>
          <w:lang w:val="en-GB"/>
        </w:rPr>
        <w:t xml:space="preserve"> also look</w:t>
      </w:r>
      <w:r>
        <w:rPr>
          <w:rFonts w:ascii="Times New Roman" w:hAnsi="Times New Roman" w:cs="Times New Roman"/>
          <w:noProof/>
          <w:sz w:val="24"/>
          <w:szCs w:val="24"/>
          <w:lang w:val="en-GB"/>
        </w:rPr>
        <w:t>s</w:t>
      </w:r>
      <w:r w:rsidRPr="00EC04DA">
        <w:rPr>
          <w:rFonts w:ascii="Times New Roman" w:hAnsi="Times New Roman" w:cs="Times New Roman"/>
          <w:noProof/>
          <w:sz w:val="24"/>
          <w:szCs w:val="24"/>
          <w:lang w:val="en-GB"/>
        </w:rPr>
        <w:t xml:space="preserve"> into the role of NHRIs, equality</w:t>
      </w:r>
      <w:r w:rsidRPr="00DA49C4">
        <w:rPr>
          <w:rFonts w:ascii="Times New Roman" w:hAnsi="Times New Roman" w:cs="Times New Roman"/>
          <w:noProof/>
          <w:sz w:val="24"/>
          <w:szCs w:val="24"/>
          <w:lang w:val="en-GB"/>
        </w:rPr>
        <w:t xml:space="preserve"> bodies and ombudspe</w:t>
      </w:r>
      <w:r>
        <w:rPr>
          <w:rFonts w:ascii="Times New Roman" w:hAnsi="Times New Roman" w:cs="Times New Roman"/>
          <w:noProof/>
          <w:sz w:val="24"/>
          <w:szCs w:val="24"/>
          <w:lang w:val="en-GB"/>
        </w:rPr>
        <w:t>ople</w:t>
      </w:r>
      <w:r w:rsidRPr="00DA49C4">
        <w:rPr>
          <w:rFonts w:ascii="Times New Roman" w:hAnsi="Times New Roman" w:cs="Times New Roman"/>
          <w:noProof/>
          <w:sz w:val="24"/>
          <w:szCs w:val="24"/>
          <w:lang w:val="en-GB"/>
        </w:rPr>
        <w:t xml:space="preserve"> </w:t>
      </w:r>
      <w:r w:rsidRPr="005B363F">
        <w:rPr>
          <w:rFonts w:ascii="Times New Roman" w:hAnsi="Times New Roman"/>
          <w:noProof/>
          <w:sz w:val="24"/>
          <w:szCs w:val="24"/>
        </w:rPr>
        <w:t xml:space="preserve">in </w:t>
      </w:r>
      <w:r>
        <w:rPr>
          <w:rFonts w:ascii="Times New Roman" w:hAnsi="Times New Roman"/>
          <w:noProof/>
          <w:sz w:val="24"/>
          <w:szCs w:val="24"/>
        </w:rPr>
        <w:t>raising</w:t>
      </w:r>
      <w:r w:rsidRPr="005B363F">
        <w:rPr>
          <w:rFonts w:ascii="Times New Roman" w:hAnsi="Times New Roman"/>
          <w:noProof/>
          <w:sz w:val="24"/>
          <w:szCs w:val="24"/>
        </w:rPr>
        <w:t xml:space="preserve"> awareness of</w:t>
      </w:r>
      <w:r>
        <w:rPr>
          <w:rFonts w:ascii="Times New Roman" w:hAnsi="Times New Roman"/>
          <w:noProof/>
          <w:sz w:val="24"/>
          <w:szCs w:val="24"/>
        </w:rPr>
        <w:t xml:space="preserve"> </w:t>
      </w:r>
      <w:r w:rsidRPr="005B363F">
        <w:rPr>
          <w:rFonts w:ascii="Times New Roman" w:hAnsi="Times New Roman"/>
          <w:noProof/>
          <w:sz w:val="24"/>
          <w:szCs w:val="24"/>
        </w:rPr>
        <w:t>funding opportunities</w:t>
      </w:r>
      <w:r>
        <w:rPr>
          <w:rFonts w:ascii="Times New Roman" w:hAnsi="Times New Roman"/>
          <w:noProof/>
          <w:sz w:val="24"/>
          <w:szCs w:val="24"/>
        </w:rPr>
        <w:t xml:space="preserve"> and </w:t>
      </w:r>
      <w:r w:rsidRPr="005B363F">
        <w:rPr>
          <w:rFonts w:ascii="Times New Roman" w:hAnsi="Times New Roman"/>
          <w:noProof/>
          <w:sz w:val="24"/>
          <w:szCs w:val="24"/>
        </w:rPr>
        <w:t>creat</w:t>
      </w:r>
      <w:r>
        <w:rPr>
          <w:rFonts w:ascii="Times New Roman" w:hAnsi="Times New Roman"/>
          <w:noProof/>
          <w:sz w:val="24"/>
          <w:szCs w:val="24"/>
        </w:rPr>
        <w:t>ing</w:t>
      </w:r>
      <w:r w:rsidRPr="005B363F">
        <w:rPr>
          <w:rFonts w:ascii="Times New Roman" w:hAnsi="Times New Roman"/>
          <w:noProof/>
          <w:sz w:val="24"/>
          <w:szCs w:val="24"/>
        </w:rPr>
        <w:t xml:space="preserve"> links between the various levels</w:t>
      </w:r>
      <w:r>
        <w:rPr>
          <w:rFonts w:ascii="Times New Roman" w:hAnsi="Times New Roman"/>
          <w:noProof/>
          <w:sz w:val="24"/>
          <w:szCs w:val="24"/>
        </w:rPr>
        <w:t xml:space="preserve"> of government</w:t>
      </w:r>
      <w:r w:rsidRPr="005B363F">
        <w:rPr>
          <w:rFonts w:ascii="Times New Roman" w:hAnsi="Times New Roman"/>
          <w:noProof/>
          <w:sz w:val="24"/>
          <w:szCs w:val="24"/>
        </w:rPr>
        <w:t xml:space="preserve"> and civil society to facilitate the development and implementation of projects</w:t>
      </w:r>
      <w:r>
        <w:rPr>
          <w:rFonts w:ascii="Times New Roman" w:hAnsi="Times New Roman"/>
          <w:noProof/>
          <w:sz w:val="24"/>
          <w:szCs w:val="24"/>
        </w:rPr>
        <w:t xml:space="preserve"> in their Member States</w:t>
      </w:r>
      <w:r w:rsidRPr="005B363F">
        <w:rPr>
          <w:rFonts w:ascii="Times New Roman" w:hAnsi="Times New Roman"/>
          <w:noProof/>
          <w:sz w:val="24"/>
          <w:szCs w:val="24"/>
        </w:rPr>
        <w:t xml:space="preserve">. </w:t>
      </w:r>
    </w:p>
    <w:p w14:paraId="3C3A38E6" w14:textId="77777777" w:rsidR="002C0325" w:rsidRPr="00AC1336" w:rsidRDefault="002C0325" w:rsidP="002C0325">
      <w:pPr>
        <w:pStyle w:val="Headerlevel2"/>
        <w:rPr>
          <w:lang w:val="en-GB"/>
        </w:rPr>
      </w:pPr>
      <w:bookmarkStart w:id="21" w:name="_Toc147916082"/>
      <w:bookmarkEnd w:id="20"/>
      <w:r w:rsidRPr="00B844BB">
        <w:t xml:space="preserve"> </w:t>
      </w:r>
      <w:r>
        <w:rPr>
          <w:lang w:val="en-GB"/>
        </w:rPr>
        <w:t>Member State funding</w:t>
      </w:r>
      <w:r w:rsidRPr="008476E7" w:rsidDel="00B256DB">
        <w:rPr>
          <w:lang w:val="en-GB"/>
        </w:rPr>
        <w:t xml:space="preserve"> for fundamental rights</w:t>
      </w:r>
    </w:p>
    <w:p w14:paraId="20A59D8F" w14:textId="77777777" w:rsidR="002C0325" w:rsidRDefault="002C0325" w:rsidP="002C0325">
      <w:pPr>
        <w:pStyle w:val="Style1"/>
        <w:rPr>
          <w:noProof/>
          <w:lang w:val="en-GB"/>
        </w:rPr>
      </w:pPr>
      <w:r>
        <w:rPr>
          <w:noProof/>
          <w:lang w:val="en-GB"/>
        </w:rPr>
        <w:t xml:space="preserve">Activities to promote, protect and enforce fundamental rights are generally funded from the statutory budgets of Member States. Given the horizontal scope of application of fundamental rights, nearly all policy areas, including health, education and justice or home affairs, contain activities relevant for the promotion of fundamental rights. Many Member States also support the application of fundamental rights by issuing project grants and complement the EU’s funding efforts by providing the necessary co-financing for EU-funded initiatives. Furthermore, as discussed in chapter 5, several other donors than the EU provide fundamental rights relevant funding in the Member States. </w:t>
      </w:r>
    </w:p>
    <w:p w14:paraId="0C9A2DCD" w14:textId="77777777" w:rsidR="002C0325" w:rsidRPr="00B71F95" w:rsidRDefault="002C0325" w:rsidP="002C0325">
      <w:pPr>
        <w:pStyle w:val="Style1"/>
        <w:rPr>
          <w:noProof/>
          <w:lang w:val="en-GB"/>
        </w:rPr>
      </w:pPr>
      <w:r>
        <w:rPr>
          <w:noProof/>
          <w:lang w:val="en-GB"/>
        </w:rPr>
        <w:t xml:space="preserve">As regards project funding, </w:t>
      </w:r>
      <w:r w:rsidRPr="007D507F">
        <w:rPr>
          <w:b/>
          <w:bCs/>
          <w:noProof/>
          <w:lang w:val="en-GB"/>
        </w:rPr>
        <w:t>Member States</w:t>
      </w:r>
      <w:r w:rsidRPr="000B6BFA">
        <w:rPr>
          <w:b/>
          <w:bCs/>
          <w:noProof/>
          <w:lang w:val="en-GB"/>
        </w:rPr>
        <w:t xml:space="preserve"> provide project funding opportunities</w:t>
      </w:r>
      <w:r>
        <w:rPr>
          <w:noProof/>
          <w:lang w:val="en-GB"/>
        </w:rPr>
        <w:t xml:space="preserve"> in several policy areas related to the application of fundamental rights.</w:t>
      </w:r>
    </w:p>
    <w:tbl>
      <w:tblPr>
        <w:tblW w:w="9350" w:type="dxa"/>
        <w:tblCellMar>
          <w:left w:w="10" w:type="dxa"/>
          <w:right w:w="10" w:type="dxa"/>
        </w:tblCellMar>
        <w:tblLook w:val="04A0" w:firstRow="1" w:lastRow="0" w:firstColumn="1" w:lastColumn="0" w:noHBand="0" w:noVBand="1"/>
      </w:tblPr>
      <w:tblGrid>
        <w:gridCol w:w="9350"/>
      </w:tblGrid>
      <w:tr w:rsidR="002C0325" w:rsidRPr="00D1775C" w14:paraId="2E9650DB" w14:textId="77777777" w:rsidTr="00352B78">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BC374" w14:textId="15069D56" w:rsidR="002C0325" w:rsidRDefault="002C0325" w:rsidP="00352B78">
            <w:pPr>
              <w:spacing w:after="120" w:line="240" w:lineRule="auto"/>
              <w:jc w:val="both"/>
              <w:rPr>
                <w:rFonts w:ascii="Times New Roman" w:eastAsia="Calibri" w:hAnsi="Times New Roman" w:cs="Times New Roman"/>
                <w:noProof/>
                <w:sz w:val="20"/>
                <w:szCs w:val="20"/>
              </w:rPr>
            </w:pPr>
            <w:r w:rsidRPr="00800B4B">
              <w:rPr>
                <w:rFonts w:ascii="Times New Roman" w:hAnsi="Times New Roman" w:cs="Times New Roman"/>
                <w:noProof/>
                <w:sz w:val="20"/>
                <w:szCs w:val="20"/>
              </w:rPr>
              <w:t xml:space="preserve">In </w:t>
            </w:r>
            <w:r w:rsidRPr="00657AAC">
              <w:rPr>
                <w:rFonts w:ascii="Times New Roman" w:eastAsia="Calibri" w:hAnsi="Times New Roman" w:cs="Times New Roman"/>
                <w:noProof/>
                <w:sz w:val="20"/>
                <w:szCs w:val="20"/>
              </w:rPr>
              <w:t xml:space="preserve">the area of equality between women and men, </w:t>
            </w:r>
            <w:r>
              <w:rPr>
                <w:rFonts w:ascii="Times New Roman" w:eastAsia="Calibri" w:hAnsi="Times New Roman" w:cs="Times New Roman"/>
                <w:b/>
                <w:bCs/>
                <w:noProof/>
                <w:sz w:val="20"/>
                <w:szCs w:val="20"/>
              </w:rPr>
              <w:t>Austria</w:t>
            </w:r>
            <w:r w:rsidRPr="00657AAC">
              <w:rPr>
                <w:rFonts w:ascii="Times New Roman" w:eastAsia="Calibri" w:hAnsi="Times New Roman" w:cs="Times New Roman"/>
                <w:noProof/>
                <w:sz w:val="20"/>
                <w:szCs w:val="20"/>
              </w:rPr>
              <w:t xml:space="preserve"> funds projects against gender-based violence and to empower women and girls in science, engineering and mathematics and in the digital world, as well as to develop their financial literacy. Funding has also been made availabl</w:t>
            </w:r>
            <w:r>
              <w:rPr>
                <w:rFonts w:ascii="Times New Roman" w:eastAsia="Calibri" w:hAnsi="Times New Roman" w:cs="Times New Roman"/>
                <w:noProof/>
                <w:sz w:val="20"/>
                <w:szCs w:val="20"/>
              </w:rPr>
              <w:t>e</w:t>
            </w:r>
            <w:r w:rsidRPr="00657AAC">
              <w:rPr>
                <w:rFonts w:ascii="Times New Roman" w:eastAsia="Calibri" w:hAnsi="Times New Roman" w:cs="Times New Roman"/>
                <w:noProof/>
                <w:sz w:val="20"/>
                <w:szCs w:val="20"/>
              </w:rPr>
              <w:t xml:space="preserve"> to empower women over 60, with a focus on women from rural areas</w:t>
            </w:r>
            <w:r>
              <w:rPr>
                <w:rStyle w:val="FootnoteReference"/>
                <w:noProof/>
                <w:lang w:val="en-GB"/>
              </w:rPr>
              <w:footnoteReference w:id="169"/>
            </w:r>
            <w:r>
              <w:rPr>
                <w:rFonts w:ascii="Times New Roman" w:eastAsia="Calibri" w:hAnsi="Times New Roman" w:cs="Times New Roman"/>
                <w:noProof/>
                <w:sz w:val="20"/>
                <w:szCs w:val="20"/>
              </w:rPr>
              <w:t xml:space="preserve">. In the justice field, </w:t>
            </w:r>
            <w:r w:rsidRPr="000B6BFA">
              <w:rPr>
                <w:rFonts w:ascii="Times New Roman" w:eastAsia="Calibri" w:hAnsi="Times New Roman" w:cs="Times New Roman"/>
                <w:b/>
                <w:bCs/>
                <w:noProof/>
                <w:sz w:val="20"/>
                <w:szCs w:val="20"/>
              </w:rPr>
              <w:t>F</w:t>
            </w:r>
            <w:r>
              <w:rPr>
                <w:rFonts w:ascii="Times New Roman" w:eastAsia="Calibri" w:hAnsi="Times New Roman" w:cs="Times New Roman"/>
                <w:b/>
                <w:bCs/>
                <w:noProof/>
                <w:sz w:val="20"/>
                <w:szCs w:val="20"/>
              </w:rPr>
              <w:t>inland</w:t>
            </w:r>
            <w:r w:rsidRPr="00657AAC">
              <w:rPr>
                <w:rFonts w:ascii="Times New Roman" w:eastAsia="Calibri" w:hAnsi="Times New Roman" w:cs="Times New Roman"/>
                <w:noProof/>
                <w:sz w:val="20"/>
                <w:szCs w:val="20"/>
              </w:rPr>
              <w:t xml:space="preserve"> </w:t>
            </w:r>
            <w:r>
              <w:rPr>
                <w:rFonts w:ascii="Times New Roman" w:eastAsia="Calibri" w:hAnsi="Times New Roman" w:cs="Times New Roman"/>
                <w:noProof/>
                <w:sz w:val="20"/>
                <w:szCs w:val="20"/>
              </w:rPr>
              <w:t xml:space="preserve">has </w:t>
            </w:r>
            <w:r w:rsidRPr="00657AAC">
              <w:rPr>
                <w:rFonts w:ascii="Times New Roman" w:eastAsia="Calibri" w:hAnsi="Times New Roman" w:cs="Times New Roman"/>
                <w:noProof/>
                <w:sz w:val="20"/>
                <w:szCs w:val="20"/>
              </w:rPr>
              <w:t>grant</w:t>
            </w:r>
            <w:r>
              <w:rPr>
                <w:rFonts w:ascii="Times New Roman" w:eastAsia="Calibri" w:hAnsi="Times New Roman" w:cs="Times New Roman"/>
                <w:noProof/>
                <w:sz w:val="20"/>
                <w:szCs w:val="20"/>
              </w:rPr>
              <w:t>ed</w:t>
            </w:r>
            <w:r w:rsidRPr="00657AAC">
              <w:rPr>
                <w:rFonts w:ascii="Times New Roman" w:eastAsia="Calibri" w:hAnsi="Times New Roman" w:cs="Times New Roman"/>
                <w:noProof/>
                <w:sz w:val="20"/>
                <w:szCs w:val="20"/>
              </w:rPr>
              <w:t xml:space="preserve"> funding to improve the situation of young crime recidivists at risk of social </w:t>
            </w:r>
            <w:r w:rsidR="00B06FC6">
              <w:rPr>
                <w:rFonts w:ascii="Times New Roman" w:eastAsia="Calibri" w:hAnsi="Times New Roman" w:cs="Times New Roman"/>
                <w:noProof/>
                <w:sz w:val="20"/>
                <w:szCs w:val="20"/>
              </w:rPr>
              <w:t>ex</w:t>
            </w:r>
            <w:r w:rsidRPr="00657AAC">
              <w:rPr>
                <w:rFonts w:ascii="Times New Roman" w:eastAsia="Calibri" w:hAnsi="Times New Roman" w:cs="Times New Roman"/>
                <w:noProof/>
                <w:sz w:val="20"/>
                <w:szCs w:val="20"/>
              </w:rPr>
              <w:t xml:space="preserve">clusion, the prevention of </w:t>
            </w:r>
            <w:r>
              <w:rPr>
                <w:rFonts w:ascii="Times New Roman" w:eastAsia="Calibri" w:hAnsi="Times New Roman" w:cs="Times New Roman"/>
                <w:noProof/>
                <w:sz w:val="20"/>
                <w:szCs w:val="20"/>
              </w:rPr>
              <w:t>radicalization,</w:t>
            </w:r>
            <w:r w:rsidRPr="00657AAC">
              <w:rPr>
                <w:rFonts w:ascii="Times New Roman" w:eastAsia="Calibri" w:hAnsi="Times New Roman" w:cs="Times New Roman"/>
                <w:noProof/>
                <w:sz w:val="20"/>
                <w:szCs w:val="20"/>
              </w:rPr>
              <w:t xml:space="preserve"> and local crime prevention</w:t>
            </w:r>
            <w:r>
              <w:rPr>
                <w:rStyle w:val="FootnoteReference"/>
                <w:rFonts w:eastAsia="Calibri"/>
                <w:noProof/>
              </w:rPr>
              <w:footnoteReference w:id="170"/>
            </w:r>
            <w:r>
              <w:rPr>
                <w:rFonts w:ascii="Times New Roman" w:eastAsia="Calibri" w:hAnsi="Times New Roman" w:cs="Times New Roman"/>
                <w:noProof/>
                <w:sz w:val="20"/>
                <w:szCs w:val="20"/>
              </w:rPr>
              <w:t xml:space="preserve">. </w:t>
            </w:r>
          </w:p>
          <w:p w14:paraId="36E5F289" w14:textId="77777777" w:rsidR="002C0325" w:rsidRPr="000B6BFA" w:rsidRDefault="002C0325" w:rsidP="00352B78">
            <w:pPr>
              <w:spacing w:after="120" w:line="240" w:lineRule="auto"/>
              <w:jc w:val="both"/>
              <w:rPr>
                <w:rFonts w:ascii="Times New Roman" w:eastAsia="Calibri" w:hAnsi="Times New Roman" w:cs="Times New Roman"/>
                <w:noProof/>
                <w:sz w:val="20"/>
                <w:szCs w:val="20"/>
              </w:rPr>
            </w:pPr>
            <w:r>
              <w:rPr>
                <w:rFonts w:ascii="Times New Roman" w:eastAsia="Calibri" w:hAnsi="Times New Roman" w:cs="Times New Roman"/>
                <w:noProof/>
                <w:sz w:val="20"/>
                <w:szCs w:val="20"/>
              </w:rPr>
              <w:t xml:space="preserve">Specific project examples include a project in </w:t>
            </w:r>
            <w:r w:rsidRPr="000B6BFA">
              <w:rPr>
                <w:rFonts w:ascii="Times New Roman" w:eastAsia="Calibri" w:hAnsi="Times New Roman" w:cs="Times New Roman"/>
                <w:b/>
                <w:bCs/>
                <w:noProof/>
                <w:sz w:val="20"/>
                <w:szCs w:val="20"/>
              </w:rPr>
              <w:t>Ireland</w:t>
            </w:r>
            <w:r>
              <w:rPr>
                <w:rFonts w:ascii="Times New Roman" w:eastAsia="Calibri" w:hAnsi="Times New Roman" w:cs="Times New Roman"/>
                <w:noProof/>
                <w:sz w:val="20"/>
                <w:szCs w:val="20"/>
              </w:rPr>
              <w:t>, t</w:t>
            </w:r>
            <w:r w:rsidRPr="000627A8">
              <w:rPr>
                <w:rFonts w:ascii="Times New Roman" w:eastAsia="Calibri" w:hAnsi="Times New Roman" w:cs="Times New Roman"/>
                <w:noProof/>
                <w:sz w:val="20"/>
                <w:szCs w:val="20"/>
              </w:rPr>
              <w:t>he “</w:t>
            </w:r>
            <w:r w:rsidRPr="00681563">
              <w:rPr>
                <w:rFonts w:ascii="Times New Roman" w:eastAsia="Calibri" w:hAnsi="Times New Roman" w:cs="Times New Roman"/>
                <w:noProof/>
                <w:sz w:val="20"/>
                <w:szCs w:val="20"/>
              </w:rPr>
              <w:t xml:space="preserve">Ireland </w:t>
            </w:r>
            <w:r w:rsidRPr="000627A8">
              <w:rPr>
                <w:rFonts w:ascii="Times New Roman" w:eastAsia="Calibri" w:hAnsi="Times New Roman" w:cs="Times New Roman"/>
                <w:noProof/>
                <w:sz w:val="20"/>
                <w:szCs w:val="20"/>
              </w:rPr>
              <w:t>Against Racism Fund”</w:t>
            </w:r>
            <w:r>
              <w:rPr>
                <w:rFonts w:ascii="Times New Roman" w:eastAsia="Calibri" w:hAnsi="Times New Roman" w:cs="Times New Roman"/>
                <w:noProof/>
                <w:sz w:val="20"/>
                <w:szCs w:val="20"/>
              </w:rPr>
              <w:t>, which</w:t>
            </w:r>
            <w:r w:rsidRPr="000627A8">
              <w:rPr>
                <w:rFonts w:ascii="Times New Roman" w:eastAsia="Calibri" w:hAnsi="Times New Roman" w:cs="Times New Roman"/>
                <w:noProof/>
                <w:sz w:val="20"/>
                <w:szCs w:val="20"/>
              </w:rPr>
              <w:t xml:space="preserve"> supports the implementation of the National Action Plan Against Racism by funding work with minority ethnic communities. Funding is provided to local, regional and national projects on fostering racial equality</w:t>
            </w:r>
            <w:r>
              <w:rPr>
                <w:rStyle w:val="FootnoteReference"/>
                <w:rFonts w:eastAsia="Calibri"/>
                <w:noProof/>
              </w:rPr>
              <w:footnoteReference w:id="171"/>
            </w:r>
            <w:r w:rsidRPr="000627A8">
              <w:rPr>
                <w:rFonts w:ascii="Times New Roman" w:eastAsia="Calibri" w:hAnsi="Times New Roman" w:cs="Times New Roman"/>
                <w:noProof/>
                <w:sz w:val="20"/>
                <w:szCs w:val="20"/>
              </w:rPr>
              <w:t>.</w:t>
            </w:r>
            <w:r>
              <w:rPr>
                <w:rFonts w:ascii="Times New Roman" w:eastAsia="Calibri" w:hAnsi="Times New Roman" w:cs="Times New Roman"/>
                <w:noProof/>
                <w:sz w:val="20"/>
                <w:szCs w:val="20"/>
              </w:rPr>
              <w:t xml:space="preserve"> </w:t>
            </w:r>
            <w:r>
              <w:rPr>
                <w:rFonts w:ascii="Times New Roman" w:eastAsia="Calibri" w:hAnsi="Times New Roman" w:cs="Times New Roman"/>
                <w:iCs/>
                <w:noProof/>
                <w:sz w:val="20"/>
                <w:szCs w:val="20"/>
              </w:rPr>
              <w:t xml:space="preserve">In </w:t>
            </w:r>
            <w:r w:rsidRPr="000B6BFA">
              <w:rPr>
                <w:rFonts w:ascii="Times New Roman" w:eastAsia="Calibri" w:hAnsi="Times New Roman" w:cs="Times New Roman"/>
                <w:b/>
                <w:bCs/>
                <w:iCs/>
                <w:noProof/>
                <w:sz w:val="20"/>
                <w:szCs w:val="20"/>
              </w:rPr>
              <w:t>Austria</w:t>
            </w:r>
            <w:r>
              <w:rPr>
                <w:rFonts w:ascii="Times New Roman" w:eastAsia="Calibri" w:hAnsi="Times New Roman" w:cs="Times New Roman"/>
                <w:iCs/>
                <w:noProof/>
                <w:sz w:val="20"/>
                <w:szCs w:val="20"/>
              </w:rPr>
              <w:t>, a</w:t>
            </w:r>
            <w:r w:rsidRPr="00681563">
              <w:rPr>
                <w:rFonts w:ascii="Times New Roman" w:eastAsia="Calibri" w:hAnsi="Times New Roman" w:cs="Times New Roman"/>
                <w:iCs/>
                <w:noProof/>
                <w:sz w:val="20"/>
                <w:szCs w:val="20"/>
              </w:rPr>
              <w:t xml:space="preserve"> project initiated by the Jewish Community of Vienna, “</w:t>
            </w:r>
            <w:r w:rsidRPr="000B6BFA">
              <w:rPr>
                <w:rFonts w:ascii="Times New Roman" w:eastAsia="Calibri" w:hAnsi="Times New Roman" w:cs="Times New Roman"/>
                <w:iCs/>
                <w:noProof/>
                <w:sz w:val="20"/>
                <w:szCs w:val="20"/>
              </w:rPr>
              <w:t>LIKRAT - Let's Talk</w:t>
            </w:r>
            <w:r w:rsidRPr="00681563">
              <w:rPr>
                <w:rFonts w:ascii="Times New Roman" w:eastAsia="Calibri" w:hAnsi="Times New Roman" w:cs="Times New Roman"/>
                <w:iCs/>
                <w:noProof/>
                <w:sz w:val="20"/>
                <w:szCs w:val="20"/>
              </w:rPr>
              <w:t>”</w:t>
            </w:r>
            <w:r w:rsidRPr="00681563">
              <w:rPr>
                <w:rFonts w:ascii="Times New Roman" w:eastAsia="Calibri" w:hAnsi="Times New Roman" w:cs="Times New Roman"/>
                <w:iCs/>
                <w:noProof/>
                <w:sz w:val="20"/>
                <w:szCs w:val="20"/>
                <w:vertAlign w:val="superscript"/>
              </w:rPr>
              <w:footnoteReference w:id="172"/>
            </w:r>
            <w:r w:rsidRPr="00681563">
              <w:rPr>
                <w:rFonts w:ascii="Times New Roman" w:eastAsia="Calibri" w:hAnsi="Times New Roman" w:cs="Times New Roman"/>
                <w:iCs/>
                <w:noProof/>
                <w:sz w:val="20"/>
                <w:szCs w:val="20"/>
              </w:rPr>
              <w:t>, brings together youths and young adults aged 10 to 35</w:t>
            </w:r>
            <w:r>
              <w:rPr>
                <w:rFonts w:ascii="Times New Roman" w:eastAsia="Calibri" w:hAnsi="Times New Roman" w:cs="Times New Roman"/>
                <w:iCs/>
                <w:noProof/>
                <w:sz w:val="20"/>
                <w:szCs w:val="20"/>
              </w:rPr>
              <w:t xml:space="preserve"> to </w:t>
            </w:r>
            <w:r w:rsidRPr="00681563">
              <w:rPr>
                <w:rFonts w:ascii="Times New Roman" w:eastAsia="Calibri" w:hAnsi="Times New Roman" w:cs="Times New Roman"/>
                <w:iCs/>
                <w:noProof/>
                <w:sz w:val="20"/>
                <w:szCs w:val="20"/>
              </w:rPr>
              <w:t>create a space for an open dialogue, aiming to break down prejudices against Judaism and foster connections between participants from different religious and ethnic backgrounds</w:t>
            </w:r>
            <w:r>
              <w:rPr>
                <w:rFonts w:ascii="Times New Roman" w:eastAsia="Calibri" w:hAnsi="Times New Roman" w:cs="Times New Roman"/>
                <w:iCs/>
                <w:noProof/>
                <w:sz w:val="20"/>
                <w:szCs w:val="20"/>
              </w:rPr>
              <w:t xml:space="preserve"> with the</w:t>
            </w:r>
            <w:r w:rsidRPr="00681563">
              <w:rPr>
                <w:rFonts w:ascii="Times New Roman" w:eastAsia="Calibri" w:hAnsi="Times New Roman" w:cs="Times New Roman"/>
                <w:iCs/>
                <w:noProof/>
                <w:sz w:val="20"/>
                <w:szCs w:val="20"/>
              </w:rPr>
              <w:t xml:space="preserve"> objective is to dismantle stereotypes and foster interreligious understanding and fundamental rights.</w:t>
            </w:r>
          </w:p>
        </w:tc>
      </w:tr>
    </w:tbl>
    <w:p w14:paraId="57A8A84A" w14:textId="77777777" w:rsidR="002C0325" w:rsidRPr="00B71F95" w:rsidRDefault="002C0325" w:rsidP="002C0325">
      <w:pPr>
        <w:spacing w:after="120" w:line="276" w:lineRule="auto"/>
        <w:jc w:val="both"/>
        <w:rPr>
          <w:noProof/>
          <w:lang w:val="en-GB"/>
        </w:rPr>
      </w:pPr>
      <w:bookmarkStart w:id="22" w:name="_Hlk169087803"/>
    </w:p>
    <w:bookmarkEnd w:id="22"/>
    <w:p w14:paraId="7C4D0AB4" w14:textId="77777777" w:rsidR="002C0325" w:rsidRPr="00B71F95" w:rsidRDefault="002C0325" w:rsidP="002C0325">
      <w:pPr>
        <w:pStyle w:val="Style1"/>
        <w:rPr>
          <w:noProof/>
          <w:lang w:val="en-GB"/>
        </w:rPr>
      </w:pPr>
      <w:r>
        <w:rPr>
          <w:noProof/>
          <w:lang w:val="en-GB"/>
        </w:rPr>
        <w:t xml:space="preserve">Several Member States report of initiatives to ensure that </w:t>
      </w:r>
      <w:r w:rsidRPr="00695D34">
        <w:rPr>
          <w:noProof/>
          <w:lang w:val="en-GB"/>
        </w:rPr>
        <w:t xml:space="preserve">funding to promote and protect fundamental rights </w:t>
      </w:r>
      <w:r w:rsidRPr="000B6BFA">
        <w:rPr>
          <w:b/>
          <w:bCs/>
          <w:noProof/>
          <w:lang w:val="en-GB"/>
        </w:rPr>
        <w:t>reaches stakeholders</w:t>
      </w:r>
      <w:r w:rsidRPr="00695D34">
        <w:rPr>
          <w:noProof/>
          <w:lang w:val="en-GB"/>
        </w:rPr>
        <w:t xml:space="preserve"> </w:t>
      </w:r>
      <w:r w:rsidRPr="00695D34">
        <w:rPr>
          <w:b/>
          <w:bCs/>
          <w:noProof/>
          <w:lang w:val="en-GB"/>
        </w:rPr>
        <w:t>at regional and local levels</w:t>
      </w:r>
      <w:r w:rsidRPr="00695D34">
        <w:rPr>
          <w:noProof/>
          <w:lang w:val="en-GB"/>
        </w:rPr>
        <w:t>.</w:t>
      </w:r>
      <w:r>
        <w:rPr>
          <w:noProof/>
          <w:lang w:val="en-GB"/>
        </w:rPr>
        <w:t xml:space="preserve"> </w:t>
      </w:r>
    </w:p>
    <w:tbl>
      <w:tblPr>
        <w:tblW w:w="9350" w:type="dxa"/>
        <w:tblCellMar>
          <w:left w:w="10" w:type="dxa"/>
          <w:right w:w="10" w:type="dxa"/>
        </w:tblCellMar>
        <w:tblLook w:val="04A0" w:firstRow="1" w:lastRow="0" w:firstColumn="1" w:lastColumn="0" w:noHBand="0" w:noVBand="1"/>
      </w:tblPr>
      <w:tblGrid>
        <w:gridCol w:w="9350"/>
      </w:tblGrid>
      <w:tr w:rsidR="002C0325" w:rsidRPr="00D1775C" w14:paraId="52EEB109" w14:textId="77777777" w:rsidTr="00352B78">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083D8" w14:textId="77777777" w:rsidR="002C0325" w:rsidRPr="00800B4B" w:rsidRDefault="002C0325" w:rsidP="00352B78">
            <w:pPr>
              <w:pStyle w:val="Style1"/>
              <w:spacing w:after="0"/>
              <w:rPr>
                <w:noProof/>
                <w:sz w:val="20"/>
                <w:szCs w:val="20"/>
              </w:rPr>
            </w:pPr>
            <w:r>
              <w:rPr>
                <w:noProof/>
                <w:sz w:val="20"/>
                <w:szCs w:val="20"/>
                <w:lang w:val="en-GB"/>
              </w:rPr>
              <w:t xml:space="preserve">The </w:t>
            </w:r>
            <w:r w:rsidRPr="000B6BFA">
              <w:rPr>
                <w:b/>
                <w:bCs/>
                <w:noProof/>
                <w:sz w:val="20"/>
                <w:szCs w:val="20"/>
                <w:lang w:val="en-GB"/>
              </w:rPr>
              <w:t>S</w:t>
            </w:r>
            <w:r>
              <w:rPr>
                <w:b/>
                <w:bCs/>
                <w:noProof/>
                <w:sz w:val="20"/>
                <w:szCs w:val="20"/>
                <w:lang w:val="en-GB"/>
              </w:rPr>
              <w:t>wedish</w:t>
            </w:r>
            <w:r w:rsidRPr="000B6BFA">
              <w:rPr>
                <w:noProof/>
                <w:sz w:val="20"/>
                <w:szCs w:val="20"/>
                <w:lang w:val="en-GB"/>
              </w:rPr>
              <w:t xml:space="preserve"> government provides supplementary project funding </w:t>
            </w:r>
            <w:r>
              <w:rPr>
                <w:noProof/>
                <w:sz w:val="20"/>
                <w:szCs w:val="20"/>
                <w:lang w:val="en-GB"/>
              </w:rPr>
              <w:t xml:space="preserve">to regions and municipalities </w:t>
            </w:r>
            <w:r w:rsidRPr="000B6BFA">
              <w:rPr>
                <w:noProof/>
                <w:sz w:val="20"/>
                <w:szCs w:val="20"/>
                <w:lang w:val="en-GB"/>
              </w:rPr>
              <w:t>for the provision of health care services in areas where actions need to be taken in addition to those covered from the state budget</w:t>
            </w:r>
            <w:r w:rsidRPr="000B6BFA">
              <w:rPr>
                <w:rStyle w:val="FootnoteReference"/>
                <w:noProof/>
                <w:sz w:val="20"/>
                <w:szCs w:val="20"/>
                <w:lang w:val="en-GB"/>
              </w:rPr>
              <w:footnoteReference w:id="173"/>
            </w:r>
            <w:r w:rsidRPr="000B6BFA">
              <w:rPr>
                <w:noProof/>
                <w:sz w:val="20"/>
                <w:szCs w:val="20"/>
                <w:lang w:val="en-GB"/>
              </w:rPr>
              <w:t xml:space="preserve">. </w:t>
            </w:r>
            <w:r w:rsidRPr="00C37591">
              <w:rPr>
                <w:noProof/>
                <w:sz w:val="20"/>
                <w:szCs w:val="20"/>
                <w:lang w:val="en-GB"/>
              </w:rPr>
              <w:t xml:space="preserve">In </w:t>
            </w:r>
            <w:r>
              <w:rPr>
                <w:b/>
                <w:bCs/>
                <w:noProof/>
                <w:sz w:val="20"/>
                <w:szCs w:val="20"/>
                <w:lang w:val="en-GB"/>
              </w:rPr>
              <w:t>Spain</w:t>
            </w:r>
            <w:r w:rsidRPr="00C37591">
              <w:rPr>
                <w:noProof/>
                <w:sz w:val="20"/>
                <w:szCs w:val="20"/>
                <w:lang w:val="en-GB"/>
              </w:rPr>
              <w:t xml:space="preserve">, 20 % </w:t>
            </w:r>
            <w:r w:rsidRPr="00F50A0B">
              <w:rPr>
                <w:noProof/>
                <w:sz w:val="20"/>
                <w:szCs w:val="20"/>
                <w:lang w:val="en-GB"/>
              </w:rPr>
              <w:t>of project funding</w:t>
            </w:r>
            <w:r w:rsidRPr="00C37591">
              <w:rPr>
                <w:noProof/>
                <w:sz w:val="20"/>
                <w:szCs w:val="20"/>
                <w:lang w:val="en-GB"/>
              </w:rPr>
              <w:t xml:space="preserve"> </w:t>
            </w:r>
            <w:r>
              <w:rPr>
                <w:noProof/>
                <w:sz w:val="20"/>
                <w:szCs w:val="20"/>
                <w:lang w:val="en-GB"/>
              </w:rPr>
              <w:t xml:space="preserve">on social affairs </w:t>
            </w:r>
            <w:r w:rsidRPr="00C37591">
              <w:rPr>
                <w:noProof/>
                <w:sz w:val="20"/>
                <w:szCs w:val="20"/>
                <w:lang w:val="en-GB"/>
              </w:rPr>
              <w:t>goes to activities at state level, and 80 % to the regional level</w:t>
            </w:r>
            <w:r w:rsidRPr="000B6BFA">
              <w:rPr>
                <w:rStyle w:val="FootnoteReference"/>
                <w:noProof/>
                <w:sz w:val="20"/>
                <w:szCs w:val="20"/>
                <w:lang w:val="en-GB"/>
              </w:rPr>
              <w:footnoteReference w:id="174"/>
            </w:r>
            <w:r w:rsidRPr="00C37591">
              <w:rPr>
                <w:noProof/>
                <w:sz w:val="20"/>
                <w:szCs w:val="20"/>
                <w:lang w:val="en-GB"/>
              </w:rPr>
              <w:t>.</w:t>
            </w:r>
          </w:p>
        </w:tc>
      </w:tr>
    </w:tbl>
    <w:p w14:paraId="2A0A8F9F" w14:textId="77777777" w:rsidR="002C0325" w:rsidRDefault="002C0325" w:rsidP="002C0325">
      <w:pPr>
        <w:spacing w:after="120" w:line="276" w:lineRule="auto"/>
        <w:jc w:val="both"/>
        <w:rPr>
          <w:noProof/>
          <w:lang w:val="en-GB"/>
        </w:rPr>
      </w:pPr>
    </w:p>
    <w:p w14:paraId="72348912" w14:textId="77777777" w:rsidR="002C0325" w:rsidRPr="00B71F95" w:rsidRDefault="002C0325" w:rsidP="002C0325">
      <w:pPr>
        <w:pStyle w:val="Style1"/>
        <w:rPr>
          <w:noProof/>
          <w:lang w:val="en-GB"/>
        </w:rPr>
      </w:pPr>
      <w:r w:rsidRPr="00800B4B">
        <w:rPr>
          <w:noProof/>
          <w:lang w:val="en-GB"/>
        </w:rPr>
        <w:t>In line with the importance of funding</w:t>
      </w:r>
      <w:r>
        <w:rPr>
          <w:b/>
          <w:bCs/>
          <w:noProof/>
          <w:lang w:val="en-GB"/>
        </w:rPr>
        <w:t xml:space="preserve"> </w:t>
      </w:r>
      <w:r w:rsidRPr="00695D34">
        <w:rPr>
          <w:b/>
          <w:bCs/>
          <w:noProof/>
          <w:lang w:val="en-GB"/>
        </w:rPr>
        <w:t>civil society and human rights defenders</w:t>
      </w:r>
      <w:r>
        <w:rPr>
          <w:noProof/>
          <w:lang w:val="en-GB"/>
        </w:rPr>
        <w:t xml:space="preserve"> and the maintenance of an open civic space, CSOs are the main recipients of funding in the field of protecting and promoting fundamental rights in several Member States. </w:t>
      </w:r>
      <w:r w:rsidRPr="00827012">
        <w:rPr>
          <w:noProof/>
          <w:lang w:val="en-GB"/>
        </w:rPr>
        <w:t>Many</w:t>
      </w:r>
      <w:r>
        <w:rPr>
          <w:noProof/>
          <w:lang w:val="en-GB"/>
        </w:rPr>
        <w:t xml:space="preserve"> of them</w:t>
      </w:r>
      <w:r>
        <w:rPr>
          <w:rStyle w:val="FootnoteReference"/>
          <w:noProof/>
          <w:lang w:val="en-GB"/>
        </w:rPr>
        <w:footnoteReference w:id="175"/>
      </w:r>
      <w:r>
        <w:rPr>
          <w:noProof/>
          <w:lang w:val="en-GB"/>
        </w:rPr>
        <w:t xml:space="preserve"> </w:t>
      </w:r>
      <w:r w:rsidRPr="00695D34">
        <w:rPr>
          <w:noProof/>
          <w:lang w:val="en-GB"/>
        </w:rPr>
        <w:t>fund civil society from their regular state budgets, and some have established additional</w:t>
      </w:r>
      <w:r>
        <w:rPr>
          <w:noProof/>
          <w:lang w:val="en-GB"/>
        </w:rPr>
        <w:t xml:space="preserve">, targeted </w:t>
      </w:r>
      <w:r w:rsidRPr="00695D34">
        <w:rPr>
          <w:noProof/>
          <w:lang w:val="en-GB"/>
        </w:rPr>
        <w:t>project grant schemes.</w:t>
      </w:r>
    </w:p>
    <w:tbl>
      <w:tblPr>
        <w:tblW w:w="9350" w:type="dxa"/>
        <w:tblCellMar>
          <w:left w:w="10" w:type="dxa"/>
          <w:right w:w="10" w:type="dxa"/>
        </w:tblCellMar>
        <w:tblLook w:val="04A0" w:firstRow="1" w:lastRow="0" w:firstColumn="1" w:lastColumn="0" w:noHBand="0" w:noVBand="1"/>
      </w:tblPr>
      <w:tblGrid>
        <w:gridCol w:w="9350"/>
      </w:tblGrid>
      <w:tr w:rsidR="002C0325" w:rsidRPr="00D1775C" w14:paraId="6E40761E" w14:textId="77777777" w:rsidTr="00352B78">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B6E39" w14:textId="77777777" w:rsidR="002C0325" w:rsidRPr="000B6BFA" w:rsidRDefault="002C0325" w:rsidP="00352B78">
            <w:pPr>
              <w:pStyle w:val="Style1"/>
              <w:spacing w:after="0" w:line="240" w:lineRule="auto"/>
              <w:rPr>
                <w:noProof/>
                <w:sz w:val="20"/>
                <w:szCs w:val="20"/>
                <w:lang w:val="en-GB"/>
              </w:rPr>
            </w:pPr>
            <w:r w:rsidRPr="00232936">
              <w:rPr>
                <w:b/>
                <w:bCs/>
                <w:noProof/>
                <w:sz w:val="20"/>
                <w:szCs w:val="20"/>
                <w:lang w:val="en-GB"/>
              </w:rPr>
              <w:t>L</w:t>
            </w:r>
            <w:r>
              <w:rPr>
                <w:b/>
                <w:bCs/>
                <w:noProof/>
                <w:sz w:val="20"/>
                <w:szCs w:val="20"/>
                <w:lang w:val="en-GB"/>
              </w:rPr>
              <w:t>uxembourg</w:t>
            </w:r>
            <w:r w:rsidRPr="00232936">
              <w:rPr>
                <w:b/>
                <w:bCs/>
                <w:noProof/>
                <w:sz w:val="20"/>
                <w:szCs w:val="20"/>
                <w:lang w:val="en-GB"/>
              </w:rPr>
              <w:t xml:space="preserve"> </w:t>
            </w:r>
            <w:r w:rsidRPr="00232936">
              <w:rPr>
                <w:noProof/>
                <w:sz w:val="20"/>
                <w:szCs w:val="20"/>
                <w:lang w:val="en-GB"/>
              </w:rPr>
              <w:t>enable</w:t>
            </w:r>
            <w:r>
              <w:rPr>
                <w:noProof/>
                <w:sz w:val="20"/>
                <w:szCs w:val="20"/>
                <w:lang w:val="en-GB"/>
              </w:rPr>
              <w:t>d</w:t>
            </w:r>
            <w:r w:rsidRPr="00232936">
              <w:rPr>
                <w:noProof/>
                <w:sz w:val="20"/>
                <w:szCs w:val="20"/>
                <w:lang w:val="en-GB"/>
              </w:rPr>
              <w:t xml:space="preserve"> the Ministry of Justice to finance projects by organisations working in the field of fundamental rights. Selected projects have established workshops for children to learn about their rights, provided legal advise for vulnerable migrants, and provided training for legal aid providers</w:t>
            </w:r>
            <w:r>
              <w:rPr>
                <w:rStyle w:val="FootnoteReference"/>
                <w:noProof/>
                <w:lang w:val="en-GB"/>
              </w:rPr>
              <w:footnoteReference w:id="176"/>
            </w:r>
            <w:r w:rsidRPr="00232936">
              <w:rPr>
                <w:noProof/>
                <w:sz w:val="20"/>
                <w:szCs w:val="20"/>
                <w:lang w:val="en-GB"/>
              </w:rPr>
              <w:t>.</w:t>
            </w:r>
            <w:r>
              <w:rPr>
                <w:noProof/>
                <w:sz w:val="20"/>
                <w:szCs w:val="20"/>
                <w:lang w:val="en-GB"/>
              </w:rPr>
              <w:t xml:space="preserve"> </w:t>
            </w:r>
            <w:r>
              <w:rPr>
                <w:b/>
                <w:bCs/>
                <w:noProof/>
                <w:sz w:val="20"/>
                <w:szCs w:val="20"/>
                <w:lang w:val="en-GB"/>
              </w:rPr>
              <w:t>Estonia</w:t>
            </w:r>
            <w:r w:rsidRPr="007824E3">
              <w:rPr>
                <w:noProof/>
                <w:sz w:val="20"/>
                <w:szCs w:val="20"/>
                <w:lang w:val="en-GB"/>
              </w:rPr>
              <w:t xml:space="preserve"> supports organisations working on fundamental rights, equality and women’s rights</w:t>
            </w:r>
            <w:r>
              <w:rPr>
                <w:noProof/>
                <w:sz w:val="20"/>
                <w:szCs w:val="20"/>
                <w:lang w:val="en-GB"/>
              </w:rPr>
              <w:t>,</w:t>
            </w:r>
            <w:r w:rsidRPr="007824E3">
              <w:rPr>
                <w:noProof/>
                <w:sz w:val="20"/>
                <w:szCs w:val="20"/>
                <w:lang w:val="en-GB"/>
              </w:rPr>
              <w:t xml:space="preserve"> through a three-year grant intended to enhance funding sustainability and reduce reliance on short-term, project-based activities.</w:t>
            </w:r>
            <w:r>
              <w:rPr>
                <w:rStyle w:val="FootnoteReference"/>
                <w:noProof/>
                <w:lang w:val="en-GB"/>
              </w:rPr>
              <w:footnoteReference w:id="177"/>
            </w:r>
            <w:r w:rsidRPr="000B6BFA">
              <w:rPr>
                <w:noProof/>
                <w:sz w:val="20"/>
                <w:szCs w:val="20"/>
                <w:lang w:val="en-GB"/>
              </w:rPr>
              <w:t xml:space="preserve">. </w:t>
            </w:r>
            <w:r w:rsidRPr="00837A66">
              <w:rPr>
                <w:noProof/>
                <w:sz w:val="20"/>
                <w:szCs w:val="20"/>
              </w:rPr>
              <w:t xml:space="preserve">In 2023, </w:t>
            </w:r>
            <w:r w:rsidRPr="00232936">
              <w:rPr>
                <w:b/>
                <w:bCs/>
                <w:noProof/>
                <w:sz w:val="20"/>
                <w:szCs w:val="20"/>
              </w:rPr>
              <w:t>F</w:t>
            </w:r>
            <w:r>
              <w:rPr>
                <w:b/>
                <w:bCs/>
                <w:noProof/>
                <w:sz w:val="20"/>
                <w:szCs w:val="20"/>
              </w:rPr>
              <w:t>rance</w:t>
            </w:r>
            <w:r w:rsidRPr="00837A66">
              <w:rPr>
                <w:noProof/>
                <w:sz w:val="20"/>
                <w:szCs w:val="20"/>
              </w:rPr>
              <w:t xml:space="preserve"> granted subsidies to almost 1500 associations in charge of the reception, accommodation and</w:t>
            </w:r>
            <w:r>
              <w:rPr>
                <w:noProof/>
                <w:sz w:val="20"/>
                <w:szCs w:val="20"/>
              </w:rPr>
              <w:t xml:space="preserve"> integration</w:t>
            </w:r>
            <w:r w:rsidRPr="00837A66">
              <w:rPr>
                <w:noProof/>
                <w:sz w:val="20"/>
                <w:szCs w:val="20"/>
              </w:rPr>
              <w:t xml:space="preserve"> measures for asylum-seekers and migrants. The beneficiaries are selected through annual calls for projects at national, regional and local levels.</w:t>
            </w:r>
          </w:p>
        </w:tc>
      </w:tr>
    </w:tbl>
    <w:p w14:paraId="3A004EF1" w14:textId="77777777" w:rsidR="002C0325" w:rsidRDefault="002C0325" w:rsidP="002C0325">
      <w:pPr>
        <w:pStyle w:val="Style1"/>
        <w:rPr>
          <w:noProof/>
          <w:lang w:val="en-GB"/>
        </w:rPr>
      </w:pPr>
    </w:p>
    <w:tbl>
      <w:tblPr>
        <w:tblW w:w="9350" w:type="dxa"/>
        <w:tblCellMar>
          <w:left w:w="10" w:type="dxa"/>
          <w:right w:w="10" w:type="dxa"/>
        </w:tblCellMar>
        <w:tblLook w:val="04A0" w:firstRow="1" w:lastRow="0" w:firstColumn="1" w:lastColumn="0" w:noHBand="0" w:noVBand="1"/>
      </w:tblPr>
      <w:tblGrid>
        <w:gridCol w:w="9350"/>
      </w:tblGrid>
      <w:tr w:rsidR="002C0325" w:rsidRPr="00D1775C" w14:paraId="33496AB2" w14:textId="77777777" w:rsidTr="00352B78">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138B6" w14:textId="77777777" w:rsidR="002C0325" w:rsidRPr="00800B4B" w:rsidRDefault="002C0325" w:rsidP="00352B78">
            <w:pPr>
              <w:pStyle w:val="Style1"/>
              <w:spacing w:after="0" w:line="240" w:lineRule="auto"/>
              <w:rPr>
                <w:noProof/>
                <w:sz w:val="20"/>
                <w:szCs w:val="20"/>
              </w:rPr>
            </w:pPr>
            <w:r w:rsidRPr="00800B4B">
              <w:rPr>
                <w:iCs/>
                <w:noProof/>
                <w:sz w:val="20"/>
                <w:szCs w:val="20"/>
              </w:rPr>
              <w:t xml:space="preserve">In 2022, a coalition of </w:t>
            </w:r>
            <w:r>
              <w:rPr>
                <w:b/>
                <w:bCs/>
                <w:iCs/>
                <w:noProof/>
                <w:sz w:val="20"/>
                <w:szCs w:val="20"/>
              </w:rPr>
              <w:t>German</w:t>
            </w:r>
            <w:r w:rsidRPr="00800B4B">
              <w:rPr>
                <w:iCs/>
                <w:noProof/>
                <w:sz w:val="20"/>
                <w:szCs w:val="20"/>
              </w:rPr>
              <w:t xml:space="preserve"> </w:t>
            </w:r>
            <w:r>
              <w:rPr>
                <w:iCs/>
                <w:noProof/>
                <w:sz w:val="20"/>
                <w:szCs w:val="20"/>
              </w:rPr>
              <w:t>CSOs</w:t>
            </w:r>
            <w:r w:rsidRPr="00800B4B">
              <w:rPr>
                <w:iCs/>
                <w:noProof/>
                <w:sz w:val="20"/>
                <w:szCs w:val="20"/>
              </w:rPr>
              <w:t xml:space="preserve"> launched the Hannah-Arendt-Initiative</w:t>
            </w:r>
            <w:r w:rsidRPr="00800B4B">
              <w:rPr>
                <w:rStyle w:val="FootnoteReference"/>
                <w:iCs/>
                <w:noProof/>
                <w:sz w:val="20"/>
                <w:szCs w:val="20"/>
              </w:rPr>
              <w:footnoteReference w:id="178"/>
            </w:r>
            <w:r w:rsidRPr="00800B4B">
              <w:rPr>
                <w:iCs/>
                <w:noProof/>
                <w:sz w:val="20"/>
                <w:szCs w:val="20"/>
              </w:rPr>
              <w:t xml:space="preserve">, a protection programme for journalists, media professionals and free speech defenders. Support has been provided to almost 5000 people from Ukraine, Russia, Belarus, Myanmar, Sudan, Afghanistan and elsewhere. </w:t>
            </w:r>
            <w:r w:rsidRPr="008235DB">
              <w:rPr>
                <w:iCs/>
                <w:noProof/>
                <w:sz w:val="20"/>
                <w:szCs w:val="20"/>
              </w:rPr>
              <w:t xml:space="preserve">The programme provides emergency scholarships, training and capacity building, fellowship programs and exile journalism hubs. The </w:t>
            </w:r>
            <w:r>
              <w:rPr>
                <w:iCs/>
                <w:noProof/>
                <w:sz w:val="20"/>
                <w:szCs w:val="20"/>
              </w:rPr>
              <w:t>work</w:t>
            </w:r>
            <w:r w:rsidRPr="008235DB">
              <w:rPr>
                <w:iCs/>
                <w:noProof/>
                <w:sz w:val="20"/>
                <w:szCs w:val="20"/>
              </w:rPr>
              <w:t xml:space="preserve"> consists of a fund for exiled media, research and stud</w:t>
            </w:r>
            <w:r>
              <w:rPr>
                <w:iCs/>
                <w:noProof/>
                <w:sz w:val="20"/>
                <w:szCs w:val="20"/>
              </w:rPr>
              <w:t>y grants</w:t>
            </w:r>
            <w:r w:rsidRPr="008235DB">
              <w:rPr>
                <w:iCs/>
                <w:noProof/>
                <w:sz w:val="20"/>
                <w:szCs w:val="20"/>
              </w:rPr>
              <w:t>, scholarships, legal and psychosocial support and residential programmes.</w:t>
            </w:r>
          </w:p>
        </w:tc>
      </w:tr>
    </w:tbl>
    <w:p w14:paraId="228EFA92" w14:textId="77777777" w:rsidR="002C0325" w:rsidRPr="00B219E9" w:rsidRDefault="002C0325" w:rsidP="002C0325">
      <w:pPr>
        <w:pStyle w:val="Style1"/>
        <w:rPr>
          <w:noProof/>
        </w:rPr>
      </w:pPr>
    </w:p>
    <w:p w14:paraId="622F6697" w14:textId="77777777" w:rsidR="002C0325" w:rsidRDefault="002C0325" w:rsidP="002C0325">
      <w:pPr>
        <w:spacing w:after="0" w:line="276" w:lineRule="auto"/>
        <w:jc w:val="both"/>
        <w:rPr>
          <w:rFonts w:ascii="Times New Roman" w:hAnsi="Times New Roman" w:cs="Times New Roman"/>
          <w:noProof/>
          <w:sz w:val="24"/>
          <w:szCs w:val="24"/>
          <w:lang w:val="en-GB"/>
        </w:rPr>
      </w:pPr>
      <w:r w:rsidRPr="006E15E3">
        <w:rPr>
          <w:rFonts w:ascii="Times New Roman" w:hAnsi="Times New Roman" w:cs="Times New Roman"/>
          <w:noProof/>
          <w:sz w:val="24"/>
          <w:szCs w:val="24"/>
          <w:lang w:val="en-GB"/>
        </w:rPr>
        <w:t xml:space="preserve">The majority of the </w:t>
      </w:r>
      <w:r>
        <w:rPr>
          <w:rFonts w:ascii="Times New Roman" w:hAnsi="Times New Roman" w:cs="Times New Roman"/>
          <w:noProof/>
          <w:sz w:val="24"/>
          <w:szCs w:val="24"/>
          <w:lang w:val="en-GB"/>
        </w:rPr>
        <w:t xml:space="preserve">contributing </w:t>
      </w:r>
      <w:r w:rsidRPr="006E15E3">
        <w:rPr>
          <w:rFonts w:ascii="Times New Roman" w:hAnsi="Times New Roman" w:cs="Times New Roman"/>
          <w:noProof/>
          <w:sz w:val="24"/>
          <w:szCs w:val="24"/>
          <w:lang w:val="en-GB"/>
        </w:rPr>
        <w:t>Member States</w:t>
      </w:r>
      <w:r>
        <w:rPr>
          <w:rStyle w:val="FootnoteReference"/>
          <w:noProof/>
          <w:lang w:val="en-GB"/>
        </w:rPr>
        <w:footnoteReference w:id="179"/>
      </w:r>
      <w:r w:rsidRPr="006E15E3">
        <w:rPr>
          <w:rFonts w:ascii="Times New Roman" w:hAnsi="Times New Roman" w:cs="Times New Roman"/>
          <w:noProof/>
          <w:sz w:val="24"/>
          <w:szCs w:val="24"/>
          <w:lang w:val="en-GB"/>
        </w:rPr>
        <w:t xml:space="preserve"> publish </w:t>
      </w:r>
      <w:r w:rsidRPr="006E15E3">
        <w:rPr>
          <w:rFonts w:ascii="Times New Roman" w:hAnsi="Times New Roman" w:cs="Times New Roman"/>
          <w:b/>
          <w:bCs/>
          <w:noProof/>
          <w:sz w:val="24"/>
          <w:szCs w:val="24"/>
          <w:lang w:val="en-GB"/>
        </w:rPr>
        <w:t xml:space="preserve">information on the available funding opportunities </w:t>
      </w:r>
      <w:r w:rsidRPr="006E15E3">
        <w:rPr>
          <w:rFonts w:ascii="Times New Roman" w:hAnsi="Times New Roman" w:cs="Times New Roman"/>
          <w:noProof/>
          <w:sz w:val="24"/>
          <w:szCs w:val="24"/>
          <w:lang w:val="en-GB"/>
        </w:rPr>
        <w:t xml:space="preserve">on the government’s or </w:t>
      </w:r>
      <w:r>
        <w:rPr>
          <w:rFonts w:ascii="Times New Roman" w:hAnsi="Times New Roman" w:cs="Times New Roman"/>
          <w:noProof/>
          <w:sz w:val="24"/>
          <w:szCs w:val="24"/>
          <w:lang w:val="en-GB"/>
        </w:rPr>
        <w:t>an</w:t>
      </w:r>
      <w:r w:rsidRPr="006E15E3">
        <w:rPr>
          <w:rFonts w:ascii="Times New Roman" w:hAnsi="Times New Roman" w:cs="Times New Roman"/>
          <w:noProof/>
          <w:sz w:val="24"/>
          <w:szCs w:val="24"/>
          <w:lang w:val="en-GB"/>
        </w:rPr>
        <w:t xml:space="preserve"> agency’s web page or on social media. </w:t>
      </w:r>
      <w:r w:rsidRPr="00DC5424">
        <w:rPr>
          <w:rFonts w:ascii="Times New Roman" w:hAnsi="Times New Roman" w:cs="Times New Roman"/>
          <w:noProof/>
          <w:sz w:val="24"/>
          <w:szCs w:val="24"/>
          <w:lang w:val="en-GB"/>
        </w:rPr>
        <w:t>In some cases, the information however only covers one funding source or sources from a certain policy area, and no centralised information source on all funding information is available.</w:t>
      </w:r>
    </w:p>
    <w:p w14:paraId="4F7F877F" w14:textId="77777777" w:rsidR="002C0325" w:rsidRPr="000B6BFA" w:rsidRDefault="002C0325" w:rsidP="002C0325">
      <w:pPr>
        <w:spacing w:after="0" w:line="276" w:lineRule="auto"/>
        <w:jc w:val="both"/>
        <w:rPr>
          <w:noProof/>
          <w:lang w:val="en-GB"/>
        </w:rPr>
      </w:pPr>
    </w:p>
    <w:tbl>
      <w:tblPr>
        <w:tblW w:w="9350" w:type="dxa"/>
        <w:tblCellMar>
          <w:left w:w="10" w:type="dxa"/>
          <w:right w:w="10" w:type="dxa"/>
        </w:tblCellMar>
        <w:tblLook w:val="04A0" w:firstRow="1" w:lastRow="0" w:firstColumn="1" w:lastColumn="0" w:noHBand="0" w:noVBand="1"/>
      </w:tblPr>
      <w:tblGrid>
        <w:gridCol w:w="9350"/>
      </w:tblGrid>
      <w:tr w:rsidR="002C0325" w:rsidRPr="00D1775C" w14:paraId="7B49AC61" w14:textId="77777777" w:rsidTr="00352B78">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DE867" w14:textId="77777777" w:rsidR="002C0325" w:rsidRPr="00224EAD" w:rsidRDefault="002C0325" w:rsidP="00352B78">
            <w:pPr>
              <w:pStyle w:val="Style1"/>
              <w:spacing w:after="0" w:line="240" w:lineRule="auto"/>
              <w:rPr>
                <w:iCs/>
                <w:noProof/>
                <w:sz w:val="20"/>
                <w:szCs w:val="20"/>
              </w:rPr>
            </w:pPr>
            <w:r>
              <w:rPr>
                <w:b/>
                <w:bCs/>
                <w:noProof/>
                <w:sz w:val="20"/>
                <w:szCs w:val="20"/>
              </w:rPr>
              <w:t>Spain</w:t>
            </w:r>
            <w:r w:rsidRPr="00224EAD">
              <w:rPr>
                <w:noProof/>
                <w:sz w:val="20"/>
                <w:szCs w:val="20"/>
              </w:rPr>
              <w:t xml:space="preserve"> operates a National Subsidies Database with all calls for proposals published in the official gazette and registered in the National System for the Publicity of Public Subsidies and Grants</w:t>
            </w:r>
            <w:r>
              <w:rPr>
                <w:rStyle w:val="FootnoteReference"/>
                <w:noProof/>
              </w:rPr>
              <w:footnoteReference w:id="180"/>
            </w:r>
            <w:r w:rsidRPr="00224EAD">
              <w:rPr>
                <w:noProof/>
                <w:sz w:val="20"/>
                <w:szCs w:val="20"/>
              </w:rPr>
              <w:t xml:space="preserve">. </w:t>
            </w:r>
            <w:r>
              <w:rPr>
                <w:noProof/>
                <w:sz w:val="20"/>
                <w:szCs w:val="20"/>
              </w:rPr>
              <w:t xml:space="preserve">Also </w:t>
            </w:r>
            <w:r>
              <w:rPr>
                <w:b/>
                <w:bCs/>
                <w:noProof/>
                <w:sz w:val="20"/>
                <w:szCs w:val="20"/>
              </w:rPr>
              <w:t>Romania</w:t>
            </w:r>
            <w:r w:rsidRPr="00224EAD">
              <w:rPr>
                <w:noProof/>
                <w:sz w:val="20"/>
                <w:szCs w:val="20"/>
              </w:rPr>
              <w:t xml:space="preserve"> has developed an online platform with information on available EU level and national funding opportunities. Th</w:t>
            </w:r>
            <w:r>
              <w:rPr>
                <w:noProof/>
                <w:sz w:val="20"/>
                <w:szCs w:val="20"/>
              </w:rPr>
              <w:t>is</w:t>
            </w:r>
            <w:r w:rsidRPr="00224EAD">
              <w:rPr>
                <w:noProof/>
                <w:sz w:val="20"/>
                <w:szCs w:val="20"/>
              </w:rPr>
              <w:t xml:space="preserve"> single access point also functions as a tool for identifying funding partners and shar</w:t>
            </w:r>
            <w:r>
              <w:rPr>
                <w:noProof/>
                <w:sz w:val="20"/>
                <w:szCs w:val="20"/>
              </w:rPr>
              <w:t>ing</w:t>
            </w:r>
            <w:r w:rsidRPr="00224EAD">
              <w:rPr>
                <w:noProof/>
                <w:sz w:val="20"/>
                <w:szCs w:val="20"/>
              </w:rPr>
              <w:t xml:space="preserve"> good practices</w:t>
            </w:r>
            <w:r>
              <w:rPr>
                <w:rStyle w:val="FootnoteReference"/>
                <w:noProof/>
              </w:rPr>
              <w:footnoteReference w:id="181"/>
            </w:r>
            <w:r w:rsidRPr="00224EAD">
              <w:rPr>
                <w:noProof/>
                <w:sz w:val="20"/>
                <w:szCs w:val="20"/>
              </w:rPr>
              <w:t xml:space="preserve">. In </w:t>
            </w:r>
            <w:r>
              <w:rPr>
                <w:b/>
                <w:bCs/>
                <w:noProof/>
                <w:sz w:val="20"/>
                <w:szCs w:val="20"/>
              </w:rPr>
              <w:t>Finland</w:t>
            </w:r>
            <w:r w:rsidRPr="00224EAD">
              <w:rPr>
                <w:noProof/>
                <w:sz w:val="20"/>
                <w:szCs w:val="20"/>
              </w:rPr>
              <w:t xml:space="preserve">, the CERV National Contact Point cooperates with civil society by organising training and information sessions on funding opportunities, participating in events, and working with existing structures, such as the Advisory Board on Civil Society, other government advisory boards and agencies, and networks of umbrella organisations. </w:t>
            </w:r>
          </w:p>
        </w:tc>
      </w:tr>
    </w:tbl>
    <w:p w14:paraId="5466F3D5" w14:textId="77777777" w:rsidR="002C0325" w:rsidRPr="000B6BFA" w:rsidRDefault="002C0325" w:rsidP="002C0325">
      <w:pPr>
        <w:spacing w:before="240"/>
        <w:jc w:val="both"/>
        <w:rPr>
          <w:rFonts w:ascii="Times New Roman" w:eastAsia="Times New Roman" w:hAnsi="Times New Roman"/>
          <w:noProof/>
          <w:sz w:val="24"/>
          <w:szCs w:val="24"/>
        </w:rPr>
      </w:pPr>
      <w:r>
        <w:rPr>
          <w:rFonts w:ascii="Times New Roman" w:eastAsia="Calibri" w:hAnsi="Times New Roman" w:cs="Times New Roman"/>
          <w:noProof/>
          <w:sz w:val="24"/>
          <w:szCs w:val="24"/>
          <w:lang w:val="en-GB"/>
        </w:rPr>
        <w:t>Simultaneously with the above efforts</w:t>
      </w:r>
      <w:r w:rsidRPr="0043779A">
        <w:rPr>
          <w:rFonts w:ascii="Times New Roman" w:eastAsia="Calibri" w:hAnsi="Times New Roman" w:cs="Times New Roman"/>
          <w:noProof/>
          <w:sz w:val="24"/>
          <w:szCs w:val="24"/>
          <w:lang w:val="en-GB"/>
        </w:rPr>
        <w:t xml:space="preserve">, </w:t>
      </w:r>
      <w:r>
        <w:rPr>
          <w:rFonts w:ascii="Times New Roman" w:eastAsia="Calibri" w:hAnsi="Times New Roman" w:cs="Times New Roman"/>
          <w:noProof/>
          <w:sz w:val="24"/>
          <w:szCs w:val="24"/>
          <w:lang w:val="en-GB"/>
        </w:rPr>
        <w:t>CSO</w:t>
      </w:r>
      <w:r w:rsidRPr="0043779A">
        <w:rPr>
          <w:rFonts w:ascii="Times New Roman" w:eastAsia="Calibri" w:hAnsi="Times New Roman" w:cs="Times New Roman"/>
          <w:noProof/>
          <w:sz w:val="24"/>
          <w:szCs w:val="24"/>
          <w:lang w:val="en-GB"/>
        </w:rPr>
        <w:t xml:space="preserve">s </w:t>
      </w:r>
      <w:r w:rsidRPr="00233592">
        <w:rPr>
          <w:rFonts w:ascii="Times New Roman" w:eastAsia="Calibri" w:hAnsi="Times New Roman" w:cs="Times New Roman"/>
          <w:noProof/>
          <w:sz w:val="24"/>
          <w:szCs w:val="24"/>
          <w:lang w:val="en-GB"/>
        </w:rPr>
        <w:t>report having suffered from politically motivated</w:t>
      </w:r>
      <w:r w:rsidRPr="000B6BFA">
        <w:rPr>
          <w:rFonts w:ascii="Times New Roman" w:eastAsia="Calibri" w:hAnsi="Times New Roman" w:cs="Times New Roman"/>
          <w:b/>
          <w:bCs/>
          <w:noProof/>
          <w:sz w:val="24"/>
          <w:szCs w:val="24"/>
          <w:lang w:val="en-GB"/>
        </w:rPr>
        <w:t xml:space="preserve"> funding cuts</w:t>
      </w:r>
      <w:r w:rsidRPr="001309FA">
        <w:rPr>
          <w:rStyle w:val="FootnoteReference"/>
          <w:noProof/>
          <w:lang w:val="en-GB"/>
        </w:rPr>
        <w:footnoteReference w:id="182"/>
      </w:r>
      <w:r w:rsidRPr="001309FA">
        <w:rPr>
          <w:rFonts w:ascii="Times New Roman" w:hAnsi="Times New Roman" w:cs="Times New Roman"/>
          <w:noProof/>
          <w:sz w:val="24"/>
          <w:szCs w:val="24"/>
          <w:lang w:val="en-GB"/>
        </w:rPr>
        <w:t xml:space="preserve">, </w:t>
      </w:r>
      <w:r w:rsidRPr="001309FA">
        <w:rPr>
          <w:rFonts w:ascii="Times New Roman" w:eastAsia="Calibri" w:hAnsi="Times New Roman" w:cs="Times New Roman"/>
          <w:noProof/>
          <w:sz w:val="24"/>
          <w:szCs w:val="24"/>
          <w:lang w:val="en-GB"/>
        </w:rPr>
        <w:t xml:space="preserve">which negatively affect their operating capabilities and possibilities to contribute to open, democratic discourse. </w:t>
      </w:r>
      <w:r w:rsidRPr="001309FA">
        <w:rPr>
          <w:rFonts w:ascii="Times New Roman" w:eastAsia="Times New Roman" w:hAnsi="Times New Roman"/>
          <w:noProof/>
          <w:sz w:val="24"/>
          <w:szCs w:val="24"/>
        </w:rPr>
        <w:t>As each year, the</w:t>
      </w:r>
      <w:r w:rsidRPr="008803EF">
        <w:rPr>
          <w:rFonts w:ascii="Times New Roman" w:eastAsia="Times New Roman" w:hAnsi="Times New Roman"/>
          <w:noProof/>
          <w:sz w:val="24"/>
          <w:szCs w:val="24"/>
        </w:rPr>
        <w:t xml:space="preserve"> Charter report gathers together examples provided by Member States, Charter focal points, civil society and other stakeholders. This means that </w:t>
      </w:r>
      <w:r>
        <w:rPr>
          <w:rFonts w:ascii="Times New Roman" w:eastAsia="Times New Roman" w:hAnsi="Times New Roman"/>
          <w:noProof/>
          <w:sz w:val="24"/>
          <w:szCs w:val="24"/>
        </w:rPr>
        <w:t>no comparable information is collected</w:t>
      </w:r>
      <w:r w:rsidRPr="008803EF">
        <w:rPr>
          <w:rFonts w:ascii="Times New Roman" w:eastAsia="Times New Roman" w:hAnsi="Times New Roman"/>
          <w:noProof/>
          <w:sz w:val="24"/>
          <w:szCs w:val="24"/>
        </w:rPr>
        <w:t xml:space="preserve"> o</w:t>
      </w:r>
      <w:r>
        <w:rPr>
          <w:rFonts w:ascii="Times New Roman" w:eastAsia="Times New Roman" w:hAnsi="Times New Roman"/>
          <w:noProof/>
          <w:sz w:val="24"/>
          <w:szCs w:val="24"/>
        </w:rPr>
        <w:t>n</w:t>
      </w:r>
      <w:r w:rsidRPr="008803EF">
        <w:rPr>
          <w:rFonts w:ascii="Times New Roman" w:eastAsia="Times New Roman" w:hAnsi="Times New Roman"/>
          <w:noProof/>
          <w:sz w:val="24"/>
          <w:szCs w:val="24"/>
        </w:rPr>
        <w:t xml:space="preserve"> all instances where funding to </w:t>
      </w:r>
      <w:r>
        <w:rPr>
          <w:rFonts w:ascii="Times New Roman" w:eastAsia="Times New Roman" w:hAnsi="Times New Roman"/>
          <w:noProof/>
          <w:sz w:val="24"/>
          <w:szCs w:val="24"/>
        </w:rPr>
        <w:t>CSOs</w:t>
      </w:r>
      <w:r w:rsidRPr="008803EF">
        <w:rPr>
          <w:rFonts w:ascii="Times New Roman" w:eastAsia="Times New Roman" w:hAnsi="Times New Roman"/>
          <w:noProof/>
          <w:sz w:val="24"/>
          <w:szCs w:val="24"/>
        </w:rPr>
        <w:t xml:space="preserve"> has been cut, the conditions for funding </w:t>
      </w:r>
      <w:r>
        <w:rPr>
          <w:rFonts w:ascii="Times New Roman" w:eastAsia="Times New Roman" w:hAnsi="Times New Roman"/>
          <w:noProof/>
          <w:sz w:val="24"/>
          <w:szCs w:val="24"/>
        </w:rPr>
        <w:t xml:space="preserve">disproportionately </w:t>
      </w:r>
      <w:r w:rsidRPr="008803EF">
        <w:rPr>
          <w:rFonts w:ascii="Times New Roman" w:eastAsia="Times New Roman" w:hAnsi="Times New Roman"/>
          <w:noProof/>
          <w:sz w:val="24"/>
          <w:szCs w:val="24"/>
        </w:rPr>
        <w:t xml:space="preserve">tightened, or the </w:t>
      </w:r>
      <w:r>
        <w:rPr>
          <w:rFonts w:ascii="Times New Roman" w:eastAsia="Times New Roman" w:hAnsi="Times New Roman"/>
          <w:noProof/>
          <w:sz w:val="24"/>
          <w:szCs w:val="24"/>
        </w:rPr>
        <w:t xml:space="preserve">circumstances </w:t>
      </w:r>
      <w:r w:rsidRPr="008803EF">
        <w:rPr>
          <w:rFonts w:ascii="Times New Roman" w:eastAsia="Times New Roman" w:hAnsi="Times New Roman"/>
          <w:noProof/>
          <w:sz w:val="24"/>
          <w:szCs w:val="24"/>
        </w:rPr>
        <w:t xml:space="preserve">of fundamental rights actors otherwise </w:t>
      </w:r>
      <w:r>
        <w:rPr>
          <w:rFonts w:ascii="Times New Roman" w:eastAsia="Times New Roman" w:hAnsi="Times New Roman"/>
          <w:noProof/>
          <w:sz w:val="24"/>
          <w:szCs w:val="24"/>
        </w:rPr>
        <w:t>weakened over the past year</w:t>
      </w:r>
      <w:r w:rsidRPr="008803EF">
        <w:rPr>
          <w:rFonts w:ascii="Times New Roman" w:eastAsia="Times New Roman" w:hAnsi="Times New Roman"/>
          <w:noProof/>
          <w:sz w:val="24"/>
          <w:szCs w:val="24"/>
        </w:rPr>
        <w:t xml:space="preserve">. </w:t>
      </w:r>
      <w:r w:rsidRPr="000B6BFA">
        <w:rPr>
          <w:rFonts w:ascii="Times New Roman" w:eastAsia="Times New Roman" w:hAnsi="Times New Roman"/>
          <w:noProof/>
          <w:sz w:val="24"/>
          <w:szCs w:val="24"/>
        </w:rPr>
        <w:t xml:space="preserve">In light of recent data however, </w:t>
      </w:r>
      <w:r>
        <w:rPr>
          <w:rFonts w:ascii="Times New Roman" w:eastAsia="Times New Roman" w:hAnsi="Times New Roman"/>
          <w:noProof/>
          <w:sz w:val="24"/>
          <w:szCs w:val="24"/>
        </w:rPr>
        <w:t>such d</w:t>
      </w:r>
      <w:r w:rsidRPr="000B6BFA">
        <w:rPr>
          <w:rFonts w:ascii="Times New Roman" w:eastAsia="Times New Roman" w:hAnsi="Times New Roman"/>
          <w:noProof/>
          <w:sz w:val="24"/>
          <w:szCs w:val="24"/>
        </w:rPr>
        <w:t>evelopments continue to take place across the EU</w:t>
      </w:r>
      <w:r w:rsidRPr="000B6BFA">
        <w:rPr>
          <w:rStyle w:val="FootnoteReference"/>
          <w:noProof/>
        </w:rPr>
        <w:footnoteReference w:id="183"/>
      </w:r>
      <w:r w:rsidRPr="000B6BFA">
        <w:rPr>
          <w:rFonts w:ascii="Times New Roman" w:eastAsia="Times New Roman" w:hAnsi="Times New Roman"/>
          <w:noProof/>
          <w:sz w:val="24"/>
          <w:szCs w:val="24"/>
        </w:rPr>
        <w:t xml:space="preserve">. </w:t>
      </w:r>
    </w:p>
    <w:tbl>
      <w:tblPr>
        <w:tblW w:w="9350" w:type="dxa"/>
        <w:tblCellMar>
          <w:left w:w="10" w:type="dxa"/>
          <w:right w:w="10" w:type="dxa"/>
        </w:tblCellMar>
        <w:tblLook w:val="04A0" w:firstRow="1" w:lastRow="0" w:firstColumn="1" w:lastColumn="0" w:noHBand="0" w:noVBand="1"/>
      </w:tblPr>
      <w:tblGrid>
        <w:gridCol w:w="9350"/>
      </w:tblGrid>
      <w:tr w:rsidR="002C0325" w:rsidRPr="00D1775C" w14:paraId="33680B4B" w14:textId="77777777" w:rsidTr="00352B78">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5101E" w14:textId="77777777" w:rsidR="002C0325" w:rsidRPr="00533652" w:rsidRDefault="002C0325" w:rsidP="00352B78">
            <w:pPr>
              <w:spacing w:after="0" w:line="240" w:lineRule="auto"/>
              <w:jc w:val="both"/>
              <w:rPr>
                <w:rFonts w:ascii="Times New Roman" w:eastAsia="Calibri" w:hAnsi="Times New Roman" w:cs="Times New Roman"/>
                <w:noProof/>
                <w:sz w:val="20"/>
                <w:szCs w:val="20"/>
                <w:lang w:val="en-GB"/>
              </w:rPr>
            </w:pPr>
            <w:r w:rsidRPr="00800B4B">
              <w:rPr>
                <w:rFonts w:ascii="Times New Roman" w:eastAsia="Calibri" w:hAnsi="Times New Roman" w:cs="Times New Roman"/>
                <w:noProof/>
                <w:sz w:val="20"/>
                <w:szCs w:val="20"/>
                <w:lang w:val="en-GB"/>
              </w:rPr>
              <w:t xml:space="preserve">In </w:t>
            </w:r>
            <w:r>
              <w:rPr>
                <w:rFonts w:ascii="Times New Roman" w:eastAsia="Calibri" w:hAnsi="Times New Roman" w:cs="Times New Roman"/>
                <w:noProof/>
                <w:sz w:val="20"/>
                <w:szCs w:val="20"/>
                <w:lang w:val="en-GB"/>
              </w:rPr>
              <w:t xml:space="preserve">addition, in </w:t>
            </w:r>
            <w:r w:rsidRPr="00800B4B">
              <w:rPr>
                <w:rFonts w:ascii="Times New Roman" w:eastAsia="Calibri" w:hAnsi="Times New Roman" w:cs="Times New Roman"/>
                <w:noProof/>
                <w:sz w:val="20"/>
                <w:szCs w:val="20"/>
                <w:lang w:val="en-GB"/>
              </w:rPr>
              <w:t xml:space="preserve">the civil society survey conducted to prepare this report, </w:t>
            </w:r>
            <w:r w:rsidRPr="00800B4B">
              <w:rPr>
                <w:rFonts w:ascii="Times New Roman" w:eastAsia="Calibri" w:hAnsi="Times New Roman" w:cs="Times New Roman"/>
                <w:b/>
                <w:bCs/>
                <w:noProof/>
                <w:sz w:val="20"/>
                <w:szCs w:val="20"/>
                <w:lang w:val="en-GB"/>
              </w:rPr>
              <w:t>two main challenges were identified as regards national funding to civil society</w:t>
            </w:r>
            <w:r w:rsidRPr="00800B4B">
              <w:rPr>
                <w:rFonts w:ascii="Times New Roman" w:eastAsia="Calibri" w:hAnsi="Times New Roman" w:cs="Times New Roman"/>
                <w:noProof/>
                <w:sz w:val="20"/>
                <w:szCs w:val="20"/>
                <w:lang w:val="en-GB"/>
              </w:rPr>
              <w:t>: the lack of available funding due to the thematic focus of the respondents’ activities (35%) and the lack of core or infrastructure funding (30%). Other issues perceived as challenges by the civil society include insufficient or difficultly findable information (22%), the lack of funding for projects of smaller organisations or for smaller projects (22%), and the limited impact of projects due to short funding cycles or lack of follow-up funding (21%)</w:t>
            </w:r>
            <w:r w:rsidRPr="00800B4B">
              <w:rPr>
                <w:rStyle w:val="FootnoteReference"/>
                <w:rFonts w:eastAsia="Calibri"/>
                <w:noProof/>
                <w:sz w:val="20"/>
                <w:szCs w:val="20"/>
                <w:lang w:val="en-GB"/>
              </w:rPr>
              <w:footnoteReference w:id="184"/>
            </w:r>
            <w:r w:rsidRPr="00800B4B">
              <w:rPr>
                <w:rFonts w:ascii="Times New Roman" w:eastAsia="Calibri" w:hAnsi="Times New Roman" w:cs="Times New Roman"/>
                <w:noProof/>
                <w:sz w:val="20"/>
                <w:szCs w:val="20"/>
                <w:lang w:val="en-GB"/>
              </w:rPr>
              <w:t>.</w:t>
            </w:r>
          </w:p>
        </w:tc>
      </w:tr>
    </w:tbl>
    <w:p w14:paraId="3985FF28" w14:textId="77777777" w:rsidR="002C0325" w:rsidRPr="00A830F0" w:rsidRDefault="002C0325" w:rsidP="002C0325">
      <w:pPr>
        <w:spacing w:before="240" w:line="276" w:lineRule="auto"/>
        <w:jc w:val="both"/>
        <w:rPr>
          <w:rFonts w:ascii="Times New Roman" w:eastAsia="Calibri" w:hAnsi="Times New Roman" w:cs="Times New Roman"/>
          <w:noProof/>
          <w:sz w:val="24"/>
          <w:szCs w:val="24"/>
          <w:lang w:val="en-GB"/>
        </w:rPr>
      </w:pPr>
      <w:r w:rsidRPr="0057623C">
        <w:rPr>
          <w:rFonts w:ascii="Times New Roman" w:eastAsia="Calibri" w:hAnsi="Times New Roman" w:cs="Times New Roman"/>
          <w:noProof/>
          <w:sz w:val="24"/>
          <w:szCs w:val="24"/>
          <w:lang w:val="en-GB"/>
        </w:rPr>
        <w:t xml:space="preserve">Member States furthermore report on </w:t>
      </w:r>
      <w:r w:rsidRPr="0057623C">
        <w:rPr>
          <w:rFonts w:ascii="Times New Roman" w:eastAsia="Calibri" w:hAnsi="Times New Roman" w:cs="Times New Roman"/>
          <w:b/>
          <w:bCs/>
          <w:noProof/>
          <w:sz w:val="24"/>
          <w:szCs w:val="24"/>
          <w:lang w:val="en-GB"/>
        </w:rPr>
        <w:t>cooperation with international donors</w:t>
      </w:r>
      <w:r>
        <w:rPr>
          <w:rFonts w:ascii="Times New Roman" w:eastAsia="Calibri" w:hAnsi="Times New Roman" w:cs="Times New Roman"/>
          <w:noProof/>
          <w:sz w:val="24"/>
          <w:szCs w:val="24"/>
          <w:lang w:val="en-GB"/>
        </w:rPr>
        <w:t xml:space="preserve"> in the field of fundamental rights funding</w:t>
      </w:r>
      <w:r w:rsidRPr="0057623C">
        <w:rPr>
          <w:rFonts w:ascii="Times New Roman" w:eastAsia="Calibri" w:hAnsi="Times New Roman" w:cs="Times New Roman"/>
          <w:noProof/>
          <w:sz w:val="24"/>
          <w:szCs w:val="24"/>
          <w:lang w:val="en-GB"/>
        </w:rPr>
        <w:t xml:space="preserve">. This is in particular the case in the field of external action, where Member States contribute to the funding of international and regional human rights bodies, as well as of international </w:t>
      </w:r>
      <w:r>
        <w:rPr>
          <w:rFonts w:ascii="Times New Roman" w:eastAsia="Calibri" w:hAnsi="Times New Roman" w:cs="Times New Roman"/>
          <w:noProof/>
          <w:sz w:val="24"/>
          <w:szCs w:val="24"/>
          <w:lang w:val="en-GB"/>
        </w:rPr>
        <w:t>CSOs</w:t>
      </w:r>
      <w:r w:rsidRPr="0057623C">
        <w:rPr>
          <w:rFonts w:ascii="Times New Roman" w:eastAsia="Calibri" w:hAnsi="Times New Roman" w:cs="Times New Roman"/>
          <w:noProof/>
          <w:sz w:val="24"/>
          <w:szCs w:val="24"/>
          <w:lang w:val="en-GB"/>
        </w:rPr>
        <w:t>. Some Member States additionally provide bilateral grants to human rights actors under their foreign policies</w:t>
      </w:r>
      <w:r>
        <w:rPr>
          <w:rStyle w:val="FootnoteReference"/>
          <w:rFonts w:eastAsia="Calibri"/>
          <w:noProof/>
          <w:lang w:val="en-GB"/>
        </w:rPr>
        <w:footnoteReference w:id="185"/>
      </w:r>
      <w:r w:rsidRPr="0057623C">
        <w:rPr>
          <w:rFonts w:ascii="Times New Roman" w:eastAsia="Calibri" w:hAnsi="Times New Roman" w:cs="Times New Roman"/>
          <w:noProof/>
          <w:sz w:val="24"/>
          <w:szCs w:val="24"/>
          <w:lang w:val="en-GB"/>
        </w:rPr>
        <w:t xml:space="preserve"> , or have in place bilateral co-operation programmes</w:t>
      </w:r>
      <w:r>
        <w:rPr>
          <w:rStyle w:val="FootnoteReference"/>
          <w:rFonts w:eastAsia="Calibri"/>
          <w:noProof/>
          <w:lang w:val="en-GB"/>
        </w:rPr>
        <w:footnoteReference w:id="186"/>
      </w:r>
      <w:r w:rsidRPr="0057623C">
        <w:rPr>
          <w:rFonts w:ascii="Times New Roman" w:eastAsia="Calibri" w:hAnsi="Times New Roman" w:cs="Times New Roman"/>
          <w:noProof/>
          <w:sz w:val="24"/>
          <w:szCs w:val="24"/>
          <w:lang w:val="en-GB"/>
        </w:rPr>
        <w:t>.</w:t>
      </w:r>
      <w:r>
        <w:rPr>
          <w:rFonts w:ascii="Times New Roman" w:eastAsia="Calibri" w:hAnsi="Times New Roman" w:cs="Times New Roman"/>
          <w:noProof/>
          <w:sz w:val="24"/>
          <w:szCs w:val="24"/>
          <w:lang w:val="en-GB"/>
        </w:rPr>
        <w:t xml:space="preserve"> </w:t>
      </w:r>
    </w:p>
    <w:tbl>
      <w:tblPr>
        <w:tblW w:w="9350" w:type="dxa"/>
        <w:tblCellMar>
          <w:left w:w="10" w:type="dxa"/>
          <w:right w:w="10" w:type="dxa"/>
        </w:tblCellMar>
        <w:tblLook w:val="04A0" w:firstRow="1" w:lastRow="0" w:firstColumn="1" w:lastColumn="0" w:noHBand="0" w:noVBand="1"/>
      </w:tblPr>
      <w:tblGrid>
        <w:gridCol w:w="9350"/>
      </w:tblGrid>
      <w:tr w:rsidR="002C0325" w:rsidRPr="00D1775C" w14:paraId="16A98F9B" w14:textId="77777777" w:rsidTr="00352B78">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A833C" w14:textId="77777777" w:rsidR="002C0325" w:rsidRPr="000B6BFA" w:rsidRDefault="002C0325" w:rsidP="00352B78">
            <w:pPr>
              <w:pStyle w:val="Style1"/>
              <w:spacing w:after="0"/>
              <w:rPr>
                <w:noProof/>
                <w:sz w:val="20"/>
                <w:szCs w:val="20"/>
                <w:lang w:val="en-GB"/>
              </w:rPr>
            </w:pPr>
            <w:r w:rsidRPr="000B6BFA">
              <w:rPr>
                <w:noProof/>
                <w:sz w:val="20"/>
                <w:szCs w:val="20"/>
                <w:lang w:val="en-GB"/>
              </w:rPr>
              <w:t>Regarding the use of third-party funding opportunities in the Member States,</w:t>
            </w:r>
            <w:r w:rsidRPr="000B6BFA">
              <w:rPr>
                <w:b/>
                <w:bCs/>
                <w:noProof/>
                <w:sz w:val="20"/>
                <w:szCs w:val="20"/>
                <w:lang w:val="en-GB"/>
              </w:rPr>
              <w:t xml:space="preserve"> </w:t>
            </w:r>
            <w:r>
              <w:rPr>
                <w:b/>
                <w:bCs/>
                <w:noProof/>
                <w:sz w:val="20"/>
                <w:szCs w:val="20"/>
                <w:lang w:val="en-GB"/>
              </w:rPr>
              <w:t>Bulgaria</w:t>
            </w:r>
            <w:r w:rsidRPr="000B6BFA">
              <w:rPr>
                <w:b/>
                <w:bCs/>
                <w:noProof/>
                <w:sz w:val="20"/>
                <w:szCs w:val="20"/>
                <w:lang w:val="en-GB"/>
              </w:rPr>
              <w:t xml:space="preserve"> </w:t>
            </w:r>
            <w:r w:rsidRPr="000B6BFA">
              <w:rPr>
                <w:noProof/>
                <w:sz w:val="20"/>
                <w:szCs w:val="20"/>
                <w:lang w:val="en-GB"/>
              </w:rPr>
              <w:t xml:space="preserve">has </w:t>
            </w:r>
            <w:r>
              <w:rPr>
                <w:noProof/>
                <w:sz w:val="20"/>
                <w:szCs w:val="20"/>
                <w:lang w:val="en-GB"/>
              </w:rPr>
              <w:t>combined</w:t>
            </w:r>
            <w:r w:rsidRPr="000B6BFA">
              <w:rPr>
                <w:noProof/>
                <w:sz w:val="20"/>
                <w:szCs w:val="20"/>
                <w:lang w:val="en-GB"/>
              </w:rPr>
              <w:t xml:space="preserve"> funding from the state budget, the Justice programme and the EEA/Norway grants to build the capacity of the judiciary in the field of fundamental rights, including on judicial training, child-friendly justice and combatting violence against women and domestic violence.</w:t>
            </w:r>
            <w:r>
              <w:rPr>
                <w:noProof/>
                <w:sz w:val="20"/>
                <w:szCs w:val="20"/>
                <w:lang w:val="en-GB"/>
              </w:rPr>
              <w:t xml:space="preserve"> </w:t>
            </w:r>
            <w:r w:rsidRPr="000B6BFA">
              <w:rPr>
                <w:b/>
                <w:bCs/>
                <w:noProof/>
                <w:sz w:val="20"/>
                <w:szCs w:val="20"/>
                <w:lang w:val="en-GB"/>
              </w:rPr>
              <w:t>P</w:t>
            </w:r>
            <w:r>
              <w:rPr>
                <w:b/>
                <w:bCs/>
                <w:noProof/>
                <w:sz w:val="20"/>
                <w:szCs w:val="20"/>
                <w:lang w:val="en-GB"/>
              </w:rPr>
              <w:t>oland</w:t>
            </w:r>
            <w:r w:rsidRPr="000B6BFA">
              <w:rPr>
                <w:b/>
                <w:bCs/>
                <w:noProof/>
                <w:sz w:val="20"/>
                <w:szCs w:val="20"/>
                <w:lang w:val="en-GB"/>
              </w:rPr>
              <w:t xml:space="preserve"> </w:t>
            </w:r>
            <w:r w:rsidRPr="000B6BFA">
              <w:rPr>
                <w:noProof/>
                <w:sz w:val="20"/>
                <w:szCs w:val="20"/>
                <w:lang w:val="en-GB"/>
              </w:rPr>
              <w:t>reports o</w:t>
            </w:r>
            <w:r>
              <w:rPr>
                <w:noProof/>
                <w:sz w:val="20"/>
                <w:szCs w:val="20"/>
                <w:lang w:val="en-GB"/>
              </w:rPr>
              <w:t>n</w:t>
            </w:r>
            <w:r w:rsidRPr="000B6BFA">
              <w:rPr>
                <w:noProof/>
                <w:sz w:val="20"/>
                <w:szCs w:val="20"/>
                <w:lang w:val="en-GB"/>
              </w:rPr>
              <w:t xml:space="preserve"> several initiatives from the field of justice administration</w:t>
            </w:r>
            <w:r>
              <w:rPr>
                <w:noProof/>
                <w:sz w:val="20"/>
                <w:szCs w:val="20"/>
                <w:lang w:val="en-GB"/>
              </w:rPr>
              <w:t xml:space="preserve"> having been </w:t>
            </w:r>
            <w:r w:rsidRPr="000B6BFA">
              <w:rPr>
                <w:noProof/>
                <w:sz w:val="20"/>
                <w:szCs w:val="20"/>
                <w:lang w:val="en-GB"/>
              </w:rPr>
              <w:t xml:space="preserve">funded from the Justice programme and the EEA/ Norway Grants. In </w:t>
            </w:r>
            <w:r w:rsidRPr="000B6BFA">
              <w:rPr>
                <w:b/>
                <w:bCs/>
                <w:noProof/>
                <w:sz w:val="20"/>
                <w:szCs w:val="20"/>
                <w:lang w:val="en-GB"/>
              </w:rPr>
              <w:t>R</w:t>
            </w:r>
            <w:r>
              <w:rPr>
                <w:b/>
                <w:bCs/>
                <w:noProof/>
                <w:sz w:val="20"/>
                <w:szCs w:val="20"/>
                <w:lang w:val="en-GB"/>
              </w:rPr>
              <w:t>omania</w:t>
            </w:r>
            <w:r w:rsidRPr="000B6BFA">
              <w:rPr>
                <w:noProof/>
                <w:sz w:val="20"/>
                <w:szCs w:val="20"/>
                <w:lang w:val="en-GB"/>
              </w:rPr>
              <w:t>, 12 projects funded from the EEA/ Norway Grants were finalised on improving access to health services for vulnerable groups, including the Roma</w:t>
            </w:r>
            <w:r w:rsidRPr="000B6BFA">
              <w:rPr>
                <w:rStyle w:val="FootnoteReference"/>
                <w:noProof/>
                <w:sz w:val="20"/>
                <w:szCs w:val="20"/>
                <w:lang w:val="en-GB"/>
              </w:rPr>
              <w:footnoteReference w:id="187"/>
            </w:r>
            <w:r w:rsidRPr="000B6BFA">
              <w:rPr>
                <w:noProof/>
                <w:sz w:val="20"/>
                <w:szCs w:val="20"/>
                <w:lang w:val="en-GB"/>
              </w:rPr>
              <w:t xml:space="preserve">. </w:t>
            </w:r>
            <w:r w:rsidRPr="000B6BFA">
              <w:rPr>
                <w:b/>
                <w:bCs/>
                <w:noProof/>
                <w:sz w:val="20"/>
                <w:szCs w:val="20"/>
                <w:lang w:val="en-GB"/>
              </w:rPr>
              <w:t>S</w:t>
            </w:r>
            <w:r>
              <w:rPr>
                <w:b/>
                <w:bCs/>
                <w:noProof/>
                <w:sz w:val="20"/>
                <w:szCs w:val="20"/>
                <w:lang w:val="en-GB"/>
              </w:rPr>
              <w:t>lovenia</w:t>
            </w:r>
            <w:r w:rsidRPr="000B6BFA">
              <w:rPr>
                <w:noProof/>
                <w:sz w:val="20"/>
                <w:szCs w:val="20"/>
                <w:lang w:val="en-GB"/>
              </w:rPr>
              <w:t xml:space="preserve"> refers to projects co-financed by the Council of Europe and the EU’s Structural Reform Support</w:t>
            </w:r>
            <w:r w:rsidRPr="000B6BFA">
              <w:rPr>
                <w:rStyle w:val="FootnoteReference"/>
                <w:noProof/>
                <w:sz w:val="20"/>
                <w:szCs w:val="20"/>
                <w:lang w:val="en-GB"/>
              </w:rPr>
              <w:footnoteReference w:id="188"/>
            </w:r>
            <w:r w:rsidRPr="000B6BFA">
              <w:rPr>
                <w:noProof/>
                <w:sz w:val="20"/>
                <w:szCs w:val="20"/>
                <w:lang w:val="en-GB"/>
              </w:rPr>
              <w:t>.</w:t>
            </w:r>
          </w:p>
        </w:tc>
      </w:tr>
    </w:tbl>
    <w:p w14:paraId="01F6FBFD" w14:textId="77777777" w:rsidR="002C0325" w:rsidRPr="008F324C" w:rsidRDefault="002C0325" w:rsidP="002C0325">
      <w:pPr>
        <w:spacing w:after="0" w:line="276" w:lineRule="auto"/>
        <w:jc w:val="both"/>
        <w:rPr>
          <w:rFonts w:ascii="Times New Roman" w:eastAsia="Calibri" w:hAnsi="Times New Roman" w:cs="Times New Roman"/>
          <w:noProof/>
          <w:sz w:val="24"/>
          <w:szCs w:val="24"/>
          <w:lang w:val="en-GB"/>
        </w:rPr>
      </w:pPr>
    </w:p>
    <w:bookmarkEnd w:id="21"/>
    <w:p w14:paraId="7B2DC1BE" w14:textId="77777777" w:rsidR="002C0325" w:rsidRPr="004A0905" w:rsidRDefault="002C0325" w:rsidP="002C0325">
      <w:pPr>
        <w:pStyle w:val="Headerlevel2"/>
      </w:pPr>
      <w:r w:rsidRPr="004A0905">
        <w:t>Role of NHRIs, equality bodies and ombudspersons in fundamental rights funding</w:t>
      </w:r>
    </w:p>
    <w:p w14:paraId="256E9601" w14:textId="77777777" w:rsidR="002C0325" w:rsidRPr="00B71F95" w:rsidRDefault="002C0325" w:rsidP="002C0325">
      <w:pPr>
        <w:spacing w:after="120" w:line="276" w:lineRule="auto"/>
        <w:jc w:val="both"/>
        <w:rPr>
          <w:rFonts w:ascii="Times New Roman" w:hAnsi="Times New Roman" w:cs="Times New Roman"/>
          <w:noProof/>
          <w:sz w:val="24"/>
          <w:szCs w:val="24"/>
          <w:lang w:val="en-GB"/>
        </w:rPr>
      </w:pPr>
      <w:r w:rsidRPr="00B71F95">
        <w:rPr>
          <w:rFonts w:ascii="Times New Roman" w:hAnsi="Times New Roman" w:cs="Times New Roman"/>
          <w:noProof/>
          <w:sz w:val="24"/>
          <w:szCs w:val="24"/>
          <w:lang w:val="en-GB"/>
        </w:rPr>
        <w:t xml:space="preserve">The consultations conducted in support of this report were marked by </w:t>
      </w:r>
      <w:r>
        <w:rPr>
          <w:rFonts w:ascii="Times New Roman" w:hAnsi="Times New Roman" w:cs="Times New Roman"/>
          <w:noProof/>
          <w:sz w:val="24"/>
          <w:szCs w:val="24"/>
          <w:lang w:val="en-GB"/>
        </w:rPr>
        <w:t>high</w:t>
      </w:r>
      <w:r w:rsidRPr="00B71F95">
        <w:rPr>
          <w:rFonts w:ascii="Times New Roman" w:hAnsi="Times New Roman" w:cs="Times New Roman"/>
          <w:noProof/>
          <w:sz w:val="24"/>
          <w:szCs w:val="24"/>
          <w:lang w:val="en-GB"/>
        </w:rPr>
        <w:t xml:space="preserve"> interest from </w:t>
      </w:r>
      <w:r>
        <w:rPr>
          <w:rFonts w:ascii="Times New Roman" w:hAnsi="Times New Roman" w:cs="Times New Roman"/>
          <w:noProof/>
          <w:sz w:val="24"/>
          <w:szCs w:val="24"/>
          <w:lang w:val="en-GB"/>
        </w:rPr>
        <w:t>NHRIs</w:t>
      </w:r>
      <w:r w:rsidRPr="00B71F95">
        <w:rPr>
          <w:rFonts w:ascii="Times New Roman" w:hAnsi="Times New Roman" w:cs="Times New Roman"/>
          <w:noProof/>
          <w:sz w:val="24"/>
          <w:szCs w:val="24"/>
          <w:lang w:val="en-GB"/>
        </w:rPr>
        <w:t xml:space="preserve">, equality bodies and ombudspersons. </w:t>
      </w:r>
      <w:r>
        <w:rPr>
          <w:rFonts w:ascii="Times New Roman" w:hAnsi="Times New Roman" w:cs="Times New Roman"/>
          <w:noProof/>
          <w:sz w:val="24"/>
          <w:szCs w:val="24"/>
          <w:lang w:val="en-GB"/>
        </w:rPr>
        <w:t>In total, 20 of them, and their EU-level networks, participated in the targeted consultation</w:t>
      </w:r>
      <w:r>
        <w:rPr>
          <w:rStyle w:val="FootnoteReference"/>
          <w:noProof/>
          <w:lang w:val="en-GB"/>
        </w:rPr>
        <w:footnoteReference w:id="189"/>
      </w:r>
      <w:r>
        <w:rPr>
          <w:rFonts w:ascii="Times New Roman" w:hAnsi="Times New Roman" w:cs="Times New Roman"/>
          <w:noProof/>
          <w:sz w:val="24"/>
          <w:szCs w:val="24"/>
          <w:lang w:val="en-GB"/>
        </w:rPr>
        <w:t xml:space="preserve">. </w:t>
      </w:r>
    </w:p>
    <w:tbl>
      <w:tblPr>
        <w:tblW w:w="9320" w:type="dxa"/>
        <w:tblCellMar>
          <w:left w:w="10" w:type="dxa"/>
          <w:right w:w="10" w:type="dxa"/>
        </w:tblCellMar>
        <w:tblLook w:val="04A0" w:firstRow="1" w:lastRow="0" w:firstColumn="1" w:lastColumn="0" w:noHBand="0" w:noVBand="1"/>
      </w:tblPr>
      <w:tblGrid>
        <w:gridCol w:w="9320"/>
      </w:tblGrid>
      <w:tr w:rsidR="002C0325" w:rsidRPr="00D1775C" w14:paraId="2353F073" w14:textId="77777777" w:rsidTr="00352B78">
        <w:trPr>
          <w:trHeight w:val="1896"/>
        </w:trPr>
        <w:tc>
          <w:tcPr>
            <w:tcW w:w="9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D7836" w14:textId="77777777" w:rsidR="002C0325" w:rsidRPr="000B6BFA" w:rsidRDefault="002C0325" w:rsidP="00352B78">
            <w:pPr>
              <w:pStyle w:val="Style1"/>
              <w:spacing w:after="0"/>
              <w:rPr>
                <w:noProof/>
              </w:rPr>
            </w:pPr>
            <w:r w:rsidRPr="000B6BFA">
              <w:rPr>
                <w:i/>
                <w:noProof/>
              </w:rPr>
              <w:t>NHRIs under the Charter strategy – central for the Charter’s implementation</w:t>
            </w:r>
          </w:p>
          <w:p w14:paraId="4E796CE8" w14:textId="77777777" w:rsidR="002C0325" w:rsidRPr="00533652" w:rsidRDefault="002C0325" w:rsidP="00352B78">
            <w:pPr>
              <w:pStyle w:val="Style1"/>
              <w:spacing w:after="0"/>
              <w:rPr>
                <w:noProof/>
                <w:sz w:val="20"/>
                <w:szCs w:val="20"/>
              </w:rPr>
            </w:pPr>
            <w:r w:rsidRPr="000B6BFA">
              <w:rPr>
                <w:noProof/>
              </w:rPr>
              <w:t>In the Charter strategy, the Commission took note of the critical role of NHRIs in linking the government and the civil society. NHRIs promote the protection of all fundamental rights by monitoring the application of the Charter, providing information and support to victims of rights violations and cooperating with other national institutions to improve the use and awareness of the Charter. Given their independent status and expertise in monitoring and advising authorities, NHRIs could play a role in ensuring that EU funded programmes are designed and implemented in compliance with the Charter</w:t>
            </w:r>
            <w:r w:rsidRPr="007E113C">
              <w:rPr>
                <w:rStyle w:val="FootnoteReference"/>
                <w:noProof/>
              </w:rPr>
              <w:footnoteReference w:id="190"/>
            </w:r>
            <w:r w:rsidRPr="000B6BFA">
              <w:rPr>
                <w:noProof/>
              </w:rPr>
              <w:t>.</w:t>
            </w:r>
          </w:p>
        </w:tc>
      </w:tr>
    </w:tbl>
    <w:p w14:paraId="663C4264" w14:textId="77777777" w:rsidR="002C0325" w:rsidRDefault="002C0325" w:rsidP="002C0325">
      <w:pPr>
        <w:pStyle w:val="Style1"/>
        <w:spacing w:before="240"/>
        <w:rPr>
          <w:noProof/>
          <w:lang w:val="en-GB"/>
        </w:rPr>
      </w:pPr>
      <w:r>
        <w:rPr>
          <w:noProof/>
        </w:rPr>
        <w:t xml:space="preserve">As </w:t>
      </w:r>
      <w:r w:rsidRPr="00A830F0">
        <w:rPr>
          <w:noProof/>
          <w:lang w:val="en-GB"/>
        </w:rPr>
        <w:t>regards</w:t>
      </w:r>
      <w:r>
        <w:rPr>
          <w:noProof/>
        </w:rPr>
        <w:t xml:space="preserve"> </w:t>
      </w:r>
      <w:r w:rsidRPr="00A830F0">
        <w:rPr>
          <w:noProof/>
          <w:lang w:val="en-GB"/>
        </w:rPr>
        <w:t>funding</w:t>
      </w:r>
      <w:r>
        <w:rPr>
          <w:noProof/>
        </w:rPr>
        <w:t xml:space="preserve"> for the promotion and protection of fundamental rights, the contributing </w:t>
      </w:r>
      <w:r w:rsidRPr="00B71F95">
        <w:rPr>
          <w:noProof/>
          <w:lang w:val="en-GB"/>
        </w:rPr>
        <w:t>NHRIs, equality bodies and ombudspersons</w:t>
      </w:r>
      <w:r>
        <w:rPr>
          <w:noProof/>
          <w:lang w:val="en-GB"/>
        </w:rPr>
        <w:t xml:space="preserve"> underlined the </w:t>
      </w:r>
      <w:r w:rsidRPr="00662FFD">
        <w:rPr>
          <w:b/>
          <w:bCs/>
          <w:noProof/>
          <w:lang w:val="en-GB"/>
        </w:rPr>
        <w:t>limitations posed by their mandates</w:t>
      </w:r>
      <w:r>
        <w:rPr>
          <w:noProof/>
          <w:lang w:val="en-GB"/>
        </w:rPr>
        <w:t>. As also noted by ENNHRI in its dedicated statement from 2022</w:t>
      </w:r>
      <w:r>
        <w:rPr>
          <w:rStyle w:val="FootnoteReference"/>
          <w:noProof/>
          <w:lang w:val="en-GB"/>
        </w:rPr>
        <w:footnoteReference w:id="191"/>
      </w:r>
      <w:r>
        <w:rPr>
          <w:noProof/>
          <w:lang w:val="en-GB"/>
        </w:rPr>
        <w:t>, following the UN Paris Principles</w:t>
      </w:r>
      <w:r>
        <w:rPr>
          <w:rStyle w:val="FootnoteReference"/>
          <w:noProof/>
          <w:lang w:val="en-GB"/>
        </w:rPr>
        <w:footnoteReference w:id="192"/>
      </w:r>
      <w:r>
        <w:rPr>
          <w:noProof/>
          <w:lang w:val="en-GB"/>
        </w:rPr>
        <w:t xml:space="preserve">, it is not appropriate for NHRIs to take up a decision-making or voting position in the monitoring committees related to the implementation of the Charter HEC, or issue certificates on the fundamental rights compliance of the funded projects. </w:t>
      </w:r>
    </w:p>
    <w:p w14:paraId="30CBF5A2" w14:textId="0EBD7575" w:rsidR="002C0325" w:rsidRDefault="002C0325" w:rsidP="002C0325">
      <w:pPr>
        <w:pStyle w:val="Style1"/>
        <w:rPr>
          <w:noProof/>
          <w:lang w:val="en-GB"/>
        </w:rPr>
      </w:pPr>
      <w:r>
        <w:rPr>
          <w:noProof/>
          <w:lang w:val="en-GB"/>
        </w:rPr>
        <w:t xml:space="preserve">The activities of NHRIs, equality bodies and ombudspeople are generally funded from the state budget, which may occasionally be supplemented by external funding (such as from the Norway/EEA Grants). The majority of the responding </w:t>
      </w:r>
      <w:r w:rsidRPr="00B71F95">
        <w:rPr>
          <w:noProof/>
          <w:lang w:val="en-GB"/>
        </w:rPr>
        <w:t>NHRIs, equality bodies and ombudspersons</w:t>
      </w:r>
      <w:r>
        <w:rPr>
          <w:noProof/>
          <w:lang w:val="en-GB"/>
        </w:rPr>
        <w:t xml:space="preserve"> do not themselves issue funding for fundamental rights projects. Their mandates</w:t>
      </w:r>
      <w:r w:rsidRPr="000519F8">
        <w:rPr>
          <w:noProof/>
          <w:lang w:val="en-GB"/>
        </w:rPr>
        <w:t xml:space="preserve"> </w:t>
      </w:r>
      <w:r>
        <w:rPr>
          <w:noProof/>
          <w:lang w:val="en-GB"/>
        </w:rPr>
        <w:t xml:space="preserve">do not task these bodies with funding-related activities. </w:t>
      </w:r>
    </w:p>
    <w:p w14:paraId="1B9B12A2" w14:textId="77777777" w:rsidR="002C0325" w:rsidRPr="00875CEF" w:rsidRDefault="002C0325" w:rsidP="002C0325">
      <w:pPr>
        <w:pStyle w:val="Style1"/>
        <w:rPr>
          <w:noProof/>
          <w:lang w:val="en-GB"/>
        </w:rPr>
      </w:pPr>
      <w:r>
        <w:rPr>
          <w:noProof/>
          <w:lang w:val="en-GB"/>
        </w:rPr>
        <w:t xml:space="preserve">Exceptions exist. The German </w:t>
      </w:r>
      <w:r w:rsidRPr="00D531E3">
        <w:rPr>
          <w:noProof/>
          <w:lang w:val="en-GB"/>
        </w:rPr>
        <w:t>General Equal Treatment Act</w:t>
      </w:r>
      <w:r>
        <w:rPr>
          <w:noProof/>
          <w:lang w:val="en-GB"/>
        </w:rPr>
        <w:t xml:space="preserve"> enables the </w:t>
      </w:r>
      <w:r w:rsidRPr="0090348B">
        <w:rPr>
          <w:noProof/>
          <w:lang w:val="en-GB"/>
        </w:rPr>
        <w:t>national equality body</w:t>
      </w:r>
      <w:r>
        <w:rPr>
          <w:rStyle w:val="FootnoteReference"/>
          <w:noProof/>
          <w:lang w:val="en-GB"/>
        </w:rPr>
        <w:footnoteReference w:id="193"/>
      </w:r>
      <w:r w:rsidRPr="0090348B">
        <w:rPr>
          <w:noProof/>
          <w:lang w:val="en-GB"/>
        </w:rPr>
        <w:t xml:space="preserve"> to fund projects in the federal interest, when these cannot be effectively funded by a federal state. </w:t>
      </w:r>
      <w:r>
        <w:rPr>
          <w:noProof/>
          <w:lang w:val="en-GB"/>
        </w:rPr>
        <w:t>It</w:t>
      </w:r>
      <w:r w:rsidRPr="0090348B">
        <w:rPr>
          <w:noProof/>
          <w:lang w:val="en-GB"/>
        </w:rPr>
        <w:t xml:space="preserve"> accordingly issues calls for funding in line with its funding guidelines and annual budget</w:t>
      </w:r>
      <w:r w:rsidRPr="0090348B">
        <w:rPr>
          <w:rStyle w:val="FootnoteReference"/>
          <w:noProof/>
          <w:lang w:val="en-GB"/>
        </w:rPr>
        <w:footnoteReference w:id="194"/>
      </w:r>
      <w:r w:rsidRPr="0090348B">
        <w:rPr>
          <w:noProof/>
          <w:lang w:val="en-GB"/>
        </w:rPr>
        <w:t xml:space="preserve">. </w:t>
      </w:r>
    </w:p>
    <w:p w14:paraId="27268EF8" w14:textId="61C43487" w:rsidR="002C0325" w:rsidRDefault="002C0325" w:rsidP="002C0325">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lang w:val="en-GB"/>
        </w:rPr>
      </w:pPr>
      <w:r>
        <w:rPr>
          <w:rFonts w:ascii="Times New Roman" w:hAnsi="Times New Roman" w:cs="Times New Roman"/>
          <w:noProof/>
          <w:sz w:val="20"/>
          <w:szCs w:val="20"/>
          <w:lang w:val="en-GB"/>
        </w:rPr>
        <w:t xml:space="preserve">In </w:t>
      </w:r>
      <w:r w:rsidRPr="000B6BFA">
        <w:rPr>
          <w:rFonts w:ascii="Times New Roman" w:hAnsi="Times New Roman" w:cs="Times New Roman"/>
          <w:b/>
          <w:bCs/>
          <w:noProof/>
          <w:sz w:val="20"/>
          <w:szCs w:val="20"/>
          <w:lang w:val="en-GB"/>
        </w:rPr>
        <w:t>Germany</w:t>
      </w:r>
      <w:r>
        <w:rPr>
          <w:rFonts w:ascii="Times New Roman" w:hAnsi="Times New Roman" w:cs="Times New Roman"/>
          <w:noProof/>
          <w:sz w:val="20"/>
          <w:szCs w:val="20"/>
          <w:lang w:val="en-GB"/>
        </w:rPr>
        <w:t>, f</w:t>
      </w:r>
      <w:r w:rsidRPr="00800B4B">
        <w:rPr>
          <w:rFonts w:ascii="Times New Roman" w:hAnsi="Times New Roman" w:cs="Times New Roman"/>
          <w:noProof/>
          <w:sz w:val="20"/>
          <w:szCs w:val="20"/>
          <w:lang w:val="en-GB"/>
        </w:rPr>
        <w:t xml:space="preserve">unding has been allocated for the </w:t>
      </w:r>
      <w:r w:rsidRPr="00800B4B">
        <w:rPr>
          <w:rFonts w:ascii="Times New Roman" w:hAnsi="Times New Roman" w:cs="Times New Roman"/>
          <w:b/>
          <w:bCs/>
          <w:noProof/>
          <w:sz w:val="20"/>
          <w:szCs w:val="20"/>
          <w:lang w:val="en-GB"/>
        </w:rPr>
        <w:t>Respekt*land funding programme</w:t>
      </w:r>
      <w:r w:rsidRPr="00800B4B">
        <w:rPr>
          <w:rFonts w:ascii="Times New Roman" w:hAnsi="Times New Roman" w:cs="Times New Roman"/>
          <w:noProof/>
          <w:sz w:val="20"/>
          <w:szCs w:val="20"/>
          <w:lang w:val="en-GB"/>
        </w:rPr>
        <w:t>, the first federal programme to fund advice and support structures for victims</w:t>
      </w:r>
      <w:r w:rsidR="00326EA8">
        <w:rPr>
          <w:rFonts w:ascii="Times New Roman" w:hAnsi="Times New Roman" w:cs="Times New Roman"/>
          <w:noProof/>
          <w:sz w:val="20"/>
          <w:szCs w:val="20"/>
          <w:lang w:val="en-GB"/>
        </w:rPr>
        <w:t xml:space="preserve"> of </w:t>
      </w:r>
      <w:r w:rsidR="00326EA8" w:rsidRPr="00800B4B">
        <w:rPr>
          <w:rFonts w:ascii="Times New Roman" w:hAnsi="Times New Roman" w:cs="Times New Roman"/>
          <w:noProof/>
          <w:sz w:val="20"/>
          <w:szCs w:val="20"/>
          <w:lang w:val="en-GB"/>
        </w:rPr>
        <w:t>discrimination</w:t>
      </w:r>
      <w:r w:rsidRPr="00800B4B">
        <w:rPr>
          <w:rFonts w:ascii="Times New Roman" w:hAnsi="Times New Roman" w:cs="Times New Roman"/>
          <w:noProof/>
          <w:sz w:val="20"/>
          <w:szCs w:val="20"/>
          <w:lang w:val="en-GB"/>
        </w:rPr>
        <w:t>. With a budget of EUR 4.8 million in 2023 and 5.75 million in 2024, the FADA chose 35 pilot projects out of 103 applications in coordination with the federal states.</w:t>
      </w:r>
      <w:r w:rsidRPr="00800B4B">
        <w:rPr>
          <w:noProof/>
          <w:sz w:val="20"/>
          <w:szCs w:val="20"/>
          <w:lang w:val="en-GB"/>
        </w:rPr>
        <w:t xml:space="preserve"> </w:t>
      </w:r>
      <w:r w:rsidRPr="00800B4B">
        <w:rPr>
          <w:rFonts w:ascii="Times New Roman" w:hAnsi="Times New Roman" w:cs="Times New Roman"/>
          <w:noProof/>
          <w:sz w:val="20"/>
          <w:szCs w:val="20"/>
          <w:lang w:val="en-GB"/>
        </w:rPr>
        <w:t>Most of the projects have a regional focus (only nine take a national approach). The projects for instance pilot legal advice and counselling in underserved regions or expand advice and counselling services for discrimination victims into rural areas. One project establishes standards for local and municipal equality and antidiscrimination bodies.</w:t>
      </w:r>
    </w:p>
    <w:p w14:paraId="0D4789D4" w14:textId="77777777" w:rsidR="002C0325" w:rsidRPr="00600E01" w:rsidRDefault="002C0325" w:rsidP="002C0325">
      <w:pPr>
        <w:pBdr>
          <w:top w:val="single" w:sz="4" w:space="1" w:color="auto"/>
          <w:left w:val="single" w:sz="4" w:space="4" w:color="auto"/>
          <w:bottom w:val="single" w:sz="4" w:space="1" w:color="auto"/>
          <w:right w:val="single" w:sz="4" w:space="4" w:color="auto"/>
        </w:pBdr>
        <w:jc w:val="both"/>
        <w:rPr>
          <w:noProof/>
          <w:sz w:val="20"/>
          <w:szCs w:val="20"/>
          <w:lang w:val="en-GB"/>
        </w:rPr>
      </w:pPr>
      <w:r w:rsidRPr="00800B4B">
        <w:rPr>
          <w:rFonts w:ascii="Times New Roman" w:hAnsi="Times New Roman" w:cs="Times New Roman"/>
          <w:noProof/>
          <w:sz w:val="20"/>
          <w:szCs w:val="20"/>
          <w:lang w:val="en-GB"/>
        </w:rPr>
        <w:t xml:space="preserve">Similarly, in </w:t>
      </w:r>
      <w:r w:rsidRPr="00800B4B">
        <w:rPr>
          <w:rFonts w:ascii="Times New Roman" w:hAnsi="Times New Roman" w:cs="Times New Roman"/>
          <w:b/>
          <w:bCs/>
          <w:noProof/>
          <w:sz w:val="20"/>
          <w:szCs w:val="20"/>
          <w:lang w:val="en-GB"/>
        </w:rPr>
        <w:t>I</w:t>
      </w:r>
      <w:r>
        <w:rPr>
          <w:rFonts w:ascii="Times New Roman" w:hAnsi="Times New Roman" w:cs="Times New Roman"/>
          <w:b/>
          <w:bCs/>
          <w:noProof/>
          <w:sz w:val="20"/>
          <w:szCs w:val="20"/>
          <w:lang w:val="en-GB"/>
        </w:rPr>
        <w:t>reland</w:t>
      </w:r>
      <w:r w:rsidRPr="00800B4B">
        <w:rPr>
          <w:rFonts w:ascii="Times New Roman" w:hAnsi="Times New Roman" w:cs="Times New Roman"/>
          <w:noProof/>
          <w:sz w:val="20"/>
          <w:szCs w:val="20"/>
          <w:lang w:val="en-GB"/>
        </w:rPr>
        <w:t>, the Irish Human Rights and Equality Commission Act 2014 mandates the NHRI to provide grants for activities to promote human rights and equality. Funding is issued in accordance with the priorities set out in a strategy statement</w:t>
      </w:r>
      <w:r w:rsidRPr="00800B4B">
        <w:rPr>
          <w:rStyle w:val="FootnoteReference"/>
          <w:noProof/>
          <w:sz w:val="20"/>
          <w:szCs w:val="20"/>
          <w:lang w:val="en-GB"/>
        </w:rPr>
        <w:footnoteReference w:id="195"/>
      </w:r>
      <w:r w:rsidRPr="00800B4B">
        <w:rPr>
          <w:rFonts w:ascii="Times New Roman" w:hAnsi="Times New Roman" w:cs="Times New Roman"/>
          <w:noProof/>
          <w:sz w:val="20"/>
          <w:szCs w:val="20"/>
          <w:lang w:val="en-GB"/>
        </w:rPr>
        <w:t xml:space="preserve"> and is made available under a small grants scheme (consisting of grants of up to EUR 6,000) and as general grants (of up to EUR 20,000). </w:t>
      </w:r>
      <w:r>
        <w:rPr>
          <w:rFonts w:ascii="Times New Roman" w:hAnsi="Times New Roman" w:cs="Times New Roman"/>
          <w:noProof/>
          <w:sz w:val="20"/>
          <w:szCs w:val="20"/>
          <w:lang w:val="en-GB"/>
        </w:rPr>
        <w:t>T</w:t>
      </w:r>
      <w:r w:rsidRPr="00800B4B">
        <w:rPr>
          <w:rFonts w:ascii="Times New Roman" w:hAnsi="Times New Roman" w:cs="Times New Roman"/>
          <w:noProof/>
          <w:sz w:val="20"/>
          <w:szCs w:val="20"/>
          <w:lang w:val="en-GB"/>
        </w:rPr>
        <w:t xml:space="preserve">he NHRI has funded over 200 projects to support small rights-holder and community-led groups. The scheme also welcomes partnerships between several organisations. </w:t>
      </w:r>
    </w:p>
    <w:p w14:paraId="0C7F334E" w14:textId="77777777" w:rsidR="002C0325" w:rsidRDefault="002C0325" w:rsidP="002C0325">
      <w:pPr>
        <w:pStyle w:val="Style1"/>
        <w:rPr>
          <w:noProof/>
          <w:lang w:val="en-GB"/>
        </w:rPr>
      </w:pPr>
      <w:r w:rsidRPr="00BA512F">
        <w:rPr>
          <w:b/>
          <w:noProof/>
        </w:rPr>
        <w:t>N</w:t>
      </w:r>
      <w:r w:rsidRPr="00BA512F">
        <w:rPr>
          <w:b/>
          <w:noProof/>
          <w:lang w:val="en-GB"/>
        </w:rPr>
        <w:t xml:space="preserve">one of the responding NHRIs, equality bodies or ombudspeople inform potential applicants </w:t>
      </w:r>
      <w:r w:rsidRPr="00BA512F">
        <w:rPr>
          <w:b/>
          <w:bCs/>
          <w:noProof/>
          <w:lang w:val="en-GB"/>
        </w:rPr>
        <w:t>of</w:t>
      </w:r>
      <w:r w:rsidRPr="00BA512F">
        <w:rPr>
          <w:b/>
          <w:noProof/>
          <w:lang w:val="en-GB"/>
        </w:rPr>
        <w:t xml:space="preserve"> available funding opportunities</w:t>
      </w:r>
      <w:r>
        <w:rPr>
          <w:noProof/>
          <w:lang w:val="en-GB"/>
        </w:rPr>
        <w:t xml:space="preserve">. The </w:t>
      </w:r>
      <w:r w:rsidRPr="0090348B">
        <w:rPr>
          <w:b/>
          <w:bCs/>
          <w:noProof/>
          <w:lang w:val="en-GB"/>
        </w:rPr>
        <w:t>Greek Ombus</w:t>
      </w:r>
      <w:r>
        <w:rPr>
          <w:b/>
          <w:bCs/>
          <w:noProof/>
          <w:lang w:val="en-GB"/>
        </w:rPr>
        <w:t>man</w:t>
      </w:r>
      <w:r>
        <w:rPr>
          <w:noProof/>
          <w:lang w:val="en-GB"/>
        </w:rPr>
        <w:t xml:space="preserve"> however noted that it could make recommendations to the public administration on the promotion and protection of fundamental rights, including through funding. </w:t>
      </w:r>
    </w:p>
    <w:p w14:paraId="06DFEE0A" w14:textId="77777777" w:rsidR="002C0325" w:rsidRPr="00875CEF" w:rsidRDefault="002C0325" w:rsidP="002C0325">
      <w:pPr>
        <w:pStyle w:val="Style1"/>
        <w:rPr>
          <w:noProof/>
          <w:lang w:val="en-GB"/>
        </w:rPr>
      </w:pPr>
      <w:r>
        <w:rPr>
          <w:noProof/>
          <w:lang w:val="en-GB"/>
        </w:rPr>
        <w:t xml:space="preserve">Some ombudspeople and NHRIs are otherwise involved in funding activities. The </w:t>
      </w:r>
      <w:r w:rsidRPr="00872929">
        <w:rPr>
          <w:b/>
          <w:bCs/>
          <w:noProof/>
          <w:lang w:val="en-GB"/>
        </w:rPr>
        <w:t>Croat Ombudsperson</w:t>
      </w:r>
      <w:r>
        <w:rPr>
          <w:noProof/>
          <w:lang w:val="en-GB"/>
        </w:rPr>
        <w:t xml:space="preserve"> supports funding applications from familiar CSOs. The </w:t>
      </w:r>
      <w:r w:rsidRPr="00D531E3">
        <w:rPr>
          <w:b/>
          <w:bCs/>
          <w:noProof/>
          <w:lang w:val="en-GB"/>
        </w:rPr>
        <w:t>Ombudspe</w:t>
      </w:r>
      <w:r>
        <w:rPr>
          <w:b/>
          <w:bCs/>
          <w:noProof/>
          <w:lang w:val="en-GB"/>
        </w:rPr>
        <w:t>ople</w:t>
      </w:r>
      <w:r w:rsidRPr="00D531E3">
        <w:rPr>
          <w:b/>
          <w:bCs/>
          <w:noProof/>
          <w:lang w:val="en-GB"/>
        </w:rPr>
        <w:t xml:space="preserve"> of </w:t>
      </w:r>
      <w:r>
        <w:rPr>
          <w:b/>
          <w:bCs/>
          <w:noProof/>
          <w:lang w:val="en-GB"/>
        </w:rPr>
        <w:t xml:space="preserve">Croatia, </w:t>
      </w:r>
      <w:r w:rsidRPr="00D531E3">
        <w:rPr>
          <w:b/>
          <w:bCs/>
          <w:noProof/>
          <w:lang w:val="en-GB"/>
        </w:rPr>
        <w:t>C</w:t>
      </w:r>
      <w:r>
        <w:rPr>
          <w:b/>
          <w:bCs/>
          <w:noProof/>
          <w:lang w:val="en-GB"/>
        </w:rPr>
        <w:t>yprus</w:t>
      </w:r>
      <w:r>
        <w:rPr>
          <w:noProof/>
          <w:lang w:val="en-GB"/>
        </w:rPr>
        <w:t xml:space="preserve"> and </w:t>
      </w:r>
      <w:r>
        <w:rPr>
          <w:b/>
          <w:bCs/>
          <w:noProof/>
          <w:lang w:val="en-GB"/>
        </w:rPr>
        <w:t>Greece,</w:t>
      </w:r>
      <w:r>
        <w:rPr>
          <w:noProof/>
          <w:lang w:val="en-GB"/>
        </w:rPr>
        <w:t xml:space="preserve"> and the </w:t>
      </w:r>
      <w:r>
        <w:rPr>
          <w:b/>
          <w:bCs/>
          <w:noProof/>
          <w:lang w:val="en-GB"/>
        </w:rPr>
        <w:t>Bulgarian,</w:t>
      </w:r>
      <w:r>
        <w:rPr>
          <w:noProof/>
          <w:lang w:val="en-GB"/>
        </w:rPr>
        <w:t xml:space="preserve"> </w:t>
      </w:r>
      <w:r>
        <w:rPr>
          <w:b/>
          <w:bCs/>
          <w:noProof/>
          <w:lang w:val="en-GB"/>
        </w:rPr>
        <w:t xml:space="preserve">Spanish </w:t>
      </w:r>
      <w:r>
        <w:rPr>
          <w:noProof/>
          <w:lang w:val="en-GB"/>
        </w:rPr>
        <w:t xml:space="preserve">and </w:t>
      </w:r>
      <w:r>
        <w:rPr>
          <w:b/>
          <w:bCs/>
          <w:noProof/>
          <w:lang w:val="en-GB"/>
        </w:rPr>
        <w:t>Slovenian</w:t>
      </w:r>
      <w:r w:rsidRPr="00FD0930">
        <w:rPr>
          <w:b/>
          <w:bCs/>
          <w:noProof/>
          <w:lang w:val="en-GB"/>
        </w:rPr>
        <w:t xml:space="preserve"> NHRI</w:t>
      </w:r>
      <w:r>
        <w:rPr>
          <w:b/>
          <w:bCs/>
          <w:noProof/>
          <w:lang w:val="en-GB"/>
        </w:rPr>
        <w:t>s,</w:t>
      </w:r>
      <w:r>
        <w:rPr>
          <w:noProof/>
          <w:lang w:val="en-GB"/>
        </w:rPr>
        <w:t xml:space="preserve"> participate in events organised by CSOs as part of funded projects, or participate into project activities </w:t>
      </w:r>
      <w:r w:rsidRPr="0020658B">
        <w:rPr>
          <w:noProof/>
          <w:lang w:val="en-GB"/>
        </w:rPr>
        <w:t xml:space="preserve">as part of </w:t>
      </w:r>
      <w:r>
        <w:rPr>
          <w:noProof/>
          <w:lang w:val="en-GB"/>
        </w:rPr>
        <w:t>a</w:t>
      </w:r>
      <w:r w:rsidRPr="0020658B">
        <w:rPr>
          <w:noProof/>
          <w:lang w:val="en-GB"/>
        </w:rPr>
        <w:t xml:space="preserve"> coalition.</w:t>
      </w:r>
      <w:r>
        <w:rPr>
          <w:noProof/>
          <w:lang w:val="en-GB"/>
        </w:rPr>
        <w:t xml:space="preserve"> </w:t>
      </w:r>
    </w:p>
    <w:p w14:paraId="57BB99AC" w14:textId="77777777" w:rsidR="002C0325" w:rsidRPr="00800B4B" w:rsidRDefault="002C0325" w:rsidP="002C0325">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sidRPr="00800B4B">
        <w:rPr>
          <w:rFonts w:ascii="Times New Roman" w:hAnsi="Times New Roman" w:cs="Times New Roman"/>
          <w:noProof/>
          <w:sz w:val="20"/>
          <w:szCs w:val="20"/>
        </w:rPr>
        <w:t xml:space="preserve">The project </w:t>
      </w:r>
      <w:r w:rsidRPr="00800B4B">
        <w:rPr>
          <w:rFonts w:ascii="Times New Roman" w:hAnsi="Times New Roman" w:cs="Times New Roman"/>
          <w:b/>
          <w:bCs/>
          <w:noProof/>
          <w:sz w:val="20"/>
          <w:szCs w:val="20"/>
        </w:rPr>
        <w:t>Rooting for Rights (R4R)</w:t>
      </w:r>
      <w:r w:rsidRPr="00800B4B">
        <w:rPr>
          <w:rStyle w:val="FootnoteReference"/>
          <w:noProof/>
          <w:sz w:val="20"/>
          <w:szCs w:val="20"/>
        </w:rPr>
        <w:footnoteReference w:id="196"/>
      </w:r>
      <w:r w:rsidRPr="00800B4B">
        <w:rPr>
          <w:rFonts w:ascii="Times New Roman" w:hAnsi="Times New Roman" w:cs="Times New Roman"/>
          <w:noProof/>
          <w:sz w:val="20"/>
          <w:szCs w:val="20"/>
        </w:rPr>
        <w:t xml:space="preserve"> promotes the use of the Charter in the protection of the rights of international protection applicants in</w:t>
      </w:r>
      <w:r w:rsidRPr="00800B4B">
        <w:rPr>
          <w:rFonts w:ascii="Times New Roman" w:hAnsi="Times New Roman" w:cs="Times New Roman"/>
          <w:b/>
          <w:bCs/>
          <w:noProof/>
          <w:sz w:val="20"/>
          <w:szCs w:val="20"/>
        </w:rPr>
        <w:t xml:space="preserve"> </w:t>
      </w:r>
      <w:r>
        <w:rPr>
          <w:rFonts w:ascii="Times New Roman" w:hAnsi="Times New Roman" w:cs="Times New Roman"/>
          <w:b/>
          <w:bCs/>
          <w:noProof/>
          <w:sz w:val="20"/>
          <w:szCs w:val="20"/>
        </w:rPr>
        <w:t>Cyprus</w:t>
      </w:r>
      <w:r w:rsidRPr="00800B4B">
        <w:rPr>
          <w:rFonts w:ascii="Times New Roman" w:hAnsi="Times New Roman" w:cs="Times New Roman"/>
          <w:noProof/>
          <w:sz w:val="20"/>
          <w:szCs w:val="20"/>
        </w:rPr>
        <w:t xml:space="preserve">, </w:t>
      </w:r>
      <w:r>
        <w:rPr>
          <w:rFonts w:ascii="Times New Roman" w:hAnsi="Times New Roman" w:cs="Times New Roman"/>
          <w:b/>
          <w:bCs/>
          <w:noProof/>
          <w:sz w:val="20"/>
          <w:szCs w:val="20"/>
        </w:rPr>
        <w:t>Greece</w:t>
      </w:r>
      <w:r w:rsidRPr="00800B4B">
        <w:rPr>
          <w:rFonts w:ascii="Times New Roman" w:hAnsi="Times New Roman" w:cs="Times New Roman"/>
          <w:noProof/>
          <w:sz w:val="20"/>
          <w:szCs w:val="20"/>
        </w:rPr>
        <w:t xml:space="preserve">, </w:t>
      </w:r>
      <w:r>
        <w:rPr>
          <w:rFonts w:ascii="Times New Roman" w:hAnsi="Times New Roman" w:cs="Times New Roman"/>
          <w:b/>
          <w:bCs/>
          <w:noProof/>
          <w:sz w:val="20"/>
          <w:szCs w:val="20"/>
        </w:rPr>
        <w:t>Malta</w:t>
      </w:r>
      <w:r w:rsidRPr="00800B4B">
        <w:rPr>
          <w:rFonts w:ascii="Times New Roman" w:hAnsi="Times New Roman" w:cs="Times New Roman"/>
          <w:b/>
          <w:bCs/>
          <w:noProof/>
          <w:sz w:val="20"/>
          <w:szCs w:val="20"/>
        </w:rPr>
        <w:t xml:space="preserve"> </w:t>
      </w:r>
      <w:r w:rsidRPr="00800B4B">
        <w:rPr>
          <w:rFonts w:ascii="Times New Roman" w:hAnsi="Times New Roman" w:cs="Times New Roman"/>
          <w:noProof/>
          <w:sz w:val="20"/>
          <w:szCs w:val="20"/>
        </w:rPr>
        <w:t xml:space="preserve">and </w:t>
      </w:r>
      <w:r>
        <w:rPr>
          <w:rFonts w:ascii="Times New Roman" w:hAnsi="Times New Roman" w:cs="Times New Roman"/>
          <w:b/>
          <w:bCs/>
          <w:noProof/>
          <w:sz w:val="20"/>
          <w:szCs w:val="20"/>
        </w:rPr>
        <w:t>Portugal</w:t>
      </w:r>
      <w:r w:rsidRPr="00800B4B">
        <w:rPr>
          <w:rFonts w:ascii="Times New Roman" w:hAnsi="Times New Roman" w:cs="Times New Roman"/>
          <w:noProof/>
          <w:sz w:val="20"/>
          <w:szCs w:val="20"/>
        </w:rPr>
        <w:t xml:space="preserve">. Building on the </w:t>
      </w:r>
      <w:r>
        <w:rPr>
          <w:rFonts w:ascii="Times New Roman" w:hAnsi="Times New Roman" w:cs="Times New Roman"/>
          <w:noProof/>
          <w:sz w:val="20"/>
          <w:szCs w:val="20"/>
        </w:rPr>
        <w:t>Charter s</w:t>
      </w:r>
      <w:r w:rsidRPr="00800B4B">
        <w:rPr>
          <w:rFonts w:ascii="Times New Roman" w:hAnsi="Times New Roman" w:cs="Times New Roman"/>
          <w:noProof/>
          <w:sz w:val="20"/>
          <w:szCs w:val="20"/>
        </w:rPr>
        <w:t xml:space="preserve">trategy, the project focuses on awareness-raising and advocacy with national authorities (reaching in total 25 national institutions, human rights bodies, state actors and ombudspeople). It builds the capacities of legal practitioners, CSOs and frontliners to effectively </w:t>
      </w:r>
      <w:r>
        <w:rPr>
          <w:rFonts w:ascii="Times New Roman" w:hAnsi="Times New Roman" w:cs="Times New Roman"/>
          <w:noProof/>
          <w:sz w:val="20"/>
          <w:szCs w:val="20"/>
        </w:rPr>
        <w:t>invoke</w:t>
      </w:r>
      <w:r w:rsidRPr="00800B4B">
        <w:rPr>
          <w:rFonts w:ascii="Times New Roman" w:hAnsi="Times New Roman" w:cs="Times New Roman"/>
          <w:noProof/>
          <w:sz w:val="20"/>
          <w:szCs w:val="20"/>
        </w:rPr>
        <w:t xml:space="preserve"> the Charter when supporting international protection applicants and develops materials to inform them of their rights. The Greek National Commission of Human Rights participates pursuant to its mandate to monitor human rights violations and advice on human rights policies.</w:t>
      </w:r>
    </w:p>
    <w:p w14:paraId="5303437C" w14:textId="77777777" w:rsidR="002C0325" w:rsidRPr="00875CEF" w:rsidRDefault="002C0325" w:rsidP="002C0325">
      <w:pPr>
        <w:pStyle w:val="Style1"/>
        <w:rPr>
          <w:noProof/>
          <w:lang w:val="en-GB"/>
        </w:rPr>
      </w:pPr>
      <w:r>
        <w:rPr>
          <w:noProof/>
          <w:lang w:val="en-GB"/>
        </w:rPr>
        <w:t xml:space="preserve">Several </w:t>
      </w:r>
      <w:r w:rsidRPr="00401CD4">
        <w:rPr>
          <w:noProof/>
          <w:lang w:val="en-GB"/>
        </w:rPr>
        <w:t xml:space="preserve">NHRIs, equality bodies and ombudspeople cooperate with other donors. </w:t>
      </w:r>
      <w:r>
        <w:rPr>
          <w:noProof/>
          <w:lang w:val="en-GB"/>
        </w:rPr>
        <w:t>This includes</w:t>
      </w:r>
      <w:r w:rsidRPr="00401CD4">
        <w:rPr>
          <w:noProof/>
          <w:lang w:val="en-GB"/>
        </w:rPr>
        <w:t xml:space="preserve"> cooperation with the EEA/Norway Grants (</w:t>
      </w:r>
      <w:r w:rsidRPr="00401CD4">
        <w:rPr>
          <w:b/>
          <w:bCs/>
          <w:noProof/>
          <w:lang w:val="en-GB"/>
        </w:rPr>
        <w:t>Ombudspeople of C</w:t>
      </w:r>
      <w:r>
        <w:rPr>
          <w:b/>
          <w:bCs/>
          <w:noProof/>
          <w:lang w:val="en-GB"/>
        </w:rPr>
        <w:t>yprus</w:t>
      </w:r>
      <w:r w:rsidRPr="00401CD4">
        <w:rPr>
          <w:b/>
          <w:bCs/>
          <w:noProof/>
          <w:lang w:val="en-GB"/>
        </w:rPr>
        <w:t xml:space="preserve">, </w:t>
      </w:r>
      <w:r>
        <w:rPr>
          <w:b/>
          <w:bCs/>
          <w:noProof/>
          <w:lang w:val="en-GB"/>
        </w:rPr>
        <w:t>Czechia</w:t>
      </w:r>
      <w:r w:rsidRPr="00401CD4">
        <w:rPr>
          <w:b/>
          <w:bCs/>
          <w:noProof/>
          <w:lang w:val="en-GB"/>
        </w:rPr>
        <w:t xml:space="preserve"> and </w:t>
      </w:r>
      <w:r>
        <w:rPr>
          <w:b/>
          <w:bCs/>
          <w:noProof/>
          <w:lang w:val="en-GB"/>
        </w:rPr>
        <w:t>Greece,</w:t>
      </w:r>
      <w:r w:rsidRPr="00401CD4">
        <w:rPr>
          <w:b/>
          <w:bCs/>
          <w:noProof/>
          <w:lang w:val="en-GB"/>
        </w:rPr>
        <w:t xml:space="preserve"> </w:t>
      </w:r>
      <w:r>
        <w:rPr>
          <w:b/>
          <w:bCs/>
          <w:noProof/>
          <w:lang w:val="en-GB"/>
        </w:rPr>
        <w:t>Slovenian</w:t>
      </w:r>
      <w:r w:rsidRPr="00401CD4">
        <w:rPr>
          <w:b/>
          <w:bCs/>
          <w:noProof/>
          <w:lang w:val="en-GB"/>
        </w:rPr>
        <w:t xml:space="preserve"> NHRI</w:t>
      </w:r>
      <w:r w:rsidRPr="00401CD4">
        <w:rPr>
          <w:noProof/>
          <w:lang w:val="en-GB"/>
        </w:rPr>
        <w:t>). Contributors also refer to bilateral projects funded</w:t>
      </w:r>
      <w:r>
        <w:rPr>
          <w:noProof/>
          <w:lang w:val="en-GB"/>
        </w:rPr>
        <w:t xml:space="preserve"> by </w:t>
      </w:r>
      <w:r w:rsidRPr="00E4608D">
        <w:rPr>
          <w:b/>
          <w:bCs/>
          <w:noProof/>
          <w:lang w:val="en-GB"/>
        </w:rPr>
        <w:t>the Netherlands</w:t>
      </w:r>
      <w:r>
        <w:rPr>
          <w:noProof/>
          <w:lang w:val="en-GB"/>
        </w:rPr>
        <w:t xml:space="preserve"> and US AID, as well as project cooperation with the Council of Europe and the FRA. </w:t>
      </w:r>
    </w:p>
    <w:p w14:paraId="3F40CA62" w14:textId="77777777" w:rsidR="002C0325" w:rsidRPr="00800B4B" w:rsidRDefault="002C0325" w:rsidP="002C0325">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sidRPr="00800B4B">
        <w:rPr>
          <w:rFonts w:ascii="Times New Roman" w:hAnsi="Times New Roman" w:cs="Times New Roman"/>
          <w:noProof/>
          <w:sz w:val="20"/>
          <w:szCs w:val="20"/>
          <w:lang w:val="en-GB"/>
        </w:rPr>
        <w:t>Funded by t</w:t>
      </w:r>
      <w:r w:rsidRPr="00800B4B">
        <w:rPr>
          <w:rFonts w:ascii="Times New Roman" w:hAnsi="Times New Roman" w:cs="Times New Roman"/>
          <w:noProof/>
          <w:sz w:val="20"/>
          <w:szCs w:val="20"/>
        </w:rPr>
        <w:t xml:space="preserve">he EEA Norway Grants, </w:t>
      </w:r>
      <w:r w:rsidRPr="00800B4B">
        <w:rPr>
          <w:rFonts w:ascii="Times New Roman" w:hAnsi="Times New Roman" w:cs="Times New Roman"/>
          <w:noProof/>
          <w:sz w:val="20"/>
          <w:szCs w:val="20"/>
          <w:lang w:val="en-GB"/>
        </w:rPr>
        <w:t>the FRA</w:t>
      </w:r>
      <w:r w:rsidRPr="00800B4B">
        <w:rPr>
          <w:rFonts w:ascii="Times New Roman" w:hAnsi="Times New Roman" w:cs="Times New Roman"/>
          <w:noProof/>
          <w:sz w:val="20"/>
          <w:szCs w:val="20"/>
        </w:rPr>
        <w:t xml:space="preserve"> implemented a regional project on “supporting national human rights institutions in monitoring fundamental rights and the fundamental rights aspects of the rule of law</w:t>
      </w:r>
      <w:r>
        <w:rPr>
          <w:rFonts w:ascii="Times New Roman" w:hAnsi="Times New Roman" w:cs="Times New Roman"/>
          <w:noProof/>
          <w:sz w:val="20"/>
          <w:szCs w:val="20"/>
        </w:rPr>
        <w:t>”</w:t>
      </w:r>
      <w:r w:rsidRPr="00800B4B">
        <w:rPr>
          <w:rFonts w:ascii="Times New Roman" w:hAnsi="Times New Roman" w:cs="Times New Roman"/>
          <w:noProof/>
          <w:sz w:val="20"/>
          <w:szCs w:val="20"/>
        </w:rPr>
        <w:t xml:space="preserve"> in </w:t>
      </w:r>
      <w:r>
        <w:rPr>
          <w:rFonts w:ascii="Times New Roman" w:hAnsi="Times New Roman" w:cs="Times New Roman"/>
          <w:b/>
          <w:bCs/>
          <w:noProof/>
          <w:sz w:val="20"/>
          <w:szCs w:val="20"/>
        </w:rPr>
        <w:t>Bulgaria,</w:t>
      </w:r>
      <w:r w:rsidRPr="00800B4B">
        <w:rPr>
          <w:rFonts w:ascii="Times New Roman" w:hAnsi="Times New Roman" w:cs="Times New Roman"/>
          <w:noProof/>
          <w:sz w:val="20"/>
          <w:szCs w:val="20"/>
        </w:rPr>
        <w:t xml:space="preserve"> </w:t>
      </w:r>
      <w:r>
        <w:rPr>
          <w:rFonts w:ascii="Times New Roman" w:hAnsi="Times New Roman" w:cs="Times New Roman"/>
          <w:b/>
          <w:bCs/>
          <w:noProof/>
          <w:sz w:val="20"/>
          <w:szCs w:val="20"/>
        </w:rPr>
        <w:t>Croatia,</w:t>
      </w:r>
      <w:r w:rsidRPr="00800B4B">
        <w:rPr>
          <w:rFonts w:ascii="Times New Roman" w:hAnsi="Times New Roman" w:cs="Times New Roman"/>
          <w:noProof/>
          <w:sz w:val="20"/>
          <w:szCs w:val="20"/>
        </w:rPr>
        <w:t xml:space="preserve"> </w:t>
      </w:r>
      <w:r>
        <w:rPr>
          <w:rFonts w:ascii="Times New Roman" w:hAnsi="Times New Roman" w:cs="Times New Roman"/>
          <w:b/>
          <w:bCs/>
          <w:noProof/>
          <w:sz w:val="20"/>
          <w:szCs w:val="20"/>
        </w:rPr>
        <w:t>Cyprus</w:t>
      </w:r>
      <w:r w:rsidRPr="00800B4B">
        <w:rPr>
          <w:rFonts w:ascii="Times New Roman" w:hAnsi="Times New Roman" w:cs="Times New Roman"/>
          <w:noProof/>
          <w:sz w:val="20"/>
          <w:szCs w:val="20"/>
        </w:rPr>
        <w:t xml:space="preserve">, </w:t>
      </w:r>
      <w:r w:rsidRPr="00800B4B">
        <w:rPr>
          <w:rFonts w:ascii="Times New Roman" w:hAnsi="Times New Roman" w:cs="Times New Roman"/>
          <w:b/>
          <w:bCs/>
          <w:noProof/>
          <w:sz w:val="20"/>
          <w:szCs w:val="20"/>
        </w:rPr>
        <w:t>L</w:t>
      </w:r>
      <w:r>
        <w:rPr>
          <w:rFonts w:ascii="Times New Roman" w:hAnsi="Times New Roman" w:cs="Times New Roman"/>
          <w:b/>
          <w:bCs/>
          <w:noProof/>
          <w:sz w:val="20"/>
          <w:szCs w:val="20"/>
        </w:rPr>
        <w:t>atvia</w:t>
      </w:r>
      <w:r w:rsidRPr="00800B4B">
        <w:rPr>
          <w:rFonts w:ascii="Times New Roman" w:hAnsi="Times New Roman" w:cs="Times New Roman"/>
          <w:noProof/>
          <w:sz w:val="20"/>
          <w:szCs w:val="20"/>
        </w:rPr>
        <w:t xml:space="preserve">, </w:t>
      </w:r>
      <w:r w:rsidRPr="00800B4B">
        <w:rPr>
          <w:rFonts w:ascii="Times New Roman" w:hAnsi="Times New Roman" w:cs="Times New Roman"/>
          <w:b/>
          <w:bCs/>
          <w:noProof/>
          <w:sz w:val="20"/>
          <w:szCs w:val="20"/>
        </w:rPr>
        <w:t>P</w:t>
      </w:r>
      <w:r>
        <w:rPr>
          <w:rFonts w:ascii="Times New Roman" w:hAnsi="Times New Roman" w:cs="Times New Roman"/>
          <w:b/>
          <w:bCs/>
          <w:noProof/>
          <w:sz w:val="20"/>
          <w:szCs w:val="20"/>
        </w:rPr>
        <w:t>oland</w:t>
      </w:r>
      <w:r w:rsidRPr="00800B4B">
        <w:rPr>
          <w:rFonts w:ascii="Times New Roman" w:hAnsi="Times New Roman" w:cs="Times New Roman"/>
          <w:noProof/>
          <w:sz w:val="20"/>
          <w:szCs w:val="20"/>
        </w:rPr>
        <w:t xml:space="preserve">, </w:t>
      </w:r>
      <w:r w:rsidRPr="00800B4B">
        <w:rPr>
          <w:rFonts w:ascii="Times New Roman" w:hAnsi="Times New Roman" w:cs="Times New Roman"/>
          <w:b/>
          <w:bCs/>
          <w:noProof/>
          <w:sz w:val="20"/>
          <w:szCs w:val="20"/>
        </w:rPr>
        <w:t>S</w:t>
      </w:r>
      <w:r>
        <w:rPr>
          <w:rFonts w:ascii="Times New Roman" w:hAnsi="Times New Roman" w:cs="Times New Roman"/>
          <w:b/>
          <w:bCs/>
          <w:noProof/>
          <w:sz w:val="20"/>
          <w:szCs w:val="20"/>
        </w:rPr>
        <w:t>lovakia</w:t>
      </w:r>
      <w:r w:rsidRPr="00800B4B">
        <w:rPr>
          <w:rFonts w:ascii="Times New Roman" w:hAnsi="Times New Roman" w:cs="Times New Roman"/>
          <w:noProof/>
          <w:sz w:val="20"/>
          <w:szCs w:val="20"/>
        </w:rPr>
        <w:t xml:space="preserve">, and </w:t>
      </w:r>
      <w:r w:rsidRPr="00800B4B">
        <w:rPr>
          <w:rFonts w:ascii="Times New Roman" w:hAnsi="Times New Roman" w:cs="Times New Roman"/>
          <w:b/>
          <w:bCs/>
          <w:noProof/>
          <w:sz w:val="20"/>
          <w:szCs w:val="20"/>
        </w:rPr>
        <w:t>S</w:t>
      </w:r>
      <w:r>
        <w:rPr>
          <w:rFonts w:ascii="Times New Roman" w:hAnsi="Times New Roman" w:cs="Times New Roman"/>
          <w:b/>
          <w:bCs/>
          <w:noProof/>
          <w:sz w:val="20"/>
          <w:szCs w:val="20"/>
        </w:rPr>
        <w:t>lovenia</w:t>
      </w:r>
      <w:r w:rsidRPr="00800B4B">
        <w:rPr>
          <w:rStyle w:val="FootnoteReference"/>
          <w:noProof/>
          <w:sz w:val="20"/>
          <w:szCs w:val="20"/>
        </w:rPr>
        <w:footnoteReference w:id="197"/>
      </w:r>
      <w:r w:rsidRPr="00800B4B">
        <w:rPr>
          <w:rFonts w:ascii="Times New Roman" w:hAnsi="Times New Roman" w:cs="Times New Roman"/>
          <w:noProof/>
          <w:sz w:val="20"/>
          <w:szCs w:val="20"/>
        </w:rPr>
        <w:t>. The beneficiaries were the NHRIs, who have all undertaken activities to ensure fundamental rights compliance in the implementation of EU funds. ENNHRI participated as an expert partner.</w:t>
      </w:r>
      <w:r>
        <w:rPr>
          <w:rFonts w:ascii="Times New Roman" w:hAnsi="Times New Roman" w:cs="Times New Roman"/>
          <w:noProof/>
          <w:sz w:val="20"/>
          <w:szCs w:val="20"/>
        </w:rPr>
        <w:t xml:space="preserve"> </w:t>
      </w:r>
      <w:r w:rsidRPr="00800B4B">
        <w:rPr>
          <w:rFonts w:ascii="Times New Roman" w:hAnsi="Times New Roman" w:cs="Times New Roman"/>
          <w:noProof/>
          <w:sz w:val="20"/>
          <w:szCs w:val="20"/>
        </w:rPr>
        <w:t>The project aimed at enhancing the use of the Charter by the NHRIs and strengthening their role in its enforcement at the national level</w:t>
      </w:r>
      <w:r>
        <w:rPr>
          <w:rFonts w:ascii="Times New Roman" w:hAnsi="Times New Roman" w:cs="Times New Roman"/>
          <w:noProof/>
          <w:sz w:val="20"/>
          <w:szCs w:val="20"/>
        </w:rPr>
        <w:t>,</w:t>
      </w:r>
      <w:r w:rsidRPr="00800B4B">
        <w:rPr>
          <w:rFonts w:ascii="Times New Roman" w:hAnsi="Times New Roman" w:cs="Times New Roman"/>
          <w:noProof/>
          <w:sz w:val="20"/>
          <w:szCs w:val="20"/>
        </w:rPr>
        <w:t xml:space="preserve"> strengthening their capacity in fundamental rights and rule of law monitoring</w:t>
      </w:r>
      <w:r>
        <w:rPr>
          <w:rFonts w:ascii="Times New Roman" w:hAnsi="Times New Roman" w:cs="Times New Roman"/>
          <w:noProof/>
          <w:sz w:val="20"/>
          <w:szCs w:val="20"/>
        </w:rPr>
        <w:t>,</w:t>
      </w:r>
      <w:r w:rsidRPr="00800B4B">
        <w:rPr>
          <w:rFonts w:ascii="Times New Roman" w:hAnsi="Times New Roman" w:cs="Times New Roman"/>
          <w:noProof/>
          <w:sz w:val="20"/>
          <w:szCs w:val="20"/>
        </w:rPr>
        <w:t xml:space="preserve"> and building further capacity to monitor fundamental rights compliance in the implementation of EU </w:t>
      </w:r>
      <w:r>
        <w:rPr>
          <w:rFonts w:ascii="Times New Roman" w:hAnsi="Times New Roman" w:cs="Times New Roman"/>
          <w:noProof/>
          <w:sz w:val="20"/>
          <w:szCs w:val="20"/>
        </w:rPr>
        <w:t>f</w:t>
      </w:r>
      <w:r w:rsidRPr="00800B4B">
        <w:rPr>
          <w:rFonts w:ascii="Times New Roman" w:hAnsi="Times New Roman" w:cs="Times New Roman"/>
          <w:noProof/>
          <w:sz w:val="20"/>
          <w:szCs w:val="20"/>
        </w:rPr>
        <w:t>unds.</w:t>
      </w:r>
    </w:p>
    <w:p w14:paraId="33A0DF61" w14:textId="77777777" w:rsidR="002C0325" w:rsidRPr="007E199C" w:rsidRDefault="002C0325" w:rsidP="002C0325">
      <w:pPr>
        <w:pStyle w:val="Style1"/>
        <w:rPr>
          <w:noProof/>
        </w:rPr>
      </w:pPr>
      <w:r w:rsidRPr="00E70F45">
        <w:rPr>
          <w:noProof/>
          <w:lang w:val="en-GB"/>
        </w:rPr>
        <w:t xml:space="preserve">NHRIs, equality bodies </w:t>
      </w:r>
      <w:r>
        <w:rPr>
          <w:noProof/>
          <w:lang w:val="en-GB"/>
        </w:rPr>
        <w:t>and</w:t>
      </w:r>
      <w:r w:rsidRPr="00E70F45">
        <w:rPr>
          <w:noProof/>
          <w:lang w:val="en-GB"/>
        </w:rPr>
        <w:t xml:space="preserve"> ombudspeople</w:t>
      </w:r>
      <w:r>
        <w:rPr>
          <w:noProof/>
          <w:lang w:val="en-GB"/>
        </w:rPr>
        <w:t xml:space="preserve"> also refer to funding made available by Equinet and ENNHRI. </w:t>
      </w:r>
      <w:r w:rsidRPr="00AD3E5A">
        <w:rPr>
          <w:noProof/>
          <w:lang w:val="en-GB"/>
        </w:rPr>
        <w:t>One of the activities implemented by ENNHRI under its CERV operating grant is financial support to third parties. This regranting possibility has allowed ENNHRI to provide funds to its member NHRIs following a dedicated call</w:t>
      </w:r>
      <w:r>
        <w:rPr>
          <w:noProof/>
          <w:lang w:val="en-GB"/>
        </w:rPr>
        <w:t xml:space="preserve"> and i</w:t>
      </w:r>
      <w:r w:rsidRPr="00AD3E5A">
        <w:rPr>
          <w:noProof/>
          <w:lang w:val="en-GB"/>
        </w:rPr>
        <w:t>n 2023, nine projects on strategic advancements in the promotion and protection of fundamental rights at the national level were implemented.</w:t>
      </w:r>
      <w:r w:rsidRPr="00917BEE" w:rsidDel="00917BEE">
        <w:rPr>
          <w:noProof/>
        </w:rPr>
        <w:t xml:space="preserve"> </w:t>
      </w:r>
    </w:p>
    <w:p w14:paraId="695E440E" w14:textId="667AAEDF" w:rsidR="00071D9D" w:rsidRPr="00071D9D" w:rsidRDefault="002C0325" w:rsidP="002C0325">
      <w:pPr>
        <w:pStyle w:val="Style1"/>
        <w:rPr>
          <w:noProof/>
          <w:lang w:val="en-GB"/>
        </w:rPr>
      </w:pPr>
      <w:r>
        <w:rPr>
          <w:noProof/>
          <w:lang w:val="en-GB"/>
        </w:rPr>
        <w:t>In addition to the challenges identified in the monitoring of the implementation of the Charter in the disbursement of EU funds</w:t>
      </w:r>
      <w:r>
        <w:rPr>
          <w:rStyle w:val="FootnoteReference"/>
          <w:noProof/>
          <w:lang w:val="en-GB"/>
        </w:rPr>
        <w:footnoteReference w:id="198"/>
      </w:r>
      <w:r>
        <w:rPr>
          <w:noProof/>
          <w:lang w:val="en-GB"/>
        </w:rPr>
        <w:t xml:space="preserve">, the </w:t>
      </w:r>
      <w:r>
        <w:rPr>
          <w:b/>
          <w:bCs/>
          <w:noProof/>
          <w:lang w:val="en-GB"/>
        </w:rPr>
        <w:t xml:space="preserve">Croatian ombudsperson </w:t>
      </w:r>
      <w:r>
        <w:rPr>
          <w:noProof/>
          <w:lang w:val="en-GB"/>
        </w:rPr>
        <w:t xml:space="preserve">draws attention </w:t>
      </w:r>
      <w:r w:rsidRPr="00370842">
        <w:rPr>
          <w:noProof/>
          <w:lang w:val="en-GB"/>
        </w:rPr>
        <w:t xml:space="preserve">to </w:t>
      </w:r>
      <w:r w:rsidR="00EF3F10">
        <w:rPr>
          <w:noProof/>
          <w:lang w:val="en-GB"/>
        </w:rPr>
        <w:t>certain funding</w:t>
      </w:r>
      <w:r w:rsidR="00005F39">
        <w:rPr>
          <w:noProof/>
          <w:lang w:val="en-GB"/>
        </w:rPr>
        <w:t>-</w:t>
      </w:r>
      <w:r w:rsidR="00EF3F10">
        <w:rPr>
          <w:noProof/>
          <w:lang w:val="en-GB"/>
        </w:rPr>
        <w:t>related issues</w:t>
      </w:r>
      <w:r w:rsidR="00005F39">
        <w:rPr>
          <w:noProof/>
          <w:lang w:val="en-GB"/>
        </w:rPr>
        <w:t>,</w:t>
      </w:r>
      <w:r w:rsidR="00EF3F10">
        <w:rPr>
          <w:noProof/>
          <w:lang w:val="en-GB"/>
        </w:rPr>
        <w:t xml:space="preserve"> such as </w:t>
      </w:r>
      <w:r w:rsidRPr="00370842">
        <w:rPr>
          <w:noProof/>
          <w:lang w:val="en-GB"/>
        </w:rPr>
        <w:t>delays in the</w:t>
      </w:r>
      <w:r>
        <w:rPr>
          <w:noProof/>
          <w:lang w:val="en-GB"/>
        </w:rPr>
        <w:t xml:space="preserve"> </w:t>
      </w:r>
      <w:r w:rsidRPr="00370842">
        <w:rPr>
          <w:noProof/>
          <w:lang w:val="en-GB"/>
        </w:rPr>
        <w:t>publishing of funding</w:t>
      </w:r>
      <w:r>
        <w:rPr>
          <w:noProof/>
          <w:lang w:val="en-GB"/>
        </w:rPr>
        <w:t xml:space="preserve"> calls</w:t>
      </w:r>
      <w:r w:rsidR="00EF3F10">
        <w:rPr>
          <w:noProof/>
          <w:lang w:val="en-GB"/>
        </w:rPr>
        <w:t>,</w:t>
      </w:r>
      <w:r w:rsidRPr="00370842">
        <w:rPr>
          <w:noProof/>
          <w:lang w:val="en-GB"/>
        </w:rPr>
        <w:t xml:space="preserve"> lack of multiannual calls, </w:t>
      </w:r>
      <w:r w:rsidR="00071D9D">
        <w:rPr>
          <w:noProof/>
          <w:lang w:val="en-GB"/>
        </w:rPr>
        <w:t xml:space="preserve">and </w:t>
      </w:r>
      <w:r w:rsidRPr="00370842">
        <w:rPr>
          <w:noProof/>
          <w:lang w:val="en-GB"/>
        </w:rPr>
        <w:t xml:space="preserve">excessive administrative burden </w:t>
      </w:r>
      <w:r>
        <w:rPr>
          <w:noProof/>
          <w:lang w:val="en-GB"/>
        </w:rPr>
        <w:t>for</w:t>
      </w:r>
      <w:r w:rsidRPr="00370842">
        <w:rPr>
          <w:noProof/>
          <w:lang w:val="en-GB"/>
        </w:rPr>
        <w:t xml:space="preserve"> organisations working on fundamental rights monitoring, watchdog activities, advocacy and non-discrimination</w:t>
      </w:r>
      <w:r w:rsidR="00F019E0">
        <w:rPr>
          <w:rStyle w:val="FootnoteReference"/>
          <w:noProof/>
          <w:lang w:val="en-GB"/>
        </w:rPr>
        <w:footnoteReference w:id="199"/>
      </w:r>
      <w:r w:rsidRPr="00370842">
        <w:rPr>
          <w:noProof/>
          <w:lang w:val="en-GB"/>
        </w:rPr>
        <w:t>.</w:t>
      </w:r>
      <w:r>
        <w:rPr>
          <w:noProof/>
          <w:lang w:val="en-GB"/>
        </w:rPr>
        <w:t xml:space="preserve"> The </w:t>
      </w:r>
      <w:r w:rsidRPr="00E2669E">
        <w:rPr>
          <w:b/>
          <w:bCs/>
          <w:noProof/>
          <w:lang w:val="en-GB"/>
        </w:rPr>
        <w:t>S</w:t>
      </w:r>
      <w:r>
        <w:rPr>
          <w:b/>
          <w:bCs/>
          <w:noProof/>
          <w:lang w:val="en-GB"/>
        </w:rPr>
        <w:t>lovakian</w:t>
      </w:r>
      <w:r w:rsidRPr="00E2669E">
        <w:rPr>
          <w:b/>
          <w:bCs/>
          <w:noProof/>
          <w:lang w:val="en-GB"/>
        </w:rPr>
        <w:t xml:space="preserve"> NHRI</w:t>
      </w:r>
      <w:r>
        <w:rPr>
          <w:noProof/>
          <w:lang w:val="en-GB"/>
        </w:rPr>
        <w:t xml:space="preserve"> points to the lack of sustainable</w:t>
      </w:r>
      <w:r w:rsidR="00071D9D">
        <w:rPr>
          <w:noProof/>
          <w:lang w:val="en-GB"/>
        </w:rPr>
        <w:t xml:space="preserve"> </w:t>
      </w:r>
      <w:r>
        <w:rPr>
          <w:noProof/>
          <w:lang w:val="en-GB"/>
        </w:rPr>
        <w:t>funding</w:t>
      </w:r>
      <w:r w:rsidR="00F14843">
        <w:rPr>
          <w:noProof/>
          <w:lang w:val="en-GB"/>
        </w:rPr>
        <w:t xml:space="preserve"> </w:t>
      </w:r>
      <w:r w:rsidR="00071D9D">
        <w:rPr>
          <w:noProof/>
          <w:lang w:val="en-GB"/>
        </w:rPr>
        <w:t>that is not project-based</w:t>
      </w:r>
      <w:r w:rsidR="00F2379D">
        <w:rPr>
          <w:noProof/>
          <w:lang w:val="en-GB"/>
        </w:rPr>
        <w:t xml:space="preserve"> for CSOs</w:t>
      </w:r>
      <w:r w:rsidR="00D8798B">
        <w:rPr>
          <w:rStyle w:val="FootnoteReference"/>
          <w:noProof/>
          <w:lang w:val="en-GB"/>
        </w:rPr>
        <w:footnoteReference w:id="200"/>
      </w:r>
      <w:r>
        <w:rPr>
          <w:noProof/>
          <w:lang w:val="en-GB"/>
        </w:rPr>
        <w:t xml:space="preserve">. </w:t>
      </w:r>
      <w:bookmarkStart w:id="24" w:name="_Hlk140234482"/>
      <w:bookmarkEnd w:id="13"/>
    </w:p>
    <w:p w14:paraId="31063D33" w14:textId="77777777" w:rsidR="002C0325" w:rsidRPr="00787892" w:rsidRDefault="002C0325" w:rsidP="002C0325">
      <w:pPr>
        <w:pStyle w:val="Style1"/>
        <w:rPr>
          <w:noProof/>
          <w:lang w:val="en-GB"/>
        </w:rPr>
      </w:pPr>
    </w:p>
    <w:p w14:paraId="5766AC29" w14:textId="77777777" w:rsidR="002C0325" w:rsidRPr="009B611C" w:rsidRDefault="002C0325" w:rsidP="002C0325">
      <w:pPr>
        <w:pStyle w:val="Heading1"/>
        <w:rPr>
          <w:b w:val="0"/>
          <w:bCs/>
          <w:noProof/>
        </w:rPr>
      </w:pPr>
      <w:bookmarkStart w:id="25" w:name="_Toc178607506"/>
      <w:bookmarkStart w:id="26" w:name="_Toc147916086"/>
      <w:bookmarkStart w:id="27" w:name="_Hlk145691347"/>
      <w:bookmarkEnd w:id="14"/>
      <w:r w:rsidRPr="009B611C">
        <w:rPr>
          <w:rStyle w:val="Heading1Char"/>
          <w:b/>
          <w:bCs/>
          <w:noProof/>
        </w:rPr>
        <w:t>Cooperation between the EU and other public and private donors</w:t>
      </w:r>
      <w:bookmarkEnd w:id="25"/>
    </w:p>
    <w:p w14:paraId="18E78A8C" w14:textId="6717C478" w:rsidR="002C0325" w:rsidRDefault="002C0325" w:rsidP="002C0325">
      <w:pPr>
        <w:spacing w:line="276" w:lineRule="auto"/>
        <w:jc w:val="both"/>
        <w:rPr>
          <w:rFonts w:ascii="Times New Roman" w:hAnsi="Times New Roman"/>
          <w:noProof/>
          <w:sz w:val="24"/>
          <w:szCs w:val="24"/>
        </w:rPr>
      </w:pPr>
      <w:r>
        <w:rPr>
          <w:rFonts w:ascii="Times New Roman" w:hAnsi="Times New Roman"/>
          <w:noProof/>
          <w:sz w:val="24"/>
          <w:szCs w:val="24"/>
        </w:rPr>
        <w:t xml:space="preserve">The </w:t>
      </w:r>
      <w:r w:rsidRPr="005B363F">
        <w:rPr>
          <w:rFonts w:ascii="Times New Roman" w:hAnsi="Times New Roman"/>
          <w:noProof/>
          <w:sz w:val="24"/>
          <w:szCs w:val="24"/>
        </w:rPr>
        <w:t>EU</w:t>
      </w:r>
      <w:r>
        <w:rPr>
          <w:rFonts w:ascii="Times New Roman" w:hAnsi="Times New Roman"/>
          <w:noProof/>
          <w:sz w:val="24"/>
          <w:szCs w:val="24"/>
        </w:rPr>
        <w:t>’s</w:t>
      </w:r>
      <w:r w:rsidRPr="005B363F">
        <w:rPr>
          <w:rFonts w:ascii="Times New Roman" w:hAnsi="Times New Roman"/>
          <w:noProof/>
          <w:sz w:val="24"/>
          <w:szCs w:val="24"/>
        </w:rPr>
        <w:t xml:space="preserve"> funding</w:t>
      </w:r>
      <w:r>
        <w:rPr>
          <w:rFonts w:ascii="Times New Roman" w:hAnsi="Times New Roman"/>
          <w:noProof/>
          <w:sz w:val="24"/>
          <w:szCs w:val="24"/>
        </w:rPr>
        <w:t xml:space="preserve"> efforts in the field of fundamental rights complement efforts made</w:t>
      </w:r>
      <w:r w:rsidRPr="005B363F">
        <w:rPr>
          <w:rFonts w:ascii="Times New Roman" w:hAnsi="Times New Roman"/>
          <w:noProof/>
          <w:sz w:val="24"/>
          <w:szCs w:val="24"/>
        </w:rPr>
        <w:t xml:space="preserve"> by other international donors</w:t>
      </w:r>
      <w:r>
        <w:rPr>
          <w:rFonts w:ascii="Times New Roman" w:hAnsi="Times New Roman"/>
          <w:noProof/>
          <w:sz w:val="24"/>
          <w:szCs w:val="24"/>
        </w:rPr>
        <w:t>, public and private</w:t>
      </w:r>
      <w:r w:rsidRPr="005B363F">
        <w:rPr>
          <w:rFonts w:ascii="Times New Roman" w:hAnsi="Times New Roman"/>
          <w:noProof/>
          <w:sz w:val="24"/>
          <w:szCs w:val="24"/>
        </w:rPr>
        <w:t xml:space="preserve">. </w:t>
      </w:r>
      <w:r>
        <w:rPr>
          <w:rFonts w:ascii="Times New Roman" w:hAnsi="Times New Roman"/>
          <w:noProof/>
          <w:sz w:val="24"/>
          <w:szCs w:val="24"/>
        </w:rPr>
        <w:t xml:space="preserve">The EU and other international </w:t>
      </w:r>
      <w:r w:rsidRPr="005B363F">
        <w:rPr>
          <w:rFonts w:ascii="Times New Roman" w:hAnsi="Times New Roman"/>
          <w:noProof/>
          <w:sz w:val="24"/>
          <w:szCs w:val="24"/>
        </w:rPr>
        <w:t>actor</w:t>
      </w:r>
      <w:r>
        <w:rPr>
          <w:rFonts w:ascii="Times New Roman" w:hAnsi="Times New Roman"/>
          <w:noProof/>
          <w:sz w:val="24"/>
          <w:szCs w:val="24"/>
        </w:rPr>
        <w:t xml:space="preserve">s </w:t>
      </w:r>
      <w:r w:rsidRPr="005B363F">
        <w:rPr>
          <w:rFonts w:ascii="Times New Roman" w:hAnsi="Times New Roman"/>
          <w:noProof/>
          <w:sz w:val="24"/>
          <w:szCs w:val="24"/>
        </w:rPr>
        <w:t xml:space="preserve">provide fundamental rights relevant funding </w:t>
      </w:r>
      <w:r>
        <w:rPr>
          <w:rFonts w:ascii="Times New Roman" w:hAnsi="Times New Roman"/>
          <w:noProof/>
          <w:sz w:val="24"/>
          <w:szCs w:val="24"/>
        </w:rPr>
        <w:t>both in the</w:t>
      </w:r>
      <w:r w:rsidRPr="005B363F">
        <w:rPr>
          <w:rFonts w:ascii="Times New Roman" w:hAnsi="Times New Roman"/>
          <w:noProof/>
          <w:sz w:val="24"/>
          <w:szCs w:val="24"/>
        </w:rPr>
        <w:t xml:space="preserve"> </w:t>
      </w:r>
      <w:r>
        <w:rPr>
          <w:rFonts w:ascii="Times New Roman" w:hAnsi="Times New Roman"/>
          <w:noProof/>
          <w:sz w:val="24"/>
          <w:szCs w:val="24"/>
        </w:rPr>
        <w:t>EU and in the neighbourhood countries and candidates, as well as globally. I</w:t>
      </w:r>
      <w:r w:rsidRPr="005B363F">
        <w:rPr>
          <w:rFonts w:ascii="Times New Roman" w:hAnsi="Times New Roman"/>
          <w:noProof/>
          <w:sz w:val="24"/>
          <w:szCs w:val="24"/>
        </w:rPr>
        <w:t>n third countries</w:t>
      </w:r>
      <w:r>
        <w:rPr>
          <w:rFonts w:ascii="Times New Roman" w:hAnsi="Times New Roman"/>
          <w:noProof/>
          <w:sz w:val="24"/>
          <w:szCs w:val="24"/>
        </w:rPr>
        <w:t>, the EU supports the promotion of human rights and democracy through its external policies and the advancement of universal values for all. Philantrophy organisations, as part of civil society, also support other CSOs by complementing government and private sector initiatives</w:t>
      </w:r>
      <w:r>
        <w:rPr>
          <w:rStyle w:val="FootnoteReference"/>
          <w:noProof/>
        </w:rPr>
        <w:footnoteReference w:id="201"/>
      </w:r>
      <w:r>
        <w:rPr>
          <w:rFonts w:ascii="Times New Roman" w:hAnsi="Times New Roman"/>
          <w:noProof/>
          <w:sz w:val="24"/>
          <w:szCs w:val="24"/>
        </w:rPr>
        <w:t>.</w:t>
      </w:r>
    </w:p>
    <w:p w14:paraId="05BAD4AF" w14:textId="77777777" w:rsidR="002C0325" w:rsidRDefault="002C0325" w:rsidP="002C0325">
      <w:pPr>
        <w:spacing w:line="276" w:lineRule="auto"/>
        <w:jc w:val="both"/>
        <w:rPr>
          <w:rFonts w:ascii="Times New Roman" w:hAnsi="Times New Roman"/>
          <w:noProof/>
          <w:sz w:val="24"/>
          <w:szCs w:val="24"/>
        </w:rPr>
      </w:pPr>
      <w:r>
        <w:rPr>
          <w:rFonts w:ascii="Times New Roman" w:hAnsi="Times New Roman"/>
          <w:noProof/>
          <w:sz w:val="24"/>
          <w:szCs w:val="24"/>
        </w:rPr>
        <w:t>Building on contributions from the targeted consultations</w:t>
      </w:r>
      <w:r>
        <w:rPr>
          <w:rStyle w:val="FootnoteReference"/>
          <w:noProof/>
        </w:rPr>
        <w:footnoteReference w:id="202"/>
      </w:r>
      <w:r>
        <w:rPr>
          <w:rFonts w:ascii="Times New Roman" w:hAnsi="Times New Roman"/>
          <w:noProof/>
          <w:sz w:val="24"/>
          <w:szCs w:val="24"/>
        </w:rPr>
        <w:t xml:space="preserve">, this chapter shows how several actors make funding available for fundamental rights projects, and make efforts to ensure their topics and methodologies correspond to the needs of the beneficiaries on the ground. While the consultations point at general compatibility of these efforts, they also show that further measures could be taken to create explicit synergies. </w:t>
      </w:r>
    </w:p>
    <w:p w14:paraId="6B7DFD69" w14:textId="77777777" w:rsidR="002C0325" w:rsidRPr="00600E01" w:rsidRDefault="002C0325" w:rsidP="002C0325">
      <w:pPr>
        <w:pStyle w:val="Headerlevel2"/>
        <w:rPr>
          <w:lang w:val="en-GB"/>
        </w:rPr>
      </w:pPr>
      <w:r>
        <w:t xml:space="preserve">Funding for fundamental rights </w:t>
      </w:r>
      <w:r>
        <w:rPr>
          <w:lang w:val="en-GB"/>
        </w:rPr>
        <w:t xml:space="preserve">in the EU from other public and private donors </w:t>
      </w:r>
    </w:p>
    <w:p w14:paraId="5B6F9C0E" w14:textId="77777777" w:rsidR="002C0325" w:rsidRDefault="002C0325" w:rsidP="002C0325">
      <w:pPr>
        <w:spacing w:line="276" w:lineRule="auto"/>
        <w:jc w:val="both"/>
        <w:rPr>
          <w:rFonts w:ascii="Times New Roman" w:eastAsiaTheme="minorEastAsia" w:hAnsi="Times New Roman" w:cs="Times New Roman"/>
          <w:noProof/>
          <w:sz w:val="24"/>
          <w:szCs w:val="24"/>
        </w:rPr>
      </w:pPr>
      <w:r>
        <w:rPr>
          <w:rFonts w:ascii="Times New Roman" w:hAnsi="Times New Roman"/>
          <w:noProof/>
          <w:sz w:val="24"/>
          <w:szCs w:val="24"/>
        </w:rPr>
        <w:t>S</w:t>
      </w:r>
      <w:r w:rsidRPr="2BFB67AA">
        <w:rPr>
          <w:rFonts w:ascii="Times New Roman" w:eastAsiaTheme="minorEastAsia" w:hAnsi="Times New Roman" w:cs="Times New Roman"/>
          <w:noProof/>
          <w:sz w:val="24"/>
          <w:szCs w:val="24"/>
        </w:rPr>
        <w:t>everal</w:t>
      </w:r>
      <w:r w:rsidRPr="01AF8AC9">
        <w:rPr>
          <w:rFonts w:ascii="Times New Roman" w:eastAsiaTheme="minorEastAsia" w:hAnsi="Times New Roman" w:cs="Times New Roman"/>
          <w:noProof/>
          <w:sz w:val="24"/>
          <w:szCs w:val="24"/>
        </w:rPr>
        <w:t xml:space="preserve"> international public and private donors provide funding to promote and protect fundamental rights in the EU</w:t>
      </w:r>
      <w:r>
        <w:rPr>
          <w:rFonts w:ascii="Times New Roman" w:eastAsiaTheme="minorEastAsia" w:hAnsi="Times New Roman" w:cs="Times New Roman"/>
          <w:noProof/>
          <w:sz w:val="24"/>
          <w:szCs w:val="24"/>
        </w:rPr>
        <w:t xml:space="preserve"> through </w:t>
      </w:r>
      <w:r w:rsidRPr="01AF8AC9">
        <w:rPr>
          <w:rFonts w:ascii="Times New Roman" w:eastAsiaTheme="minorEastAsia" w:hAnsi="Times New Roman" w:cs="Times New Roman"/>
          <w:noProof/>
          <w:sz w:val="24"/>
          <w:szCs w:val="24"/>
        </w:rPr>
        <w:t>project funding</w:t>
      </w:r>
      <w:r>
        <w:rPr>
          <w:rFonts w:ascii="Times New Roman" w:eastAsiaTheme="minorEastAsia" w:hAnsi="Times New Roman" w:cs="Times New Roman"/>
          <w:noProof/>
          <w:sz w:val="24"/>
          <w:szCs w:val="24"/>
        </w:rPr>
        <w:t xml:space="preserve"> and</w:t>
      </w:r>
      <w:r w:rsidRPr="01AF8AC9">
        <w:rPr>
          <w:rFonts w:ascii="Times New Roman" w:eastAsiaTheme="minorEastAsia" w:hAnsi="Times New Roman" w:cs="Times New Roman"/>
          <w:noProof/>
          <w:sz w:val="24"/>
          <w:szCs w:val="24"/>
        </w:rPr>
        <w:t xml:space="preserve"> direct bilateral funding. </w:t>
      </w:r>
      <w:r>
        <w:rPr>
          <w:rFonts w:ascii="Times New Roman" w:eastAsiaTheme="minorEastAsia" w:hAnsi="Times New Roman" w:cs="Times New Roman"/>
          <w:noProof/>
          <w:sz w:val="24"/>
          <w:szCs w:val="24"/>
        </w:rPr>
        <w:t>In the FRA’s annual civic space consultation covering experience in 2023</w:t>
      </w:r>
      <w:r>
        <w:rPr>
          <w:rStyle w:val="FootnoteReference"/>
          <w:rFonts w:eastAsiaTheme="minorEastAsia"/>
          <w:noProof/>
        </w:rPr>
        <w:footnoteReference w:id="203"/>
      </w:r>
      <w:r>
        <w:rPr>
          <w:rFonts w:ascii="Times New Roman" w:eastAsiaTheme="minorEastAsia" w:hAnsi="Times New Roman" w:cs="Times New Roman"/>
          <w:noProof/>
          <w:sz w:val="24"/>
          <w:szCs w:val="24"/>
        </w:rPr>
        <w:t xml:space="preserve">, CSOs report that 15% of their funding came from international or foreign public donors, 8% from the EEA and Norway Grants and 7% from other international sources. </w:t>
      </w:r>
    </w:p>
    <w:p w14:paraId="63C2A91D" w14:textId="77777777" w:rsidR="002C0325" w:rsidRDefault="002C0325" w:rsidP="002C0325">
      <w:pPr>
        <w:spacing w:line="276" w:lineRule="auto"/>
        <w:jc w:val="both"/>
        <w:rPr>
          <w:rFonts w:ascii="Times New Roman" w:eastAsiaTheme="minorEastAsia" w:hAnsi="Times New Roman" w:cs="Times New Roman"/>
          <w:noProof/>
          <w:sz w:val="24"/>
          <w:szCs w:val="24"/>
        </w:rPr>
      </w:pPr>
      <w:r w:rsidRPr="00B8630B">
        <w:rPr>
          <w:rFonts w:ascii="Times New Roman" w:eastAsiaTheme="minorEastAsia" w:hAnsi="Times New Roman" w:cs="Times New Roman"/>
          <w:b/>
          <w:bCs/>
          <w:noProof/>
          <w:sz w:val="24"/>
          <w:szCs w:val="24"/>
        </w:rPr>
        <w:t>The EEA and Norway Grants</w:t>
      </w:r>
      <w:r w:rsidRPr="008D1BF0">
        <w:rPr>
          <w:rStyle w:val="FootnoteReference"/>
          <w:rFonts w:eastAsiaTheme="minorEastAsia"/>
          <w:noProof/>
        </w:rPr>
        <w:footnoteReference w:id="204"/>
      </w:r>
      <w:r w:rsidRPr="00B8630B">
        <w:rPr>
          <w:rFonts w:ascii="Times New Roman" w:eastAsiaTheme="minorEastAsia" w:hAnsi="Times New Roman" w:cs="Times New Roman"/>
          <w:b/>
          <w:bCs/>
          <w:noProof/>
          <w:sz w:val="24"/>
          <w:szCs w:val="24"/>
        </w:rPr>
        <w:t xml:space="preserve"> </w:t>
      </w:r>
      <w:r w:rsidRPr="00AD0FA8">
        <w:rPr>
          <w:rFonts w:ascii="Times New Roman" w:eastAsiaTheme="minorEastAsia" w:hAnsi="Times New Roman" w:cs="Times New Roman"/>
          <w:noProof/>
          <w:sz w:val="24"/>
          <w:szCs w:val="24"/>
        </w:rPr>
        <w:t>provide financial support to 15 EU Member States</w:t>
      </w:r>
      <w:r>
        <w:rPr>
          <w:rStyle w:val="FootnoteReference"/>
          <w:rFonts w:eastAsiaTheme="minorEastAsia"/>
          <w:noProof/>
        </w:rPr>
        <w:footnoteReference w:id="205"/>
      </w:r>
      <w:r>
        <w:rPr>
          <w:rFonts w:ascii="Times New Roman" w:eastAsiaTheme="minorEastAsia" w:hAnsi="Times New Roman" w:cs="Times New Roman"/>
          <w:noProof/>
          <w:sz w:val="24"/>
          <w:szCs w:val="24"/>
        </w:rPr>
        <w:t xml:space="preserve"> to reduce economic and social disparities in the European Economic Area and strengthen collaboration. A</w:t>
      </w:r>
      <w:r w:rsidRPr="003E4846">
        <w:rPr>
          <w:rFonts w:ascii="Times New Roman" w:eastAsiaTheme="minorEastAsia" w:hAnsi="Times New Roman" w:cs="Times New Roman"/>
          <w:noProof/>
          <w:sz w:val="24"/>
          <w:szCs w:val="24"/>
        </w:rPr>
        <w:t xml:space="preserve">ctivities </w:t>
      </w:r>
      <w:r>
        <w:rPr>
          <w:rFonts w:ascii="Times New Roman" w:eastAsiaTheme="minorEastAsia" w:hAnsi="Times New Roman" w:cs="Times New Roman"/>
          <w:noProof/>
          <w:sz w:val="24"/>
          <w:szCs w:val="24"/>
        </w:rPr>
        <w:t>must</w:t>
      </w:r>
      <w:r w:rsidRPr="003E4846">
        <w:rPr>
          <w:rFonts w:ascii="Times New Roman" w:eastAsiaTheme="minorEastAsia" w:hAnsi="Times New Roman" w:cs="Times New Roman"/>
          <w:noProof/>
          <w:sz w:val="24"/>
          <w:szCs w:val="24"/>
        </w:rPr>
        <w:t xml:space="preserve"> be based on the respect for human dignity, freedom, democracy, equality, the rule of law and human rights</w:t>
      </w:r>
      <w:r>
        <w:rPr>
          <w:rStyle w:val="FootnoteReference"/>
          <w:rFonts w:eastAsiaTheme="minorEastAsia"/>
          <w:noProof/>
        </w:rPr>
        <w:footnoteReference w:id="206"/>
      </w:r>
      <w:r w:rsidRPr="003E4846">
        <w:rPr>
          <w:rFonts w:ascii="Times New Roman" w:eastAsiaTheme="minorEastAsia" w:hAnsi="Times New Roman" w:cs="Times New Roman"/>
          <w:noProof/>
          <w:sz w:val="24"/>
          <w:szCs w:val="24"/>
        </w:rPr>
        <w:t>.</w:t>
      </w:r>
      <w:r>
        <w:rPr>
          <w:rFonts w:ascii="Times New Roman" w:eastAsiaTheme="minorEastAsia" w:hAnsi="Times New Roman" w:cs="Times New Roman"/>
          <w:noProof/>
          <w:sz w:val="24"/>
          <w:szCs w:val="24"/>
        </w:rPr>
        <w:t xml:space="preserve"> Funding is issued, for instance, for the strengthening of the civil society and the empowerment of groups in vulnerable situations, improving the capacity of public administrations to uphold fundamental rights, </w:t>
      </w:r>
      <w:r w:rsidRPr="000D28F2">
        <w:rPr>
          <w:rFonts w:ascii="Times New Roman" w:eastAsiaTheme="minorEastAsia" w:hAnsi="Times New Roman" w:cs="Times New Roman"/>
          <w:noProof/>
          <w:sz w:val="24"/>
          <w:szCs w:val="24"/>
        </w:rPr>
        <w:t>empowering ombudspe</w:t>
      </w:r>
      <w:r>
        <w:rPr>
          <w:rFonts w:ascii="Times New Roman" w:eastAsiaTheme="minorEastAsia" w:hAnsi="Times New Roman" w:cs="Times New Roman"/>
          <w:noProof/>
          <w:sz w:val="24"/>
          <w:szCs w:val="24"/>
        </w:rPr>
        <w:t>ople</w:t>
      </w:r>
      <w:r w:rsidRPr="000D28F2">
        <w:rPr>
          <w:rFonts w:ascii="Times New Roman" w:eastAsiaTheme="minorEastAsia" w:hAnsi="Times New Roman" w:cs="Times New Roman"/>
          <w:noProof/>
          <w:sz w:val="24"/>
          <w:szCs w:val="24"/>
        </w:rPr>
        <w:t xml:space="preserve">, </w:t>
      </w:r>
      <w:r>
        <w:rPr>
          <w:rFonts w:ascii="Times New Roman" w:eastAsiaTheme="minorEastAsia" w:hAnsi="Times New Roman" w:cs="Times New Roman"/>
          <w:noProof/>
          <w:sz w:val="24"/>
          <w:szCs w:val="24"/>
        </w:rPr>
        <w:t>NHRIs</w:t>
      </w:r>
      <w:r w:rsidRPr="000D28F2">
        <w:rPr>
          <w:rFonts w:ascii="Times New Roman" w:eastAsiaTheme="minorEastAsia" w:hAnsi="Times New Roman" w:cs="Times New Roman"/>
          <w:noProof/>
          <w:sz w:val="24"/>
          <w:szCs w:val="24"/>
        </w:rPr>
        <w:t xml:space="preserve"> and equality bodies, and </w:t>
      </w:r>
      <w:r>
        <w:rPr>
          <w:rFonts w:ascii="Times New Roman" w:eastAsiaTheme="minorEastAsia" w:hAnsi="Times New Roman" w:cs="Times New Roman"/>
          <w:noProof/>
          <w:sz w:val="24"/>
          <w:szCs w:val="24"/>
        </w:rPr>
        <w:t xml:space="preserve">for </w:t>
      </w:r>
      <w:r w:rsidRPr="000D28F2">
        <w:rPr>
          <w:rFonts w:ascii="Times New Roman" w:eastAsiaTheme="minorEastAsia" w:hAnsi="Times New Roman" w:cs="Times New Roman"/>
          <w:noProof/>
          <w:sz w:val="24"/>
          <w:szCs w:val="24"/>
        </w:rPr>
        <w:t>combating discrimination, including hate crime and hate speech</w:t>
      </w:r>
      <w:r>
        <w:rPr>
          <w:rStyle w:val="FootnoteReference"/>
          <w:rFonts w:eastAsiaTheme="minorEastAsia"/>
          <w:noProof/>
        </w:rPr>
        <w:footnoteReference w:id="207"/>
      </w:r>
      <w:r w:rsidRPr="000D28F2">
        <w:rPr>
          <w:rFonts w:ascii="Times New Roman" w:eastAsiaTheme="minorEastAsia" w:hAnsi="Times New Roman" w:cs="Times New Roman"/>
          <w:noProof/>
          <w:sz w:val="24"/>
          <w:szCs w:val="24"/>
        </w:rPr>
        <w:t>.</w:t>
      </w:r>
      <w:r>
        <w:rPr>
          <w:rFonts w:ascii="Times New Roman" w:eastAsiaTheme="minorEastAsia" w:hAnsi="Times New Roman" w:cs="Times New Roman"/>
          <w:noProof/>
          <w:sz w:val="24"/>
          <w:szCs w:val="24"/>
        </w:rPr>
        <w:t xml:space="preserve"> The grants also support Roma inclusion and empowerment with a special focus on countries with large Roma populations </w:t>
      </w:r>
      <w:r w:rsidRPr="00B9245D">
        <w:rPr>
          <w:rFonts w:ascii="Times New Roman" w:eastAsiaTheme="minorEastAsia" w:hAnsi="Times New Roman" w:cs="Times New Roman"/>
          <w:noProof/>
          <w:sz w:val="24"/>
          <w:szCs w:val="24"/>
        </w:rPr>
        <w:t>(</w:t>
      </w:r>
      <w:r>
        <w:rPr>
          <w:rFonts w:ascii="Times New Roman" w:eastAsiaTheme="minorEastAsia" w:hAnsi="Times New Roman" w:cs="Times New Roman"/>
          <w:b/>
          <w:bCs/>
          <w:noProof/>
          <w:sz w:val="24"/>
          <w:szCs w:val="24"/>
        </w:rPr>
        <w:t>Bulgaria</w:t>
      </w:r>
      <w:r w:rsidRPr="00224E3B">
        <w:rPr>
          <w:rFonts w:ascii="Times New Roman" w:eastAsiaTheme="minorEastAsia" w:hAnsi="Times New Roman" w:cs="Times New Roman"/>
          <w:noProof/>
          <w:sz w:val="24"/>
          <w:szCs w:val="24"/>
        </w:rPr>
        <w:t xml:space="preserve">, </w:t>
      </w:r>
      <w:r>
        <w:rPr>
          <w:rFonts w:ascii="Times New Roman" w:eastAsiaTheme="minorEastAsia" w:hAnsi="Times New Roman" w:cs="Times New Roman"/>
          <w:b/>
          <w:bCs/>
          <w:noProof/>
          <w:sz w:val="24"/>
          <w:szCs w:val="24"/>
        </w:rPr>
        <w:t>Czechia</w:t>
      </w:r>
      <w:r w:rsidRPr="00224E3B">
        <w:rPr>
          <w:rFonts w:ascii="Times New Roman" w:eastAsiaTheme="minorEastAsia" w:hAnsi="Times New Roman" w:cs="Times New Roman"/>
          <w:noProof/>
          <w:sz w:val="24"/>
          <w:szCs w:val="24"/>
        </w:rPr>
        <w:t xml:space="preserve">, </w:t>
      </w:r>
      <w:r>
        <w:rPr>
          <w:rFonts w:ascii="Times New Roman" w:eastAsiaTheme="minorEastAsia" w:hAnsi="Times New Roman" w:cs="Times New Roman"/>
          <w:b/>
          <w:bCs/>
          <w:noProof/>
          <w:sz w:val="24"/>
          <w:szCs w:val="24"/>
        </w:rPr>
        <w:t>Greece</w:t>
      </w:r>
      <w:r w:rsidRPr="00224E3B">
        <w:rPr>
          <w:rFonts w:ascii="Times New Roman" w:eastAsiaTheme="minorEastAsia" w:hAnsi="Times New Roman" w:cs="Times New Roman"/>
          <w:noProof/>
          <w:sz w:val="24"/>
          <w:szCs w:val="24"/>
        </w:rPr>
        <w:t xml:space="preserve">, </w:t>
      </w:r>
      <w:r>
        <w:rPr>
          <w:rFonts w:ascii="Times New Roman" w:eastAsiaTheme="minorEastAsia" w:hAnsi="Times New Roman" w:cs="Times New Roman"/>
          <w:b/>
          <w:bCs/>
          <w:noProof/>
          <w:sz w:val="24"/>
          <w:szCs w:val="24"/>
        </w:rPr>
        <w:t>Romania</w:t>
      </w:r>
      <w:r w:rsidRPr="00EE61E2">
        <w:rPr>
          <w:rFonts w:ascii="Times New Roman" w:eastAsiaTheme="minorEastAsia" w:hAnsi="Times New Roman" w:cs="Times New Roman"/>
          <w:noProof/>
          <w:sz w:val="24"/>
          <w:szCs w:val="24"/>
        </w:rPr>
        <w:t xml:space="preserve"> </w:t>
      </w:r>
      <w:r w:rsidRPr="000008A3">
        <w:rPr>
          <w:rFonts w:ascii="Times New Roman" w:eastAsiaTheme="minorEastAsia" w:hAnsi="Times New Roman" w:cs="Times New Roman"/>
          <w:noProof/>
          <w:sz w:val="24"/>
          <w:szCs w:val="24"/>
        </w:rPr>
        <w:t>and</w:t>
      </w:r>
      <w:r w:rsidRPr="00224E3B">
        <w:rPr>
          <w:rFonts w:ascii="Times New Roman" w:eastAsiaTheme="minorEastAsia" w:hAnsi="Times New Roman" w:cs="Times New Roman"/>
          <w:noProof/>
          <w:sz w:val="24"/>
          <w:szCs w:val="24"/>
        </w:rPr>
        <w:t xml:space="preserve"> </w:t>
      </w:r>
      <w:r>
        <w:rPr>
          <w:rFonts w:ascii="Times New Roman" w:eastAsiaTheme="minorEastAsia" w:hAnsi="Times New Roman" w:cs="Times New Roman"/>
          <w:b/>
          <w:bCs/>
          <w:noProof/>
          <w:sz w:val="24"/>
          <w:szCs w:val="24"/>
        </w:rPr>
        <w:t>Slovakia</w:t>
      </w:r>
      <w:r w:rsidRPr="00224E3B">
        <w:rPr>
          <w:rFonts w:ascii="Times New Roman" w:eastAsiaTheme="minorEastAsia" w:hAnsi="Times New Roman" w:cs="Times New Roman"/>
          <w:noProof/>
          <w:sz w:val="24"/>
          <w:szCs w:val="24"/>
        </w:rPr>
        <w:t>)</w:t>
      </w:r>
      <w:r w:rsidRPr="00EE61E2">
        <w:rPr>
          <w:rStyle w:val="FootnoteReference"/>
          <w:rFonts w:eastAsiaTheme="minorEastAsia"/>
          <w:noProof/>
        </w:rPr>
        <w:footnoteReference w:id="208"/>
      </w:r>
      <w:r w:rsidRPr="00EE61E2">
        <w:rPr>
          <w:rFonts w:ascii="Times New Roman" w:eastAsiaTheme="minorEastAsia" w:hAnsi="Times New Roman" w:cs="Times New Roman"/>
          <w:noProof/>
          <w:sz w:val="24"/>
          <w:szCs w:val="24"/>
        </w:rPr>
        <w:t>.</w:t>
      </w:r>
    </w:p>
    <w:p w14:paraId="3DDEAA2E" w14:textId="77777777" w:rsidR="002C0325" w:rsidRPr="00A225D1" w:rsidRDefault="002C0325" w:rsidP="002C0325">
      <w:pPr>
        <w:pBdr>
          <w:top w:val="single" w:sz="4" w:space="1" w:color="auto"/>
          <w:left w:val="single" w:sz="4" w:space="4" w:color="auto"/>
          <w:bottom w:val="single" w:sz="4" w:space="1" w:color="auto"/>
          <w:right w:val="single" w:sz="4" w:space="4" w:color="auto"/>
        </w:pBdr>
        <w:jc w:val="both"/>
        <w:rPr>
          <w:rFonts w:ascii="Times New Roman" w:eastAsiaTheme="minorEastAsia" w:hAnsi="Times New Roman" w:cs="Times New Roman"/>
          <w:noProof/>
          <w:sz w:val="20"/>
          <w:szCs w:val="20"/>
        </w:rPr>
      </w:pPr>
      <w:r w:rsidRPr="00815EE5">
        <w:rPr>
          <w:rFonts w:ascii="Times New Roman" w:eastAsiaTheme="minorEastAsia" w:hAnsi="Times New Roman" w:cs="Times New Roman"/>
          <w:noProof/>
          <w:sz w:val="20"/>
          <w:szCs w:val="20"/>
        </w:rPr>
        <w:t xml:space="preserve">In </w:t>
      </w:r>
      <w:r>
        <w:rPr>
          <w:rFonts w:ascii="Times New Roman" w:eastAsiaTheme="minorEastAsia" w:hAnsi="Times New Roman" w:cs="Times New Roman"/>
          <w:b/>
          <w:bCs/>
          <w:noProof/>
          <w:sz w:val="20"/>
          <w:szCs w:val="20"/>
        </w:rPr>
        <w:t>Romania</w:t>
      </w:r>
      <w:r w:rsidRPr="00815EE5">
        <w:rPr>
          <w:rFonts w:ascii="Times New Roman" w:eastAsiaTheme="minorEastAsia" w:hAnsi="Times New Roman" w:cs="Times New Roman"/>
          <w:noProof/>
          <w:sz w:val="20"/>
          <w:szCs w:val="20"/>
        </w:rPr>
        <w:t>, a project provided social, medical and educational services to address poverty and social exclusion. Implemented in cooperation with members of the affected community, mostly Roma, it included the development of a sustainable resettlement methodology and the purchase of 63 social housing units for families</w:t>
      </w:r>
      <w:r w:rsidRPr="00815EE5">
        <w:rPr>
          <w:rStyle w:val="FootnoteReference"/>
          <w:rFonts w:eastAsiaTheme="minorEastAsia"/>
          <w:noProof/>
          <w:sz w:val="20"/>
          <w:szCs w:val="20"/>
        </w:rPr>
        <w:footnoteReference w:id="209"/>
      </w:r>
      <w:r w:rsidRPr="00815EE5">
        <w:rPr>
          <w:rFonts w:ascii="Times New Roman" w:eastAsiaTheme="minorEastAsia" w:hAnsi="Times New Roman" w:cs="Times New Roman"/>
          <w:noProof/>
          <w:sz w:val="20"/>
          <w:szCs w:val="20"/>
        </w:rPr>
        <w:t xml:space="preserve">. In </w:t>
      </w:r>
      <w:r>
        <w:rPr>
          <w:rFonts w:ascii="Times New Roman" w:eastAsiaTheme="minorEastAsia" w:hAnsi="Times New Roman" w:cs="Times New Roman"/>
          <w:b/>
          <w:bCs/>
          <w:noProof/>
          <w:sz w:val="20"/>
          <w:szCs w:val="20"/>
        </w:rPr>
        <w:t>Bulgaria,</w:t>
      </w:r>
      <w:r w:rsidRPr="00815EE5">
        <w:rPr>
          <w:rFonts w:ascii="Times New Roman" w:eastAsiaTheme="minorEastAsia" w:hAnsi="Times New Roman" w:cs="Times New Roman"/>
          <w:noProof/>
          <w:sz w:val="20"/>
          <w:szCs w:val="20"/>
        </w:rPr>
        <w:t xml:space="preserve"> the programme has supported youth centres</w:t>
      </w:r>
      <w:r>
        <w:rPr>
          <w:rFonts w:ascii="Times New Roman" w:eastAsiaTheme="minorEastAsia" w:hAnsi="Times New Roman" w:cs="Times New Roman"/>
          <w:noProof/>
          <w:sz w:val="20"/>
          <w:szCs w:val="20"/>
        </w:rPr>
        <w:t xml:space="preserve"> </w:t>
      </w:r>
      <w:r w:rsidRPr="00815EE5">
        <w:rPr>
          <w:rFonts w:ascii="Times New Roman" w:eastAsiaTheme="minorEastAsia" w:hAnsi="Times New Roman" w:cs="Times New Roman"/>
          <w:noProof/>
          <w:sz w:val="20"/>
          <w:szCs w:val="20"/>
        </w:rPr>
        <w:t>and early childcare in remote, rural and/or poor settlements, as well as improved access to education, employment, social and health</w:t>
      </w:r>
      <w:r>
        <w:rPr>
          <w:rFonts w:ascii="Times New Roman" w:eastAsiaTheme="minorEastAsia" w:hAnsi="Times New Roman" w:cs="Times New Roman"/>
          <w:noProof/>
          <w:sz w:val="20"/>
          <w:szCs w:val="20"/>
        </w:rPr>
        <w:t xml:space="preserve"> services.</w:t>
      </w:r>
    </w:p>
    <w:p w14:paraId="22338F17" w14:textId="77777777" w:rsidR="002C0325" w:rsidRDefault="002C0325" w:rsidP="002C0325">
      <w:pPr>
        <w:jc w:val="both"/>
        <w:rPr>
          <w:rFonts w:ascii="Times New Roman" w:eastAsiaTheme="minorEastAsia" w:hAnsi="Times New Roman" w:cs="Times New Roman"/>
          <w:noProof/>
          <w:sz w:val="24"/>
          <w:szCs w:val="24"/>
        </w:rPr>
      </w:pPr>
      <w:r w:rsidRPr="0003139A">
        <w:rPr>
          <w:rFonts w:ascii="Times New Roman" w:eastAsiaTheme="minorEastAsia" w:hAnsi="Times New Roman" w:cs="Times New Roman"/>
          <w:noProof/>
          <w:sz w:val="24"/>
          <w:szCs w:val="24"/>
        </w:rPr>
        <w:t>The EEA and Norway Grants</w:t>
      </w:r>
      <w:r>
        <w:rPr>
          <w:rFonts w:ascii="Times New Roman" w:eastAsiaTheme="minorEastAsia" w:hAnsi="Times New Roman" w:cs="Times New Roman"/>
          <w:noProof/>
          <w:sz w:val="24"/>
          <w:szCs w:val="24"/>
        </w:rPr>
        <w:t xml:space="preserve"> also funds bilateral initiatives in the beneficiary states, as well as </w:t>
      </w:r>
      <w:r w:rsidRPr="0038407B">
        <w:rPr>
          <w:rFonts w:ascii="Times New Roman" w:eastAsiaTheme="minorEastAsia" w:hAnsi="Times New Roman" w:cs="Times New Roman"/>
          <w:b/>
          <w:bCs/>
          <w:noProof/>
          <w:sz w:val="24"/>
          <w:szCs w:val="24"/>
        </w:rPr>
        <w:t>project partnerships</w:t>
      </w:r>
      <w:r>
        <w:rPr>
          <w:rFonts w:ascii="Times New Roman" w:eastAsiaTheme="minorEastAsia" w:hAnsi="Times New Roman" w:cs="Times New Roman"/>
          <w:noProof/>
          <w:sz w:val="24"/>
          <w:szCs w:val="24"/>
        </w:rPr>
        <w:t xml:space="preserve"> </w:t>
      </w:r>
      <w:r w:rsidRPr="00694F2E">
        <w:rPr>
          <w:rFonts w:ascii="Times New Roman" w:eastAsiaTheme="minorEastAsia" w:hAnsi="Times New Roman" w:cs="Times New Roman"/>
          <w:b/>
          <w:bCs/>
          <w:noProof/>
          <w:sz w:val="24"/>
          <w:szCs w:val="24"/>
        </w:rPr>
        <w:t>with the EU’s neighbouring countries</w:t>
      </w:r>
      <w:r>
        <w:rPr>
          <w:rFonts w:ascii="Times New Roman" w:eastAsiaTheme="minorEastAsia" w:hAnsi="Times New Roman" w:cs="Times New Roman"/>
          <w:noProof/>
          <w:sz w:val="24"/>
          <w:szCs w:val="24"/>
        </w:rPr>
        <w:t>. It</w:t>
      </w:r>
      <w:r w:rsidRPr="006B05AE">
        <w:rPr>
          <w:rFonts w:ascii="Times New Roman" w:eastAsiaTheme="minorEastAsia" w:hAnsi="Times New Roman" w:cs="Times New Roman"/>
          <w:noProof/>
          <w:sz w:val="24"/>
          <w:szCs w:val="24"/>
        </w:rPr>
        <w:t xml:space="preserve"> cooperate</w:t>
      </w:r>
      <w:r>
        <w:rPr>
          <w:rFonts w:ascii="Times New Roman" w:eastAsiaTheme="minorEastAsia" w:hAnsi="Times New Roman" w:cs="Times New Roman"/>
          <w:noProof/>
          <w:sz w:val="24"/>
          <w:szCs w:val="24"/>
        </w:rPr>
        <w:t>s</w:t>
      </w:r>
      <w:r w:rsidRPr="006B05AE">
        <w:rPr>
          <w:rFonts w:ascii="Times New Roman" w:eastAsiaTheme="minorEastAsia" w:hAnsi="Times New Roman" w:cs="Times New Roman"/>
          <w:noProof/>
          <w:sz w:val="24"/>
          <w:szCs w:val="24"/>
        </w:rPr>
        <w:t xml:space="preserve"> with the Council of Europe, the </w:t>
      </w:r>
      <w:r>
        <w:rPr>
          <w:rFonts w:ascii="Times New Roman" w:eastAsiaTheme="minorEastAsia" w:hAnsi="Times New Roman" w:cs="Times New Roman"/>
          <w:noProof/>
          <w:sz w:val="24"/>
          <w:szCs w:val="24"/>
        </w:rPr>
        <w:t>FRA</w:t>
      </w:r>
      <w:r w:rsidRPr="006B05AE">
        <w:rPr>
          <w:rFonts w:ascii="Times New Roman" w:eastAsiaTheme="minorEastAsia" w:hAnsi="Times New Roman" w:cs="Times New Roman"/>
          <w:noProof/>
          <w:sz w:val="24"/>
          <w:szCs w:val="24"/>
        </w:rPr>
        <w:t xml:space="preserve"> and the </w:t>
      </w:r>
      <w:r>
        <w:rPr>
          <w:rFonts w:ascii="Times New Roman" w:eastAsiaTheme="minorEastAsia" w:hAnsi="Times New Roman" w:cs="Times New Roman"/>
          <w:noProof/>
          <w:sz w:val="24"/>
          <w:szCs w:val="24"/>
        </w:rPr>
        <w:t>OECD</w:t>
      </w:r>
      <w:r w:rsidRPr="006B05AE">
        <w:rPr>
          <w:rFonts w:ascii="Times New Roman" w:eastAsiaTheme="minorEastAsia" w:hAnsi="Times New Roman" w:cs="Times New Roman"/>
          <w:noProof/>
          <w:sz w:val="24"/>
          <w:szCs w:val="24"/>
        </w:rPr>
        <w:t>. The</w:t>
      </w:r>
      <w:r>
        <w:rPr>
          <w:rFonts w:ascii="Times New Roman" w:eastAsiaTheme="minorEastAsia" w:hAnsi="Times New Roman" w:cs="Times New Roman"/>
          <w:noProof/>
          <w:sz w:val="24"/>
          <w:szCs w:val="24"/>
        </w:rPr>
        <w:t>se international p</w:t>
      </w:r>
      <w:r w:rsidRPr="006B05AE">
        <w:rPr>
          <w:rFonts w:ascii="Times New Roman" w:eastAsiaTheme="minorEastAsia" w:hAnsi="Times New Roman" w:cs="Times New Roman"/>
          <w:noProof/>
          <w:sz w:val="24"/>
          <w:szCs w:val="24"/>
        </w:rPr>
        <w:t xml:space="preserve">artner </w:t>
      </w:r>
      <w:r>
        <w:rPr>
          <w:rFonts w:ascii="Times New Roman" w:eastAsiaTheme="minorEastAsia" w:hAnsi="Times New Roman" w:cs="Times New Roman"/>
          <w:noProof/>
          <w:sz w:val="24"/>
          <w:szCs w:val="24"/>
        </w:rPr>
        <w:t>o</w:t>
      </w:r>
      <w:r w:rsidRPr="006B05AE">
        <w:rPr>
          <w:rFonts w:ascii="Times New Roman" w:eastAsiaTheme="minorEastAsia" w:hAnsi="Times New Roman" w:cs="Times New Roman"/>
          <w:noProof/>
          <w:sz w:val="24"/>
          <w:szCs w:val="24"/>
        </w:rPr>
        <w:t>rganisations advis</w:t>
      </w:r>
      <w:r>
        <w:rPr>
          <w:rFonts w:ascii="Times New Roman" w:eastAsiaTheme="minorEastAsia" w:hAnsi="Times New Roman" w:cs="Times New Roman"/>
          <w:noProof/>
          <w:sz w:val="24"/>
          <w:szCs w:val="24"/>
        </w:rPr>
        <w:t>e</w:t>
      </w:r>
      <w:r w:rsidRPr="006B05AE">
        <w:rPr>
          <w:rFonts w:ascii="Times New Roman" w:eastAsiaTheme="minorEastAsia" w:hAnsi="Times New Roman" w:cs="Times New Roman"/>
          <w:noProof/>
          <w:sz w:val="24"/>
          <w:szCs w:val="24"/>
        </w:rPr>
        <w:t xml:space="preserve"> </w:t>
      </w:r>
      <w:r>
        <w:rPr>
          <w:rFonts w:ascii="Times New Roman" w:eastAsiaTheme="minorEastAsia" w:hAnsi="Times New Roman" w:cs="Times New Roman"/>
          <w:noProof/>
          <w:sz w:val="24"/>
          <w:szCs w:val="24"/>
        </w:rPr>
        <w:t xml:space="preserve">it </w:t>
      </w:r>
      <w:r w:rsidRPr="006B05AE">
        <w:rPr>
          <w:rFonts w:ascii="Times New Roman" w:eastAsiaTheme="minorEastAsia" w:hAnsi="Times New Roman" w:cs="Times New Roman"/>
          <w:noProof/>
          <w:sz w:val="24"/>
          <w:szCs w:val="24"/>
        </w:rPr>
        <w:t xml:space="preserve">on programmes and projects and implement </w:t>
      </w:r>
      <w:r>
        <w:rPr>
          <w:rFonts w:ascii="Times New Roman" w:eastAsiaTheme="minorEastAsia" w:hAnsi="Times New Roman" w:cs="Times New Roman"/>
          <w:noProof/>
          <w:sz w:val="24"/>
          <w:szCs w:val="24"/>
        </w:rPr>
        <w:t xml:space="preserve">their </w:t>
      </w:r>
      <w:r w:rsidRPr="006B05AE">
        <w:rPr>
          <w:rFonts w:ascii="Times New Roman" w:eastAsiaTheme="minorEastAsia" w:hAnsi="Times New Roman" w:cs="Times New Roman"/>
          <w:noProof/>
          <w:sz w:val="24"/>
          <w:szCs w:val="24"/>
        </w:rPr>
        <w:t>own projects.</w:t>
      </w:r>
    </w:p>
    <w:p w14:paraId="2F0519CE" w14:textId="77777777" w:rsidR="002C0325" w:rsidRPr="00815EE5" w:rsidRDefault="002C0325" w:rsidP="002C0325">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rPr>
      </w:pPr>
      <w:r w:rsidRPr="00815EE5">
        <w:rPr>
          <w:rFonts w:ascii="Times New Roman" w:eastAsiaTheme="minorEastAsia" w:hAnsi="Times New Roman" w:cs="Times New Roman"/>
          <w:noProof/>
          <w:sz w:val="20"/>
          <w:szCs w:val="20"/>
        </w:rPr>
        <w:t>The project “</w:t>
      </w:r>
      <w:r w:rsidRPr="00815EE5">
        <w:rPr>
          <w:rFonts w:ascii="Times New Roman" w:eastAsiaTheme="minorEastAsia" w:hAnsi="Times New Roman" w:cs="Times New Roman"/>
          <w:b/>
          <w:noProof/>
          <w:sz w:val="20"/>
          <w:szCs w:val="20"/>
        </w:rPr>
        <w:t>Comprehensive Aid for Victims of Sexual Violence from Ukraine</w:t>
      </w:r>
      <w:r w:rsidRPr="00815EE5">
        <w:rPr>
          <w:rFonts w:ascii="Times New Roman" w:eastAsiaTheme="minorEastAsia" w:hAnsi="Times New Roman" w:cs="Times New Roman"/>
          <w:noProof/>
          <w:sz w:val="20"/>
          <w:szCs w:val="20"/>
        </w:rPr>
        <w:t>” provides support to Ukrainian</w:t>
      </w:r>
      <w:r w:rsidRPr="00815EE5">
        <w:rPr>
          <w:rFonts w:ascii="Times New Roman" w:eastAsiaTheme="minorEastAsia" w:hAnsi="Times New Roman" w:cs="Times New Roman"/>
          <w:b/>
          <w:bCs/>
          <w:noProof/>
          <w:sz w:val="20"/>
          <w:szCs w:val="20"/>
        </w:rPr>
        <w:t xml:space="preserve"> </w:t>
      </w:r>
      <w:r w:rsidRPr="00815EE5">
        <w:rPr>
          <w:rFonts w:ascii="Times New Roman" w:eastAsiaTheme="minorEastAsia" w:hAnsi="Times New Roman" w:cs="Times New Roman"/>
          <w:noProof/>
          <w:sz w:val="20"/>
          <w:szCs w:val="20"/>
        </w:rPr>
        <w:t>refugee</w:t>
      </w:r>
      <w:r>
        <w:rPr>
          <w:rFonts w:ascii="Times New Roman" w:eastAsiaTheme="minorEastAsia" w:hAnsi="Times New Roman" w:cs="Times New Roman"/>
          <w:noProof/>
          <w:sz w:val="20"/>
          <w:szCs w:val="20"/>
        </w:rPr>
        <w:t>s who are</w:t>
      </w:r>
      <w:r w:rsidRPr="00815EE5">
        <w:rPr>
          <w:rFonts w:ascii="Times New Roman" w:eastAsiaTheme="minorEastAsia" w:hAnsi="Times New Roman" w:cs="Times New Roman"/>
          <w:noProof/>
          <w:sz w:val="20"/>
          <w:szCs w:val="20"/>
        </w:rPr>
        <w:t xml:space="preserve"> sexual violence victims</w:t>
      </w:r>
      <w:r>
        <w:rPr>
          <w:rFonts w:ascii="Times New Roman" w:eastAsiaTheme="minorEastAsia" w:hAnsi="Times New Roman" w:cs="Times New Roman"/>
          <w:noProof/>
          <w:sz w:val="20"/>
          <w:szCs w:val="20"/>
        </w:rPr>
        <w:t xml:space="preserve"> through</w:t>
      </w:r>
      <w:r w:rsidRPr="00815EE5">
        <w:rPr>
          <w:rFonts w:ascii="Times New Roman" w:eastAsiaTheme="minorEastAsia" w:hAnsi="Times New Roman" w:cs="Times New Roman"/>
          <w:noProof/>
          <w:sz w:val="20"/>
          <w:szCs w:val="20"/>
        </w:rPr>
        <w:t xml:space="preserve"> a 24/7 helpline</w:t>
      </w:r>
      <w:r>
        <w:rPr>
          <w:rFonts w:ascii="Times New Roman" w:eastAsiaTheme="minorEastAsia" w:hAnsi="Times New Roman" w:cs="Times New Roman"/>
          <w:noProof/>
          <w:sz w:val="20"/>
          <w:szCs w:val="20"/>
        </w:rPr>
        <w:t xml:space="preserve"> and as </w:t>
      </w:r>
      <w:r w:rsidRPr="00815EE5">
        <w:rPr>
          <w:rFonts w:ascii="Times New Roman" w:eastAsiaTheme="minorEastAsia" w:hAnsi="Times New Roman" w:cs="Times New Roman"/>
          <w:noProof/>
          <w:sz w:val="20"/>
          <w:szCs w:val="20"/>
        </w:rPr>
        <w:t xml:space="preserve">social and psychological counselling and </w:t>
      </w:r>
      <w:r>
        <w:rPr>
          <w:rFonts w:ascii="Times New Roman" w:eastAsiaTheme="minorEastAsia" w:hAnsi="Times New Roman" w:cs="Times New Roman"/>
          <w:noProof/>
          <w:sz w:val="20"/>
          <w:szCs w:val="20"/>
        </w:rPr>
        <w:t xml:space="preserve">in </w:t>
      </w:r>
      <w:r w:rsidRPr="00815EE5">
        <w:rPr>
          <w:rFonts w:ascii="Times New Roman" w:eastAsiaTheme="minorEastAsia" w:hAnsi="Times New Roman" w:cs="Times New Roman"/>
          <w:noProof/>
          <w:sz w:val="20"/>
          <w:szCs w:val="20"/>
        </w:rPr>
        <w:t xml:space="preserve">legal, medical and material support. Funded with a bilateral fund </w:t>
      </w:r>
      <w:r>
        <w:rPr>
          <w:rFonts w:ascii="Times New Roman" w:eastAsiaTheme="minorEastAsia" w:hAnsi="Times New Roman" w:cs="Times New Roman"/>
          <w:noProof/>
          <w:sz w:val="20"/>
          <w:szCs w:val="20"/>
        </w:rPr>
        <w:t>from</w:t>
      </w:r>
      <w:r w:rsidRPr="00815EE5">
        <w:rPr>
          <w:rFonts w:ascii="Times New Roman" w:eastAsiaTheme="minorEastAsia" w:hAnsi="Times New Roman" w:cs="Times New Roman"/>
          <w:noProof/>
          <w:sz w:val="20"/>
          <w:szCs w:val="20"/>
        </w:rPr>
        <w:t xml:space="preserve"> </w:t>
      </w:r>
      <w:r>
        <w:rPr>
          <w:rFonts w:ascii="Times New Roman" w:eastAsiaTheme="minorEastAsia" w:hAnsi="Times New Roman" w:cs="Times New Roman"/>
          <w:b/>
          <w:bCs/>
          <w:noProof/>
          <w:sz w:val="20"/>
          <w:szCs w:val="20"/>
        </w:rPr>
        <w:t>Lithuania</w:t>
      </w:r>
      <w:r w:rsidRPr="00815EE5">
        <w:rPr>
          <w:rFonts w:ascii="Times New Roman" w:eastAsiaTheme="minorEastAsia" w:hAnsi="Times New Roman" w:cs="Times New Roman"/>
          <w:noProof/>
          <w:sz w:val="20"/>
          <w:szCs w:val="20"/>
        </w:rPr>
        <w:t xml:space="preserve">, the project also shares knowledge from other organisations that organize trauma training. </w:t>
      </w:r>
    </w:p>
    <w:p w14:paraId="71BBD35E" w14:textId="77777777" w:rsidR="002C0325" w:rsidRDefault="002C0325" w:rsidP="002C0325">
      <w:pPr>
        <w:jc w:val="both"/>
        <w:rPr>
          <w:rFonts w:ascii="Times New Roman" w:eastAsiaTheme="minorEastAsia" w:hAnsi="Times New Roman" w:cs="Times New Roman"/>
          <w:noProof/>
          <w:sz w:val="24"/>
          <w:szCs w:val="24"/>
        </w:rPr>
      </w:pPr>
      <w:r w:rsidRPr="000B6BFA">
        <w:rPr>
          <w:rFonts w:ascii="Times New Roman" w:eastAsiaTheme="minorEastAsia" w:hAnsi="Times New Roman" w:cs="Times New Roman"/>
          <w:noProof/>
          <w:sz w:val="24"/>
          <w:szCs w:val="24"/>
        </w:rPr>
        <w:t xml:space="preserve">Also </w:t>
      </w:r>
      <w:r w:rsidRPr="00AD4CF2">
        <w:rPr>
          <w:rFonts w:ascii="Times New Roman" w:eastAsiaTheme="minorEastAsia" w:hAnsi="Times New Roman" w:cs="Times New Roman"/>
          <w:b/>
          <w:bCs/>
          <w:noProof/>
          <w:sz w:val="24"/>
          <w:szCs w:val="24"/>
        </w:rPr>
        <w:t>USAID</w:t>
      </w:r>
      <w:r>
        <w:rPr>
          <w:rStyle w:val="FootnoteReference"/>
          <w:rFonts w:eastAsiaTheme="minorEastAsia"/>
          <w:noProof/>
        </w:rPr>
        <w:footnoteReference w:id="210"/>
      </w:r>
      <w:r w:rsidRPr="00E2624D">
        <w:rPr>
          <w:rFonts w:ascii="Times New Roman" w:eastAsiaTheme="minorEastAsia" w:hAnsi="Times New Roman" w:cs="Times New Roman"/>
          <w:noProof/>
          <w:sz w:val="24"/>
          <w:szCs w:val="24"/>
        </w:rPr>
        <w:t xml:space="preserve"> </w:t>
      </w:r>
      <w:r>
        <w:rPr>
          <w:rFonts w:ascii="Times New Roman" w:eastAsiaTheme="minorEastAsia" w:hAnsi="Times New Roman" w:cs="Times New Roman"/>
          <w:noProof/>
          <w:sz w:val="24"/>
          <w:szCs w:val="24"/>
        </w:rPr>
        <w:t xml:space="preserve">aims to </w:t>
      </w:r>
      <w:r w:rsidRPr="00E2624D">
        <w:rPr>
          <w:rFonts w:ascii="Times New Roman" w:eastAsiaTheme="minorEastAsia" w:hAnsi="Times New Roman" w:cs="Times New Roman"/>
          <w:noProof/>
          <w:sz w:val="24"/>
          <w:szCs w:val="24"/>
        </w:rPr>
        <w:t xml:space="preserve">sustain and further develop open, rights-based, democratic, equal and inclusive societies based on the rule of law. </w:t>
      </w:r>
      <w:r>
        <w:rPr>
          <w:rFonts w:ascii="Times New Roman" w:eastAsiaTheme="minorEastAsia" w:hAnsi="Times New Roman" w:cs="Times New Roman"/>
          <w:noProof/>
          <w:sz w:val="24"/>
          <w:szCs w:val="24"/>
        </w:rPr>
        <w:t>It</w:t>
      </w:r>
      <w:r w:rsidRPr="00E2624D">
        <w:rPr>
          <w:rFonts w:ascii="Times New Roman" w:eastAsiaTheme="minorEastAsia" w:hAnsi="Times New Roman" w:cs="Times New Roman"/>
          <w:noProof/>
          <w:sz w:val="24"/>
          <w:szCs w:val="24"/>
        </w:rPr>
        <w:t xml:space="preserve"> support</w:t>
      </w:r>
      <w:r>
        <w:rPr>
          <w:rFonts w:ascii="Times New Roman" w:eastAsiaTheme="minorEastAsia" w:hAnsi="Times New Roman" w:cs="Times New Roman"/>
          <w:noProof/>
          <w:sz w:val="24"/>
          <w:szCs w:val="24"/>
        </w:rPr>
        <w:t>s</w:t>
      </w:r>
      <w:r w:rsidRPr="00E2624D">
        <w:rPr>
          <w:rFonts w:ascii="Times New Roman" w:eastAsiaTheme="minorEastAsia" w:hAnsi="Times New Roman" w:cs="Times New Roman"/>
          <w:noProof/>
          <w:sz w:val="24"/>
          <w:szCs w:val="24"/>
        </w:rPr>
        <w:t xml:space="preserve"> initiatives </w:t>
      </w:r>
      <w:r>
        <w:rPr>
          <w:rFonts w:ascii="Times New Roman" w:eastAsiaTheme="minorEastAsia" w:hAnsi="Times New Roman" w:cs="Times New Roman"/>
          <w:noProof/>
          <w:sz w:val="24"/>
          <w:szCs w:val="24"/>
        </w:rPr>
        <w:t>from</w:t>
      </w:r>
      <w:r w:rsidRPr="00E2624D">
        <w:rPr>
          <w:rFonts w:ascii="Times New Roman" w:eastAsiaTheme="minorEastAsia" w:hAnsi="Times New Roman" w:cs="Times New Roman"/>
          <w:noProof/>
          <w:sz w:val="24"/>
          <w:szCs w:val="24"/>
        </w:rPr>
        <w:t xml:space="preserve"> </w:t>
      </w:r>
      <w:r>
        <w:rPr>
          <w:rFonts w:ascii="Times New Roman" w:eastAsiaTheme="minorEastAsia" w:hAnsi="Times New Roman" w:cs="Times New Roman"/>
          <w:noProof/>
          <w:sz w:val="24"/>
          <w:szCs w:val="24"/>
        </w:rPr>
        <w:t>CSOs</w:t>
      </w:r>
      <w:r w:rsidRPr="00E2624D">
        <w:rPr>
          <w:rFonts w:ascii="Times New Roman" w:eastAsiaTheme="minorEastAsia" w:hAnsi="Times New Roman" w:cs="Times New Roman"/>
          <w:noProof/>
          <w:sz w:val="24"/>
          <w:szCs w:val="24"/>
        </w:rPr>
        <w:t>, human rights defenders, and watchdog groups</w:t>
      </w:r>
      <w:r>
        <w:rPr>
          <w:rFonts w:ascii="Times New Roman" w:eastAsiaTheme="minorEastAsia" w:hAnsi="Times New Roman" w:cs="Times New Roman"/>
          <w:noProof/>
          <w:sz w:val="24"/>
          <w:szCs w:val="24"/>
        </w:rPr>
        <w:t xml:space="preserve">, as well as duty-bearer institutions, such as NHRIs, ombudspersons, as well as prosecutors and judges in </w:t>
      </w:r>
      <w:r>
        <w:rPr>
          <w:rFonts w:ascii="Times New Roman" w:eastAsiaTheme="minorEastAsia" w:hAnsi="Times New Roman" w:cs="Times New Roman"/>
          <w:b/>
          <w:bCs/>
          <w:noProof/>
          <w:sz w:val="24"/>
          <w:szCs w:val="24"/>
        </w:rPr>
        <w:t>Bulgaria,</w:t>
      </w:r>
      <w:r w:rsidRPr="00815EE5">
        <w:rPr>
          <w:rFonts w:ascii="Times New Roman" w:eastAsiaTheme="minorEastAsia" w:hAnsi="Times New Roman" w:cs="Times New Roman"/>
          <w:noProof/>
          <w:sz w:val="24"/>
          <w:szCs w:val="24"/>
        </w:rPr>
        <w:t xml:space="preserve"> </w:t>
      </w:r>
      <w:r>
        <w:rPr>
          <w:rFonts w:ascii="Times New Roman" w:eastAsiaTheme="minorEastAsia" w:hAnsi="Times New Roman" w:cs="Times New Roman"/>
          <w:b/>
          <w:bCs/>
          <w:noProof/>
          <w:sz w:val="24"/>
          <w:szCs w:val="24"/>
        </w:rPr>
        <w:t>Hungary</w:t>
      </w:r>
      <w:r w:rsidRPr="00B9245D">
        <w:rPr>
          <w:rFonts w:ascii="Times New Roman" w:eastAsiaTheme="minorEastAsia" w:hAnsi="Times New Roman" w:cs="Times New Roman"/>
          <w:noProof/>
          <w:sz w:val="24"/>
          <w:szCs w:val="24"/>
        </w:rPr>
        <w:t xml:space="preserve"> and</w:t>
      </w:r>
      <w:r w:rsidRPr="00815EE5">
        <w:rPr>
          <w:rFonts w:ascii="Times New Roman" w:eastAsiaTheme="minorEastAsia" w:hAnsi="Times New Roman" w:cs="Times New Roman"/>
          <w:noProof/>
          <w:sz w:val="24"/>
          <w:szCs w:val="24"/>
        </w:rPr>
        <w:t xml:space="preserve"> </w:t>
      </w:r>
      <w:r w:rsidRPr="000B6BFA">
        <w:rPr>
          <w:rFonts w:ascii="Times New Roman" w:eastAsiaTheme="minorEastAsia" w:hAnsi="Times New Roman" w:cs="Times New Roman"/>
          <w:b/>
          <w:bCs/>
          <w:noProof/>
          <w:sz w:val="24"/>
          <w:szCs w:val="24"/>
        </w:rPr>
        <w:t>Poland</w:t>
      </w:r>
      <w:r w:rsidRPr="00B9245D">
        <w:rPr>
          <w:rFonts w:ascii="Times New Roman" w:eastAsiaTheme="minorEastAsia" w:hAnsi="Times New Roman" w:cs="Times New Roman"/>
          <w:noProof/>
          <w:sz w:val="24"/>
          <w:szCs w:val="24"/>
        </w:rPr>
        <w:t xml:space="preserve">. </w:t>
      </w:r>
      <w:r>
        <w:rPr>
          <w:rFonts w:ascii="Times New Roman" w:eastAsiaTheme="minorEastAsia" w:hAnsi="Times New Roman" w:cs="Times New Roman"/>
          <w:noProof/>
          <w:sz w:val="24"/>
          <w:szCs w:val="24"/>
        </w:rPr>
        <w:t xml:space="preserve">It has launched the provision of support to human rights activists </w:t>
      </w:r>
      <w:r w:rsidRPr="00E441ED">
        <w:rPr>
          <w:rFonts w:ascii="Times New Roman" w:eastAsiaTheme="minorEastAsia" w:hAnsi="Times New Roman" w:cs="Times New Roman"/>
          <w:noProof/>
          <w:sz w:val="24"/>
          <w:szCs w:val="24"/>
        </w:rPr>
        <w:t xml:space="preserve">in exile </w:t>
      </w:r>
      <w:r>
        <w:rPr>
          <w:rFonts w:ascii="Times New Roman" w:eastAsiaTheme="minorEastAsia" w:hAnsi="Times New Roman" w:cs="Times New Roman"/>
          <w:noProof/>
          <w:sz w:val="24"/>
          <w:szCs w:val="24"/>
        </w:rPr>
        <w:t>by providing</w:t>
      </w:r>
      <w:r w:rsidRPr="00E441ED">
        <w:rPr>
          <w:rFonts w:ascii="Times New Roman" w:eastAsiaTheme="minorEastAsia" w:hAnsi="Times New Roman" w:cs="Times New Roman"/>
          <w:noProof/>
          <w:sz w:val="24"/>
          <w:szCs w:val="24"/>
        </w:rPr>
        <w:t xml:space="preserve"> grants in </w:t>
      </w:r>
      <w:r w:rsidRPr="00125EBB">
        <w:rPr>
          <w:rFonts w:ascii="Times New Roman" w:eastAsiaTheme="minorEastAsia" w:hAnsi="Times New Roman" w:cs="Times New Roman"/>
          <w:b/>
          <w:bCs/>
          <w:noProof/>
          <w:sz w:val="24"/>
          <w:szCs w:val="24"/>
        </w:rPr>
        <w:t>Poland</w:t>
      </w:r>
      <w:r>
        <w:rPr>
          <w:rFonts w:ascii="Times New Roman" w:eastAsiaTheme="minorEastAsia" w:hAnsi="Times New Roman" w:cs="Times New Roman"/>
          <w:b/>
          <w:bCs/>
          <w:noProof/>
          <w:sz w:val="24"/>
          <w:szCs w:val="24"/>
        </w:rPr>
        <w:t xml:space="preserve"> </w:t>
      </w:r>
      <w:r w:rsidRPr="009647DF">
        <w:rPr>
          <w:rFonts w:ascii="Times New Roman" w:eastAsiaTheme="minorEastAsia" w:hAnsi="Times New Roman" w:cs="Times New Roman"/>
          <w:noProof/>
          <w:sz w:val="24"/>
          <w:szCs w:val="24"/>
        </w:rPr>
        <w:t xml:space="preserve">and </w:t>
      </w:r>
      <w:r w:rsidRPr="000B6BFA">
        <w:rPr>
          <w:rFonts w:ascii="Times New Roman" w:eastAsiaTheme="minorEastAsia" w:hAnsi="Times New Roman" w:cs="Times New Roman"/>
          <w:b/>
          <w:bCs/>
          <w:noProof/>
          <w:sz w:val="24"/>
          <w:szCs w:val="24"/>
        </w:rPr>
        <w:t>Germany</w:t>
      </w:r>
      <w:r w:rsidRPr="00E441ED">
        <w:rPr>
          <w:rFonts w:ascii="Times New Roman" w:eastAsiaTheme="minorEastAsia" w:hAnsi="Times New Roman" w:cs="Times New Roman"/>
          <w:noProof/>
          <w:sz w:val="24"/>
          <w:szCs w:val="24"/>
        </w:rPr>
        <w:t xml:space="preserve"> and outside</w:t>
      </w:r>
      <w:r>
        <w:rPr>
          <w:rFonts w:ascii="Times New Roman" w:eastAsiaTheme="minorEastAsia" w:hAnsi="Times New Roman" w:cs="Times New Roman"/>
          <w:noProof/>
          <w:sz w:val="24"/>
          <w:szCs w:val="24"/>
        </w:rPr>
        <w:t xml:space="preserve"> the EU</w:t>
      </w:r>
      <w:r w:rsidRPr="00E441ED">
        <w:rPr>
          <w:rFonts w:ascii="Times New Roman" w:eastAsiaTheme="minorEastAsia" w:hAnsi="Times New Roman" w:cs="Times New Roman"/>
          <w:noProof/>
          <w:sz w:val="24"/>
          <w:szCs w:val="24"/>
        </w:rPr>
        <w:t xml:space="preserve"> to program</w:t>
      </w:r>
      <w:r>
        <w:rPr>
          <w:rFonts w:ascii="Times New Roman" w:eastAsiaTheme="minorEastAsia" w:hAnsi="Times New Roman" w:cs="Times New Roman"/>
          <w:noProof/>
          <w:sz w:val="24"/>
          <w:szCs w:val="24"/>
        </w:rPr>
        <w:t>me</w:t>
      </w:r>
      <w:r w:rsidRPr="00E441ED">
        <w:rPr>
          <w:rFonts w:ascii="Times New Roman" w:eastAsiaTheme="minorEastAsia" w:hAnsi="Times New Roman" w:cs="Times New Roman"/>
          <w:noProof/>
          <w:sz w:val="24"/>
          <w:szCs w:val="24"/>
        </w:rPr>
        <w:t xml:space="preserve">s </w:t>
      </w:r>
      <w:r>
        <w:rPr>
          <w:rFonts w:ascii="Times New Roman" w:eastAsiaTheme="minorEastAsia" w:hAnsi="Times New Roman" w:cs="Times New Roman"/>
          <w:noProof/>
          <w:sz w:val="24"/>
          <w:szCs w:val="24"/>
        </w:rPr>
        <w:t>supporting</w:t>
      </w:r>
      <w:r w:rsidRPr="00E441ED">
        <w:rPr>
          <w:rFonts w:ascii="Times New Roman" w:eastAsiaTheme="minorEastAsia" w:hAnsi="Times New Roman" w:cs="Times New Roman"/>
          <w:noProof/>
          <w:sz w:val="24"/>
          <w:szCs w:val="24"/>
        </w:rPr>
        <w:t xml:space="preserve"> Russian and Belarusian activists</w:t>
      </w:r>
      <w:r>
        <w:rPr>
          <w:rStyle w:val="FootnoteReference"/>
          <w:rFonts w:eastAsiaTheme="minorEastAsia"/>
          <w:noProof/>
        </w:rPr>
        <w:footnoteReference w:id="211"/>
      </w:r>
      <w:r w:rsidRPr="00E441ED">
        <w:rPr>
          <w:rFonts w:ascii="Times New Roman" w:eastAsiaTheme="minorEastAsia" w:hAnsi="Times New Roman" w:cs="Times New Roman"/>
          <w:noProof/>
          <w:sz w:val="24"/>
          <w:szCs w:val="24"/>
        </w:rPr>
        <w:t>.</w:t>
      </w:r>
    </w:p>
    <w:p w14:paraId="4DA8ADB1" w14:textId="77777777" w:rsidR="002C0325" w:rsidRDefault="002C0325" w:rsidP="002C0325">
      <w:pPr>
        <w:jc w:val="both"/>
        <w:rPr>
          <w:rFonts w:ascii="Times New Roman" w:eastAsiaTheme="minorEastAsia" w:hAnsi="Times New Roman" w:cs="Times New Roman"/>
          <w:noProof/>
          <w:sz w:val="24"/>
          <w:szCs w:val="24"/>
        </w:rPr>
      </w:pPr>
      <w:r w:rsidRPr="00AD4CF2">
        <w:rPr>
          <w:rFonts w:ascii="Times New Roman" w:eastAsiaTheme="minorEastAsia" w:hAnsi="Times New Roman" w:cs="Times New Roman"/>
          <w:b/>
          <w:bCs/>
          <w:noProof/>
          <w:sz w:val="24"/>
          <w:szCs w:val="24"/>
        </w:rPr>
        <w:t xml:space="preserve">The United Nation’s Office of the High Commissioner for Human Rights (OHCHR) </w:t>
      </w:r>
      <w:r>
        <w:rPr>
          <w:rFonts w:ascii="Times New Roman" w:eastAsiaTheme="minorEastAsia" w:hAnsi="Times New Roman" w:cs="Times New Roman"/>
          <w:noProof/>
          <w:sz w:val="24"/>
          <w:szCs w:val="24"/>
        </w:rPr>
        <w:t>provides funding through the UN Voluntary Fund for Victims of Torture and the UN Voluntary Trust Fund on Contemporary Forms of Slavery. Funding to organisations providing direct support to torture and slavery survivors has been provided to organisations from</w:t>
      </w:r>
      <w:r w:rsidRPr="009647DF">
        <w:rPr>
          <w:rFonts w:ascii="Times New Roman" w:eastAsiaTheme="minorEastAsia" w:hAnsi="Times New Roman" w:cs="Times New Roman"/>
          <w:noProof/>
          <w:sz w:val="24"/>
          <w:szCs w:val="24"/>
        </w:rPr>
        <w:t xml:space="preserve"> </w:t>
      </w:r>
      <w:r>
        <w:rPr>
          <w:rFonts w:ascii="Times New Roman" w:eastAsiaTheme="minorEastAsia" w:hAnsi="Times New Roman" w:cs="Times New Roman"/>
          <w:b/>
          <w:bCs/>
          <w:noProof/>
          <w:sz w:val="24"/>
          <w:szCs w:val="24"/>
        </w:rPr>
        <w:t>Belgium</w:t>
      </w:r>
      <w:r w:rsidRPr="00815EE5">
        <w:rPr>
          <w:rFonts w:ascii="Times New Roman" w:eastAsiaTheme="minorEastAsia" w:hAnsi="Times New Roman" w:cs="Times New Roman"/>
          <w:noProof/>
          <w:sz w:val="24"/>
          <w:szCs w:val="24"/>
        </w:rPr>
        <w:t xml:space="preserve">, </w:t>
      </w:r>
      <w:r w:rsidRPr="000B6BFA">
        <w:rPr>
          <w:rFonts w:ascii="Times New Roman" w:eastAsiaTheme="minorEastAsia" w:hAnsi="Times New Roman" w:cs="Times New Roman"/>
          <w:b/>
          <w:bCs/>
          <w:noProof/>
          <w:sz w:val="24"/>
          <w:szCs w:val="24"/>
        </w:rPr>
        <w:t>Croatia</w:t>
      </w:r>
      <w:r w:rsidRPr="00815EE5">
        <w:rPr>
          <w:rFonts w:ascii="Times New Roman" w:eastAsiaTheme="minorEastAsia" w:hAnsi="Times New Roman" w:cs="Times New Roman"/>
          <w:noProof/>
          <w:sz w:val="24"/>
          <w:szCs w:val="24"/>
        </w:rPr>
        <w:t xml:space="preserve">, </w:t>
      </w:r>
      <w:r w:rsidRPr="000B6BFA">
        <w:rPr>
          <w:rFonts w:ascii="Times New Roman" w:eastAsiaTheme="minorEastAsia" w:hAnsi="Times New Roman" w:cs="Times New Roman"/>
          <w:b/>
          <w:bCs/>
          <w:noProof/>
          <w:sz w:val="24"/>
          <w:szCs w:val="24"/>
        </w:rPr>
        <w:t>Czechia</w:t>
      </w:r>
      <w:r w:rsidRPr="00815EE5">
        <w:rPr>
          <w:rFonts w:ascii="Times New Roman" w:eastAsiaTheme="minorEastAsia" w:hAnsi="Times New Roman" w:cs="Times New Roman"/>
          <w:noProof/>
          <w:sz w:val="24"/>
          <w:szCs w:val="24"/>
        </w:rPr>
        <w:t xml:space="preserve">, </w:t>
      </w:r>
      <w:r w:rsidRPr="000B6BFA">
        <w:rPr>
          <w:rFonts w:ascii="Times New Roman" w:eastAsiaTheme="minorEastAsia" w:hAnsi="Times New Roman" w:cs="Times New Roman"/>
          <w:b/>
          <w:bCs/>
          <w:noProof/>
          <w:sz w:val="24"/>
          <w:szCs w:val="24"/>
        </w:rPr>
        <w:t>France</w:t>
      </w:r>
      <w:r w:rsidRPr="00815EE5">
        <w:rPr>
          <w:rFonts w:ascii="Times New Roman" w:eastAsiaTheme="minorEastAsia" w:hAnsi="Times New Roman" w:cs="Times New Roman"/>
          <w:noProof/>
          <w:sz w:val="24"/>
          <w:szCs w:val="24"/>
        </w:rPr>
        <w:t xml:space="preserve">, </w:t>
      </w:r>
      <w:r w:rsidRPr="000B6BFA">
        <w:rPr>
          <w:rFonts w:ascii="Times New Roman" w:eastAsiaTheme="minorEastAsia" w:hAnsi="Times New Roman" w:cs="Times New Roman"/>
          <w:b/>
          <w:bCs/>
          <w:noProof/>
          <w:sz w:val="24"/>
          <w:szCs w:val="24"/>
        </w:rPr>
        <w:t>Germany</w:t>
      </w:r>
      <w:r w:rsidRPr="00815EE5">
        <w:rPr>
          <w:rFonts w:ascii="Times New Roman" w:eastAsiaTheme="minorEastAsia" w:hAnsi="Times New Roman" w:cs="Times New Roman"/>
          <w:noProof/>
          <w:sz w:val="24"/>
          <w:szCs w:val="24"/>
        </w:rPr>
        <w:t xml:space="preserve">, </w:t>
      </w:r>
      <w:r w:rsidRPr="000B6BFA">
        <w:rPr>
          <w:rFonts w:ascii="Times New Roman" w:eastAsiaTheme="minorEastAsia" w:hAnsi="Times New Roman" w:cs="Times New Roman"/>
          <w:b/>
          <w:bCs/>
          <w:noProof/>
          <w:sz w:val="24"/>
          <w:szCs w:val="24"/>
        </w:rPr>
        <w:t>Greece</w:t>
      </w:r>
      <w:r w:rsidRPr="00815EE5">
        <w:rPr>
          <w:rFonts w:ascii="Times New Roman" w:eastAsiaTheme="minorEastAsia" w:hAnsi="Times New Roman" w:cs="Times New Roman"/>
          <w:noProof/>
          <w:sz w:val="24"/>
          <w:szCs w:val="24"/>
        </w:rPr>
        <w:t xml:space="preserve">, </w:t>
      </w:r>
      <w:r w:rsidRPr="000B6BFA">
        <w:rPr>
          <w:rFonts w:ascii="Times New Roman" w:eastAsiaTheme="minorEastAsia" w:hAnsi="Times New Roman" w:cs="Times New Roman"/>
          <w:b/>
          <w:bCs/>
          <w:noProof/>
          <w:sz w:val="24"/>
          <w:szCs w:val="24"/>
        </w:rPr>
        <w:t>H</w:t>
      </w:r>
      <w:r>
        <w:rPr>
          <w:rFonts w:ascii="Times New Roman" w:eastAsiaTheme="minorEastAsia" w:hAnsi="Times New Roman" w:cs="Times New Roman"/>
          <w:b/>
          <w:bCs/>
          <w:noProof/>
          <w:sz w:val="24"/>
          <w:szCs w:val="24"/>
        </w:rPr>
        <w:t>ungary</w:t>
      </w:r>
      <w:r w:rsidRPr="00815EE5">
        <w:rPr>
          <w:rFonts w:ascii="Times New Roman" w:eastAsiaTheme="minorEastAsia" w:hAnsi="Times New Roman" w:cs="Times New Roman"/>
          <w:noProof/>
          <w:sz w:val="24"/>
          <w:szCs w:val="24"/>
        </w:rPr>
        <w:t xml:space="preserve">, </w:t>
      </w:r>
      <w:r w:rsidRPr="000B6BFA">
        <w:rPr>
          <w:rFonts w:ascii="Times New Roman" w:eastAsiaTheme="minorEastAsia" w:hAnsi="Times New Roman" w:cs="Times New Roman"/>
          <w:b/>
          <w:bCs/>
          <w:noProof/>
          <w:sz w:val="24"/>
          <w:szCs w:val="24"/>
        </w:rPr>
        <w:t>I</w:t>
      </w:r>
      <w:r>
        <w:rPr>
          <w:rFonts w:ascii="Times New Roman" w:eastAsiaTheme="minorEastAsia" w:hAnsi="Times New Roman" w:cs="Times New Roman"/>
          <w:b/>
          <w:bCs/>
          <w:noProof/>
          <w:sz w:val="24"/>
          <w:szCs w:val="24"/>
        </w:rPr>
        <w:t>reland</w:t>
      </w:r>
      <w:r w:rsidRPr="00815EE5">
        <w:rPr>
          <w:rFonts w:ascii="Times New Roman" w:eastAsiaTheme="minorEastAsia" w:hAnsi="Times New Roman" w:cs="Times New Roman"/>
          <w:noProof/>
          <w:sz w:val="24"/>
          <w:szCs w:val="24"/>
        </w:rPr>
        <w:t xml:space="preserve">, </w:t>
      </w:r>
      <w:r w:rsidRPr="000B6BFA">
        <w:rPr>
          <w:rFonts w:ascii="Times New Roman" w:eastAsiaTheme="minorEastAsia" w:hAnsi="Times New Roman" w:cs="Times New Roman"/>
          <w:b/>
          <w:bCs/>
          <w:noProof/>
          <w:sz w:val="24"/>
          <w:szCs w:val="24"/>
        </w:rPr>
        <w:t>I</w:t>
      </w:r>
      <w:r>
        <w:rPr>
          <w:rFonts w:ascii="Times New Roman" w:eastAsiaTheme="minorEastAsia" w:hAnsi="Times New Roman" w:cs="Times New Roman"/>
          <w:b/>
          <w:bCs/>
          <w:noProof/>
          <w:sz w:val="24"/>
          <w:szCs w:val="24"/>
        </w:rPr>
        <w:t>taly</w:t>
      </w:r>
      <w:r w:rsidRPr="00815EE5">
        <w:rPr>
          <w:rFonts w:ascii="Times New Roman" w:eastAsiaTheme="minorEastAsia" w:hAnsi="Times New Roman" w:cs="Times New Roman"/>
          <w:noProof/>
          <w:sz w:val="24"/>
          <w:szCs w:val="24"/>
        </w:rPr>
        <w:t xml:space="preserve">, </w:t>
      </w:r>
      <w:r w:rsidRPr="000B6BFA">
        <w:rPr>
          <w:rFonts w:ascii="Times New Roman" w:eastAsiaTheme="minorEastAsia" w:hAnsi="Times New Roman" w:cs="Times New Roman"/>
          <w:b/>
          <w:noProof/>
          <w:sz w:val="24"/>
          <w:szCs w:val="24"/>
        </w:rPr>
        <w:t>the</w:t>
      </w:r>
      <w:r>
        <w:rPr>
          <w:rFonts w:ascii="Times New Roman" w:eastAsiaTheme="minorEastAsia" w:hAnsi="Times New Roman" w:cs="Times New Roman"/>
          <w:noProof/>
          <w:sz w:val="24"/>
          <w:szCs w:val="24"/>
        </w:rPr>
        <w:t xml:space="preserve"> </w:t>
      </w:r>
      <w:r w:rsidRPr="000B6BFA">
        <w:rPr>
          <w:rFonts w:ascii="Times New Roman" w:eastAsiaTheme="minorEastAsia" w:hAnsi="Times New Roman" w:cs="Times New Roman"/>
          <w:b/>
          <w:bCs/>
          <w:noProof/>
          <w:sz w:val="24"/>
          <w:szCs w:val="24"/>
        </w:rPr>
        <w:t>N</w:t>
      </w:r>
      <w:r>
        <w:rPr>
          <w:rFonts w:ascii="Times New Roman" w:eastAsiaTheme="minorEastAsia" w:hAnsi="Times New Roman" w:cs="Times New Roman"/>
          <w:b/>
          <w:bCs/>
          <w:noProof/>
          <w:sz w:val="24"/>
          <w:szCs w:val="24"/>
        </w:rPr>
        <w:t>etherlands</w:t>
      </w:r>
      <w:r w:rsidRPr="00815EE5">
        <w:rPr>
          <w:rFonts w:ascii="Times New Roman" w:eastAsiaTheme="minorEastAsia" w:hAnsi="Times New Roman" w:cs="Times New Roman"/>
          <w:noProof/>
          <w:sz w:val="24"/>
          <w:szCs w:val="24"/>
        </w:rPr>
        <w:t xml:space="preserve">, </w:t>
      </w:r>
      <w:r w:rsidRPr="000B6BFA">
        <w:rPr>
          <w:rFonts w:ascii="Times New Roman" w:eastAsiaTheme="minorEastAsia" w:hAnsi="Times New Roman" w:cs="Times New Roman"/>
          <w:b/>
          <w:bCs/>
          <w:noProof/>
          <w:sz w:val="24"/>
          <w:szCs w:val="24"/>
        </w:rPr>
        <w:t>R</w:t>
      </w:r>
      <w:r>
        <w:rPr>
          <w:rFonts w:ascii="Times New Roman" w:eastAsiaTheme="minorEastAsia" w:hAnsi="Times New Roman" w:cs="Times New Roman"/>
          <w:b/>
          <w:bCs/>
          <w:noProof/>
          <w:sz w:val="24"/>
          <w:szCs w:val="24"/>
        </w:rPr>
        <w:t>omania</w:t>
      </w:r>
      <w:r w:rsidRPr="009647DF">
        <w:rPr>
          <w:rFonts w:ascii="Times New Roman" w:eastAsiaTheme="minorEastAsia" w:hAnsi="Times New Roman" w:cs="Times New Roman"/>
          <w:noProof/>
          <w:sz w:val="24"/>
          <w:szCs w:val="24"/>
        </w:rPr>
        <w:t xml:space="preserve">, and </w:t>
      </w:r>
      <w:r>
        <w:rPr>
          <w:rFonts w:ascii="Times New Roman" w:eastAsiaTheme="minorEastAsia" w:hAnsi="Times New Roman" w:cs="Times New Roman"/>
          <w:b/>
          <w:bCs/>
          <w:noProof/>
          <w:sz w:val="24"/>
          <w:szCs w:val="24"/>
        </w:rPr>
        <w:t>Spain</w:t>
      </w:r>
      <w:r>
        <w:rPr>
          <w:rStyle w:val="FootnoteReference"/>
          <w:rFonts w:eastAsiaTheme="minorEastAsia"/>
          <w:noProof/>
        </w:rPr>
        <w:footnoteReference w:id="212"/>
      </w:r>
      <w:r w:rsidRPr="009647DF">
        <w:rPr>
          <w:rFonts w:ascii="Times New Roman" w:eastAsiaTheme="minorEastAsia" w:hAnsi="Times New Roman" w:cs="Times New Roman"/>
          <w:noProof/>
          <w:sz w:val="24"/>
          <w:szCs w:val="24"/>
        </w:rPr>
        <w:t>.</w:t>
      </w:r>
      <w:r>
        <w:rPr>
          <w:rFonts w:ascii="Times New Roman" w:eastAsiaTheme="minorEastAsia" w:hAnsi="Times New Roman" w:cs="Times New Roman"/>
          <w:noProof/>
          <w:sz w:val="24"/>
          <w:szCs w:val="24"/>
        </w:rPr>
        <w:t xml:space="preserve"> </w:t>
      </w:r>
    </w:p>
    <w:p w14:paraId="5B1C328B" w14:textId="77777777" w:rsidR="002C0325" w:rsidRDefault="002C0325" w:rsidP="002C0325">
      <w:pPr>
        <w:jc w:val="both"/>
        <w:rPr>
          <w:rFonts w:ascii="Times New Roman" w:eastAsiaTheme="minorEastAsia" w:hAnsi="Times New Roman" w:cs="Times New Roman"/>
          <w:noProof/>
          <w:sz w:val="24"/>
          <w:szCs w:val="24"/>
        </w:rPr>
      </w:pPr>
      <w:r w:rsidRPr="00815EE5">
        <w:rPr>
          <w:rFonts w:ascii="Times New Roman" w:eastAsiaTheme="minorEastAsia" w:hAnsi="Times New Roman" w:cs="Times New Roman"/>
          <w:noProof/>
          <w:sz w:val="24"/>
          <w:szCs w:val="24"/>
        </w:rPr>
        <w:t>Long-term</w:t>
      </w:r>
      <w:r w:rsidRPr="006F3E83">
        <w:rPr>
          <w:rFonts w:ascii="Times New Roman" w:eastAsiaTheme="minorEastAsia" w:hAnsi="Times New Roman" w:cs="Times New Roman"/>
          <w:b/>
          <w:bCs/>
          <w:noProof/>
          <w:sz w:val="24"/>
          <w:szCs w:val="24"/>
        </w:rPr>
        <w:t xml:space="preserve"> loans for infrastructure</w:t>
      </w:r>
      <w:r>
        <w:rPr>
          <w:rFonts w:ascii="Times New Roman" w:eastAsiaTheme="minorEastAsia" w:hAnsi="Times New Roman" w:cs="Times New Roman"/>
          <w:noProof/>
          <w:sz w:val="24"/>
          <w:szCs w:val="24"/>
        </w:rPr>
        <w:t xml:space="preserve"> in several sectors covered by the Charter are provided by the </w:t>
      </w:r>
      <w:r w:rsidRPr="00B3288D">
        <w:rPr>
          <w:rFonts w:ascii="Times New Roman" w:eastAsiaTheme="minorEastAsia" w:hAnsi="Times New Roman" w:cs="Times New Roman"/>
          <w:b/>
          <w:bCs/>
          <w:noProof/>
          <w:sz w:val="24"/>
          <w:szCs w:val="24"/>
        </w:rPr>
        <w:t>European Investment Bank (EIB)</w:t>
      </w:r>
      <w:r>
        <w:rPr>
          <w:rFonts w:ascii="Times New Roman" w:eastAsiaTheme="minorEastAsia" w:hAnsi="Times New Roman" w:cs="Times New Roman"/>
          <w:noProof/>
          <w:sz w:val="24"/>
          <w:szCs w:val="24"/>
        </w:rPr>
        <w:t xml:space="preserve"> and the </w:t>
      </w:r>
      <w:r w:rsidRPr="00B3288D">
        <w:rPr>
          <w:rFonts w:ascii="Times New Roman" w:eastAsiaTheme="minorEastAsia" w:hAnsi="Times New Roman" w:cs="Times New Roman"/>
          <w:b/>
          <w:bCs/>
          <w:noProof/>
          <w:sz w:val="24"/>
          <w:szCs w:val="24"/>
        </w:rPr>
        <w:t>Council of Europe Development Bank (CEB)</w:t>
      </w:r>
      <w:r>
        <w:rPr>
          <w:rFonts w:ascii="Times New Roman" w:eastAsiaTheme="minorEastAsia" w:hAnsi="Times New Roman" w:cs="Times New Roman"/>
          <w:noProof/>
          <w:sz w:val="24"/>
          <w:szCs w:val="24"/>
        </w:rPr>
        <w:t>. The EIB invests in projects in the fields of social infrastructure, renewable energy, inclusive finance and urban development, as well as blends loans with grants and supports investment projects. The CEB mostly funds infrastructure for housing, education, and health care</w:t>
      </w:r>
      <w:r>
        <w:rPr>
          <w:rStyle w:val="FootnoteReference"/>
          <w:rFonts w:eastAsiaTheme="minorEastAsia"/>
          <w:noProof/>
        </w:rPr>
        <w:footnoteReference w:id="213"/>
      </w:r>
      <w:r>
        <w:rPr>
          <w:rFonts w:ascii="Times New Roman" w:eastAsiaTheme="minorEastAsia" w:hAnsi="Times New Roman" w:cs="Times New Roman"/>
          <w:noProof/>
          <w:sz w:val="24"/>
          <w:szCs w:val="24"/>
        </w:rPr>
        <w:t xml:space="preserve">. Loans and grants are likewise offered to the CEB members from outside the EU, mostly in the Western Balkans and the Eastern Neighbourhood. </w:t>
      </w:r>
    </w:p>
    <w:p w14:paraId="63CBF721" w14:textId="77777777" w:rsidR="002C0325" w:rsidRPr="008D1BF0" w:rsidRDefault="002C0325" w:rsidP="002C0325">
      <w:pPr>
        <w:jc w:val="both"/>
        <w:rPr>
          <w:rFonts w:ascii="Times New Roman" w:eastAsiaTheme="minorEastAsia" w:hAnsi="Times New Roman" w:cs="Times New Roman"/>
          <w:noProof/>
          <w:sz w:val="24"/>
          <w:szCs w:val="24"/>
        </w:rPr>
      </w:pPr>
      <w:r>
        <w:rPr>
          <w:rFonts w:ascii="Times New Roman" w:eastAsiaTheme="minorEastAsia" w:hAnsi="Times New Roman" w:cs="Times New Roman"/>
          <w:b/>
          <w:bCs/>
          <w:noProof/>
          <w:sz w:val="24"/>
          <w:szCs w:val="24"/>
        </w:rPr>
        <w:t>All contributing d</w:t>
      </w:r>
      <w:r w:rsidRPr="00815EE5">
        <w:rPr>
          <w:rFonts w:ascii="Times New Roman" w:eastAsiaTheme="minorEastAsia" w:hAnsi="Times New Roman" w:cs="Times New Roman"/>
          <w:b/>
          <w:bCs/>
          <w:noProof/>
          <w:sz w:val="24"/>
          <w:szCs w:val="24"/>
        </w:rPr>
        <w:t xml:space="preserve">onors </w:t>
      </w:r>
      <w:r w:rsidRPr="00556090">
        <w:rPr>
          <w:rFonts w:ascii="Times New Roman" w:eastAsiaTheme="minorEastAsia" w:hAnsi="Times New Roman" w:cs="Times New Roman"/>
          <w:b/>
          <w:bCs/>
          <w:noProof/>
          <w:sz w:val="24"/>
          <w:szCs w:val="24"/>
        </w:rPr>
        <w:t>seek stakeholder feedback on programme development and implementation</w:t>
      </w:r>
      <w:r w:rsidRPr="00702886">
        <w:rPr>
          <w:rStyle w:val="FootnoteReference"/>
          <w:rFonts w:eastAsiaTheme="minorEastAsia"/>
          <w:noProof/>
        </w:rPr>
        <w:footnoteReference w:id="214"/>
      </w:r>
      <w:r w:rsidRPr="00702886">
        <w:rPr>
          <w:rFonts w:ascii="Times New Roman" w:eastAsiaTheme="minorEastAsia" w:hAnsi="Times New Roman" w:cs="Times New Roman"/>
          <w:noProof/>
          <w:sz w:val="24"/>
          <w:szCs w:val="24"/>
        </w:rPr>
        <w:t>.</w:t>
      </w:r>
      <w:r w:rsidRPr="008373C5">
        <w:rPr>
          <w:rFonts w:ascii="Times New Roman" w:eastAsiaTheme="minorEastAsia" w:hAnsi="Times New Roman" w:cs="Times New Roman"/>
          <w:noProof/>
          <w:sz w:val="24"/>
          <w:szCs w:val="24"/>
        </w:rPr>
        <w:t xml:space="preserve"> </w:t>
      </w:r>
      <w:r>
        <w:rPr>
          <w:rFonts w:ascii="Times New Roman" w:eastAsiaTheme="minorEastAsia" w:hAnsi="Times New Roman" w:cs="Times New Roman"/>
          <w:noProof/>
          <w:sz w:val="24"/>
          <w:szCs w:val="24"/>
        </w:rPr>
        <w:t xml:space="preserve">International donors organise </w:t>
      </w:r>
      <w:r w:rsidRPr="008373C5">
        <w:rPr>
          <w:rFonts w:ascii="Times New Roman" w:eastAsiaTheme="minorEastAsia" w:hAnsi="Times New Roman" w:cs="Times New Roman"/>
          <w:noProof/>
          <w:sz w:val="24"/>
          <w:szCs w:val="24"/>
        </w:rPr>
        <w:t>consultations and information sessions in the beneficiary states</w:t>
      </w:r>
      <w:r>
        <w:rPr>
          <w:rStyle w:val="FootnoteReference"/>
          <w:rFonts w:eastAsiaTheme="minorEastAsia"/>
          <w:noProof/>
        </w:rPr>
        <w:footnoteReference w:id="215"/>
      </w:r>
      <w:r>
        <w:rPr>
          <w:rFonts w:ascii="Times New Roman" w:eastAsiaTheme="minorEastAsia" w:hAnsi="Times New Roman" w:cs="Times New Roman"/>
          <w:noProof/>
          <w:sz w:val="24"/>
          <w:szCs w:val="24"/>
        </w:rPr>
        <w:t xml:space="preserve">, </w:t>
      </w:r>
      <w:r w:rsidRPr="008373C5">
        <w:rPr>
          <w:rFonts w:ascii="Times New Roman" w:eastAsiaTheme="minorEastAsia" w:hAnsi="Times New Roman" w:cs="Times New Roman"/>
          <w:noProof/>
          <w:sz w:val="24"/>
          <w:szCs w:val="24"/>
        </w:rPr>
        <w:t xml:space="preserve">and </w:t>
      </w:r>
      <w:r>
        <w:rPr>
          <w:rFonts w:ascii="Times New Roman" w:eastAsiaTheme="minorEastAsia" w:hAnsi="Times New Roman" w:cs="Times New Roman"/>
          <w:noProof/>
          <w:sz w:val="24"/>
          <w:szCs w:val="24"/>
        </w:rPr>
        <w:t>involve partners in deciding how project funds are used, adjusting to political changes, and setting timelines</w:t>
      </w:r>
      <w:r>
        <w:rPr>
          <w:rStyle w:val="FootnoteReference"/>
          <w:rFonts w:eastAsiaTheme="minorEastAsia"/>
          <w:noProof/>
        </w:rPr>
        <w:footnoteReference w:id="216"/>
      </w:r>
      <w:r>
        <w:rPr>
          <w:rFonts w:ascii="Times New Roman" w:eastAsiaTheme="minorEastAsia" w:hAnsi="Times New Roman" w:cs="Times New Roman"/>
          <w:noProof/>
          <w:sz w:val="24"/>
          <w:szCs w:val="24"/>
        </w:rPr>
        <w:t>. According to the</w:t>
      </w:r>
      <w:r w:rsidRPr="009B2C15">
        <w:rPr>
          <w:rFonts w:ascii="Times New Roman" w:eastAsiaTheme="minorEastAsia" w:hAnsi="Times New Roman" w:cs="Times New Roman"/>
          <w:noProof/>
          <w:sz w:val="24"/>
          <w:szCs w:val="24"/>
        </w:rPr>
        <w:t xml:space="preserve"> </w:t>
      </w:r>
      <w:r>
        <w:rPr>
          <w:rFonts w:ascii="Times New Roman" w:eastAsiaTheme="minorEastAsia" w:hAnsi="Times New Roman" w:cs="Times New Roman"/>
          <w:noProof/>
          <w:sz w:val="24"/>
          <w:szCs w:val="24"/>
        </w:rPr>
        <w:t>FRA, consultations with CSOs</w:t>
      </w:r>
      <w:r w:rsidRPr="009B2C15">
        <w:rPr>
          <w:rFonts w:ascii="Times New Roman" w:eastAsiaTheme="minorEastAsia" w:hAnsi="Times New Roman" w:cs="Times New Roman"/>
          <w:noProof/>
          <w:sz w:val="24"/>
          <w:szCs w:val="24"/>
        </w:rPr>
        <w:t xml:space="preserve"> for the development of new funding programmes</w:t>
      </w:r>
      <w:r>
        <w:rPr>
          <w:rFonts w:ascii="Times New Roman" w:eastAsiaTheme="minorEastAsia" w:hAnsi="Times New Roman" w:cs="Times New Roman"/>
          <w:noProof/>
          <w:sz w:val="24"/>
          <w:szCs w:val="24"/>
        </w:rPr>
        <w:t xml:space="preserve"> </w:t>
      </w:r>
      <w:r w:rsidRPr="009B2C15">
        <w:rPr>
          <w:rFonts w:ascii="Times New Roman" w:eastAsiaTheme="minorEastAsia" w:hAnsi="Times New Roman" w:cs="Times New Roman"/>
          <w:noProof/>
          <w:sz w:val="24"/>
          <w:szCs w:val="24"/>
        </w:rPr>
        <w:t>more often happen</w:t>
      </w:r>
      <w:r>
        <w:rPr>
          <w:rFonts w:ascii="Times New Roman" w:eastAsiaTheme="minorEastAsia" w:hAnsi="Times New Roman" w:cs="Times New Roman"/>
          <w:noProof/>
          <w:sz w:val="24"/>
          <w:szCs w:val="24"/>
        </w:rPr>
        <w:t xml:space="preserve"> with</w:t>
      </w:r>
      <w:r w:rsidRPr="009B2C15">
        <w:rPr>
          <w:rFonts w:ascii="Times New Roman" w:eastAsiaTheme="minorEastAsia" w:hAnsi="Times New Roman" w:cs="Times New Roman"/>
          <w:noProof/>
          <w:sz w:val="24"/>
          <w:szCs w:val="24"/>
        </w:rPr>
        <w:t xml:space="preserve"> bigger organisations</w:t>
      </w:r>
      <w:r>
        <w:rPr>
          <w:rStyle w:val="FootnoteReference"/>
          <w:rFonts w:eastAsiaTheme="minorEastAsia"/>
          <w:noProof/>
        </w:rPr>
        <w:footnoteReference w:id="217"/>
      </w:r>
      <w:r w:rsidRPr="009B2C15">
        <w:rPr>
          <w:rFonts w:ascii="Times New Roman" w:eastAsiaTheme="minorEastAsia" w:hAnsi="Times New Roman" w:cs="Times New Roman"/>
          <w:noProof/>
          <w:sz w:val="24"/>
          <w:szCs w:val="24"/>
        </w:rPr>
        <w:t>.</w:t>
      </w:r>
      <w:r>
        <w:rPr>
          <w:rFonts w:ascii="Times New Roman" w:eastAsiaTheme="minorEastAsia" w:hAnsi="Times New Roman" w:cs="Times New Roman"/>
          <w:noProof/>
          <w:sz w:val="24"/>
          <w:szCs w:val="24"/>
        </w:rPr>
        <w:t xml:space="preserve"> Donors </w:t>
      </w:r>
      <w:r w:rsidRPr="00556090">
        <w:rPr>
          <w:rFonts w:ascii="Times New Roman" w:eastAsiaTheme="minorEastAsia" w:hAnsi="Times New Roman" w:cs="Times New Roman"/>
          <w:noProof/>
          <w:sz w:val="24"/>
          <w:szCs w:val="24"/>
        </w:rPr>
        <w:t>also offer other forms of support, namely capacity building, technical expertise and mentorship</w:t>
      </w:r>
      <w:r w:rsidRPr="00556090">
        <w:rPr>
          <w:rStyle w:val="FootnoteReference"/>
          <w:rFonts w:eastAsiaTheme="minorEastAsia"/>
          <w:noProof/>
        </w:rPr>
        <w:footnoteReference w:id="218"/>
      </w:r>
      <w:r w:rsidRPr="00556090">
        <w:rPr>
          <w:rFonts w:ascii="Times New Roman" w:eastAsiaTheme="minorEastAsia" w:hAnsi="Times New Roman" w:cs="Times New Roman"/>
          <w:noProof/>
          <w:sz w:val="24"/>
          <w:szCs w:val="24"/>
        </w:rPr>
        <w:t xml:space="preserve">. </w:t>
      </w:r>
      <w:r>
        <w:rPr>
          <w:rFonts w:ascii="Times New Roman" w:eastAsiaTheme="minorEastAsia" w:hAnsi="Times New Roman" w:cs="Times New Roman"/>
          <w:noProof/>
          <w:sz w:val="24"/>
          <w:szCs w:val="24"/>
        </w:rPr>
        <w:t>F</w:t>
      </w:r>
      <w:r w:rsidRPr="00556090">
        <w:rPr>
          <w:rFonts w:ascii="Times New Roman" w:eastAsiaTheme="minorEastAsia" w:hAnsi="Times New Roman" w:cs="Times New Roman"/>
          <w:noProof/>
          <w:sz w:val="24"/>
          <w:szCs w:val="24"/>
        </w:rPr>
        <w:t xml:space="preserve">und operators </w:t>
      </w:r>
      <w:r>
        <w:rPr>
          <w:rFonts w:ascii="Times New Roman" w:eastAsiaTheme="minorEastAsia" w:hAnsi="Times New Roman" w:cs="Times New Roman"/>
          <w:noProof/>
          <w:sz w:val="24"/>
          <w:szCs w:val="24"/>
        </w:rPr>
        <w:t xml:space="preserve">are recruited </w:t>
      </w:r>
      <w:r w:rsidRPr="00556090">
        <w:rPr>
          <w:rFonts w:ascii="Times New Roman" w:eastAsiaTheme="minorEastAsia" w:hAnsi="Times New Roman" w:cs="Times New Roman"/>
          <w:noProof/>
          <w:sz w:val="24"/>
          <w:szCs w:val="24"/>
        </w:rPr>
        <w:t>from the beneficiary states based on the</w:t>
      </w:r>
      <w:r>
        <w:rPr>
          <w:rFonts w:ascii="Times New Roman" w:eastAsiaTheme="minorEastAsia" w:hAnsi="Times New Roman" w:cs="Times New Roman"/>
          <w:noProof/>
          <w:sz w:val="24"/>
          <w:szCs w:val="24"/>
        </w:rPr>
        <w:t>ir</w:t>
      </w:r>
      <w:r w:rsidRPr="00556090">
        <w:rPr>
          <w:rFonts w:ascii="Times New Roman" w:eastAsiaTheme="minorEastAsia" w:hAnsi="Times New Roman" w:cs="Times New Roman"/>
          <w:noProof/>
          <w:sz w:val="24"/>
          <w:szCs w:val="24"/>
        </w:rPr>
        <w:t xml:space="preserve"> </w:t>
      </w:r>
      <w:r w:rsidRPr="008D1BF0">
        <w:rPr>
          <w:rFonts w:ascii="Times New Roman" w:eastAsiaTheme="minorEastAsia" w:hAnsi="Times New Roman" w:cs="Times New Roman"/>
          <w:noProof/>
          <w:sz w:val="24"/>
          <w:szCs w:val="24"/>
        </w:rPr>
        <w:t>knowledge on the countries’ civil society to ensure that beneficiaries’ needs are met</w:t>
      </w:r>
      <w:r w:rsidRPr="008D1BF0">
        <w:rPr>
          <w:rStyle w:val="FootnoteReference"/>
          <w:rFonts w:eastAsiaTheme="minorEastAsia"/>
          <w:noProof/>
        </w:rPr>
        <w:footnoteReference w:id="219"/>
      </w:r>
      <w:r w:rsidRPr="008D1BF0">
        <w:rPr>
          <w:rFonts w:ascii="Times New Roman" w:eastAsiaTheme="minorEastAsia" w:hAnsi="Times New Roman" w:cs="Times New Roman"/>
          <w:noProof/>
          <w:sz w:val="24"/>
          <w:szCs w:val="24"/>
        </w:rPr>
        <w:t xml:space="preserve">. </w:t>
      </w:r>
    </w:p>
    <w:p w14:paraId="22D497C3" w14:textId="77777777" w:rsidR="002C0325" w:rsidRPr="008D1BF0" w:rsidRDefault="002C0325" w:rsidP="002C0325">
      <w:pPr>
        <w:jc w:val="both"/>
        <w:rPr>
          <w:rFonts w:ascii="Times New Roman" w:eastAsiaTheme="minorEastAsia" w:hAnsi="Times New Roman" w:cs="Times New Roman"/>
          <w:noProof/>
          <w:sz w:val="24"/>
          <w:szCs w:val="24"/>
        </w:rPr>
      </w:pPr>
      <w:r w:rsidRPr="000B6BFA">
        <w:rPr>
          <w:rFonts w:ascii="Times New Roman" w:eastAsiaTheme="minorEastAsia" w:hAnsi="Times New Roman" w:cs="Times New Roman"/>
          <w:b/>
          <w:bCs/>
          <w:noProof/>
          <w:sz w:val="24"/>
          <w:szCs w:val="24"/>
        </w:rPr>
        <w:t>The contributing donors also see potential for further simplification</w:t>
      </w:r>
      <w:r w:rsidRPr="008D1BF0">
        <w:rPr>
          <w:rFonts w:ascii="Times New Roman" w:eastAsiaTheme="minorEastAsia" w:hAnsi="Times New Roman" w:cs="Times New Roman"/>
          <w:noProof/>
          <w:sz w:val="24"/>
          <w:szCs w:val="24"/>
        </w:rPr>
        <w:t xml:space="preserve"> to reduce the administrative burden</w:t>
      </w:r>
      <w:r>
        <w:rPr>
          <w:rFonts w:ascii="Times New Roman" w:eastAsiaTheme="minorEastAsia" w:hAnsi="Times New Roman" w:cs="Times New Roman"/>
          <w:noProof/>
          <w:sz w:val="24"/>
          <w:szCs w:val="24"/>
        </w:rPr>
        <w:t xml:space="preserve"> and to</w:t>
      </w:r>
      <w:r w:rsidRPr="008D1BF0">
        <w:rPr>
          <w:rFonts w:ascii="Times New Roman" w:eastAsiaTheme="minorEastAsia" w:hAnsi="Times New Roman" w:cs="Times New Roman"/>
          <w:noProof/>
          <w:sz w:val="24"/>
          <w:szCs w:val="24"/>
        </w:rPr>
        <w:t xml:space="preserve"> provide for additional flexibility. They also refer to </w:t>
      </w:r>
      <w:r w:rsidRPr="008D1BF0">
        <w:rPr>
          <w:rFonts w:ascii="Times New Roman" w:eastAsiaTheme="minorEastAsia" w:hAnsi="Times New Roman" w:cs="Times New Roman"/>
          <w:b/>
          <w:bCs/>
          <w:noProof/>
          <w:sz w:val="24"/>
          <w:szCs w:val="24"/>
        </w:rPr>
        <w:t xml:space="preserve">ongoing </w:t>
      </w:r>
      <w:r>
        <w:rPr>
          <w:rFonts w:ascii="Times New Roman" w:eastAsiaTheme="minorEastAsia" w:hAnsi="Times New Roman" w:cs="Times New Roman"/>
          <w:b/>
          <w:bCs/>
          <w:noProof/>
          <w:sz w:val="24"/>
          <w:szCs w:val="24"/>
        </w:rPr>
        <w:t>reflection</w:t>
      </w:r>
      <w:r w:rsidRPr="008D1BF0">
        <w:rPr>
          <w:rFonts w:ascii="Times New Roman" w:eastAsiaTheme="minorEastAsia" w:hAnsi="Times New Roman" w:cs="Times New Roman"/>
          <w:b/>
          <w:bCs/>
          <w:noProof/>
          <w:sz w:val="24"/>
          <w:szCs w:val="24"/>
        </w:rPr>
        <w:t xml:space="preserve"> on how to ensure alignment </w:t>
      </w:r>
      <w:r>
        <w:rPr>
          <w:rFonts w:ascii="Times New Roman" w:eastAsiaTheme="minorEastAsia" w:hAnsi="Times New Roman" w:cs="Times New Roman"/>
          <w:b/>
          <w:bCs/>
          <w:noProof/>
          <w:sz w:val="24"/>
          <w:szCs w:val="24"/>
        </w:rPr>
        <w:t xml:space="preserve">between the </w:t>
      </w:r>
      <w:r w:rsidRPr="008D1BF0">
        <w:rPr>
          <w:rFonts w:ascii="Times New Roman" w:eastAsiaTheme="minorEastAsia" w:hAnsi="Times New Roman" w:cs="Times New Roman"/>
          <w:b/>
          <w:bCs/>
          <w:noProof/>
          <w:sz w:val="24"/>
          <w:szCs w:val="24"/>
        </w:rPr>
        <w:t xml:space="preserve">funded activities </w:t>
      </w:r>
      <w:r>
        <w:rPr>
          <w:rFonts w:ascii="Times New Roman" w:eastAsiaTheme="minorEastAsia" w:hAnsi="Times New Roman" w:cs="Times New Roman"/>
          <w:b/>
          <w:bCs/>
          <w:noProof/>
          <w:sz w:val="24"/>
          <w:szCs w:val="24"/>
        </w:rPr>
        <w:t>and</w:t>
      </w:r>
      <w:r w:rsidRPr="008D1BF0">
        <w:rPr>
          <w:rFonts w:ascii="Times New Roman" w:eastAsiaTheme="minorEastAsia" w:hAnsi="Times New Roman" w:cs="Times New Roman"/>
          <w:b/>
          <w:bCs/>
          <w:noProof/>
          <w:sz w:val="24"/>
          <w:szCs w:val="24"/>
        </w:rPr>
        <w:t xml:space="preserve"> the grants’ values</w:t>
      </w:r>
      <w:r w:rsidRPr="008D1BF0">
        <w:rPr>
          <w:rStyle w:val="FootnoteReference"/>
          <w:rFonts w:eastAsiaTheme="minorEastAsia"/>
          <w:noProof/>
        </w:rPr>
        <w:footnoteReference w:id="220"/>
      </w:r>
      <w:r w:rsidRPr="008D1BF0">
        <w:rPr>
          <w:rFonts w:ascii="Times New Roman" w:eastAsiaTheme="minorEastAsia" w:hAnsi="Times New Roman" w:cs="Times New Roman"/>
          <w:noProof/>
          <w:sz w:val="24"/>
          <w:szCs w:val="24"/>
        </w:rPr>
        <w:t xml:space="preserve">. There is also a need for assistance to improve participants’ capacities regarding </w:t>
      </w:r>
      <w:r>
        <w:rPr>
          <w:rFonts w:ascii="Times New Roman" w:eastAsiaTheme="minorEastAsia" w:hAnsi="Times New Roman" w:cs="Times New Roman"/>
          <w:noProof/>
          <w:sz w:val="24"/>
          <w:szCs w:val="24"/>
        </w:rPr>
        <w:t>fundamental</w:t>
      </w:r>
      <w:r w:rsidRPr="008D1BF0">
        <w:rPr>
          <w:rFonts w:ascii="Times New Roman" w:eastAsiaTheme="minorEastAsia" w:hAnsi="Times New Roman" w:cs="Times New Roman"/>
          <w:noProof/>
          <w:sz w:val="24"/>
          <w:szCs w:val="24"/>
        </w:rPr>
        <w:t xml:space="preserve"> rights in general</w:t>
      </w:r>
      <w:r w:rsidRPr="008D1BF0">
        <w:rPr>
          <w:rStyle w:val="FootnoteReference"/>
          <w:rFonts w:eastAsiaTheme="minorEastAsia"/>
          <w:noProof/>
        </w:rPr>
        <w:footnoteReference w:id="221"/>
      </w:r>
      <w:r w:rsidRPr="008D1BF0">
        <w:rPr>
          <w:rFonts w:ascii="Times New Roman" w:eastAsiaTheme="minorEastAsia" w:hAnsi="Times New Roman" w:cs="Times New Roman"/>
          <w:noProof/>
          <w:sz w:val="24"/>
          <w:szCs w:val="24"/>
        </w:rPr>
        <w:t xml:space="preserve">, as well as for </w:t>
      </w:r>
      <w:r w:rsidRPr="008D1BF0">
        <w:rPr>
          <w:rFonts w:ascii="Times New Roman" w:eastAsiaTheme="minorEastAsia" w:hAnsi="Times New Roman" w:cs="Times New Roman"/>
          <w:b/>
          <w:noProof/>
          <w:sz w:val="24"/>
          <w:szCs w:val="24"/>
        </w:rPr>
        <w:t>pre-application training and mentoring</w:t>
      </w:r>
      <w:r w:rsidRPr="008D1BF0">
        <w:rPr>
          <w:rFonts w:ascii="Times New Roman" w:eastAsiaTheme="minorEastAsia" w:hAnsi="Times New Roman" w:cs="Times New Roman"/>
          <w:noProof/>
          <w:sz w:val="24"/>
          <w:szCs w:val="24"/>
        </w:rPr>
        <w:t xml:space="preserve"> to assist in particular smaller organisations in applying for funding</w:t>
      </w:r>
      <w:r w:rsidRPr="008D1BF0">
        <w:rPr>
          <w:rStyle w:val="FootnoteReference"/>
          <w:rFonts w:eastAsiaTheme="minorEastAsia"/>
          <w:noProof/>
        </w:rPr>
        <w:footnoteReference w:id="222"/>
      </w:r>
      <w:r w:rsidRPr="008D1BF0">
        <w:rPr>
          <w:rFonts w:ascii="Times New Roman" w:eastAsiaTheme="minorEastAsia" w:hAnsi="Times New Roman" w:cs="Times New Roman"/>
          <w:noProof/>
          <w:sz w:val="24"/>
          <w:szCs w:val="24"/>
        </w:rPr>
        <w:t>.</w:t>
      </w:r>
    </w:p>
    <w:p w14:paraId="50CEE776" w14:textId="77777777" w:rsidR="002C0325" w:rsidRDefault="002C0325" w:rsidP="002C0325">
      <w:pPr>
        <w:jc w:val="both"/>
        <w:rPr>
          <w:rFonts w:ascii="Times New Roman" w:eastAsiaTheme="minorEastAsia" w:hAnsi="Times New Roman" w:cs="Times New Roman"/>
          <w:noProof/>
          <w:sz w:val="24"/>
          <w:szCs w:val="24"/>
        </w:rPr>
      </w:pPr>
      <w:r w:rsidRPr="008D1BF0">
        <w:rPr>
          <w:rFonts w:ascii="Times New Roman" w:eastAsiaTheme="minorEastAsia" w:hAnsi="Times New Roman" w:cs="Times New Roman"/>
          <w:noProof/>
          <w:sz w:val="24"/>
          <w:szCs w:val="24"/>
        </w:rPr>
        <w:t xml:space="preserve">The OHCHR refers to a </w:t>
      </w:r>
      <w:r w:rsidRPr="008D1BF0">
        <w:rPr>
          <w:rFonts w:ascii="Times New Roman" w:eastAsiaTheme="minorEastAsia" w:hAnsi="Times New Roman" w:cs="Times New Roman"/>
          <w:b/>
          <w:noProof/>
          <w:sz w:val="24"/>
          <w:szCs w:val="24"/>
        </w:rPr>
        <w:t>funding gap</w:t>
      </w:r>
      <w:r w:rsidRPr="008D1BF0">
        <w:rPr>
          <w:rFonts w:ascii="Times New Roman" w:eastAsiaTheme="minorEastAsia" w:hAnsi="Times New Roman" w:cs="Times New Roman"/>
          <w:noProof/>
          <w:sz w:val="24"/>
          <w:szCs w:val="24"/>
        </w:rPr>
        <w:t xml:space="preserve"> for its two funds, where the high numbers of applications, for which it has been unable to grant funding</w:t>
      </w:r>
      <w:r>
        <w:rPr>
          <w:rFonts w:ascii="Times New Roman" w:eastAsiaTheme="minorEastAsia" w:hAnsi="Times New Roman" w:cs="Times New Roman"/>
          <w:noProof/>
          <w:sz w:val="24"/>
          <w:szCs w:val="24"/>
        </w:rPr>
        <w:t xml:space="preserve">, reveals how thousands of victims are being left unattended despite their need for support. This demonstrates a </w:t>
      </w:r>
      <w:r w:rsidRPr="0086555E">
        <w:rPr>
          <w:rFonts w:ascii="Times New Roman" w:eastAsiaTheme="minorEastAsia" w:hAnsi="Times New Roman" w:cs="Times New Roman"/>
          <w:b/>
          <w:bCs/>
          <w:noProof/>
          <w:sz w:val="24"/>
          <w:szCs w:val="24"/>
        </w:rPr>
        <w:t>need to diversify funding sources</w:t>
      </w:r>
      <w:r>
        <w:rPr>
          <w:rFonts w:ascii="Times New Roman" w:eastAsiaTheme="minorEastAsia" w:hAnsi="Times New Roman" w:cs="Times New Roman"/>
          <w:noProof/>
          <w:sz w:val="24"/>
          <w:szCs w:val="24"/>
        </w:rPr>
        <w:t xml:space="preserve">, including with private donors. </w:t>
      </w:r>
    </w:p>
    <w:p w14:paraId="2C92689E" w14:textId="77777777" w:rsidR="002C0325" w:rsidRDefault="002C0325" w:rsidP="002C0325">
      <w:pPr>
        <w:jc w:val="both"/>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 xml:space="preserve">The CEB highlights the crucial </w:t>
      </w:r>
      <w:r w:rsidRPr="0094076A">
        <w:rPr>
          <w:rFonts w:ascii="Times New Roman" w:eastAsiaTheme="minorEastAsia" w:hAnsi="Times New Roman" w:cs="Times New Roman"/>
          <w:b/>
          <w:bCs/>
          <w:noProof/>
          <w:sz w:val="24"/>
          <w:szCs w:val="24"/>
        </w:rPr>
        <w:t>role of grants for developing social infrastructure</w:t>
      </w:r>
      <w:r>
        <w:rPr>
          <w:rFonts w:ascii="Times New Roman" w:eastAsiaTheme="minorEastAsia" w:hAnsi="Times New Roman" w:cs="Times New Roman"/>
          <w:noProof/>
          <w:sz w:val="24"/>
          <w:szCs w:val="24"/>
        </w:rPr>
        <w:t xml:space="preserve"> and care projects, since projects in these areas do not normally generate revenue. They are often implemented at regional and local levels, where the need for technical expertise might be greater. Rights </w:t>
      </w:r>
      <w:r w:rsidRPr="00600E01">
        <w:rPr>
          <w:rFonts w:ascii="Times New Roman" w:eastAsiaTheme="minorEastAsia" w:hAnsi="Times New Roman" w:cs="Times New Roman"/>
          <w:noProof/>
          <w:sz w:val="24"/>
          <w:szCs w:val="24"/>
        </w:rPr>
        <w:t xml:space="preserve">compliant granting may also have the beneficial effect of incentivizing projects to construct their activities in a manner that promotes fundamental rights. </w:t>
      </w:r>
    </w:p>
    <w:p w14:paraId="07C44B92" w14:textId="77777777" w:rsidR="002C0325" w:rsidRPr="001322AE" w:rsidRDefault="002C0325" w:rsidP="002C0325">
      <w:pPr>
        <w:jc w:val="both"/>
        <w:rPr>
          <w:rFonts w:ascii="Times New Roman" w:eastAsiaTheme="minorEastAsia" w:hAnsi="Times New Roman" w:cs="Times New Roman"/>
          <w:noProof/>
          <w:sz w:val="24"/>
          <w:szCs w:val="24"/>
        </w:rPr>
      </w:pPr>
      <w:r w:rsidRPr="000B6BFA">
        <w:rPr>
          <w:rFonts w:ascii="Times New Roman" w:eastAsiaTheme="minorEastAsia" w:hAnsi="Times New Roman" w:cs="Times New Roman"/>
          <w:b/>
          <w:bCs/>
          <w:noProof/>
          <w:sz w:val="24"/>
          <w:szCs w:val="24"/>
        </w:rPr>
        <w:t>Philanthropic foundations</w:t>
      </w:r>
      <w:r w:rsidRPr="008D1BF0">
        <w:rPr>
          <w:rFonts w:ascii="Times New Roman" w:eastAsiaTheme="minorEastAsia" w:hAnsi="Times New Roman" w:cs="Times New Roman"/>
          <w:noProof/>
          <w:sz w:val="24"/>
          <w:szCs w:val="24"/>
        </w:rPr>
        <w:t xml:space="preserve"> respond to funding needs by issuing a mix of project and capacity-building grants, funding organisations’ core activities, and supporting grass-roots organisations through re-granting and micro</w:t>
      </w:r>
      <w:r>
        <w:rPr>
          <w:rFonts w:ascii="Times New Roman" w:eastAsiaTheme="minorEastAsia" w:hAnsi="Times New Roman" w:cs="Times New Roman"/>
          <w:noProof/>
          <w:sz w:val="24"/>
          <w:szCs w:val="24"/>
        </w:rPr>
        <w:t>-g</w:t>
      </w:r>
      <w:r w:rsidRPr="008D1BF0">
        <w:rPr>
          <w:rFonts w:ascii="Times New Roman" w:eastAsiaTheme="minorEastAsia" w:hAnsi="Times New Roman" w:cs="Times New Roman"/>
          <w:noProof/>
          <w:sz w:val="24"/>
          <w:szCs w:val="24"/>
        </w:rPr>
        <w:t>ranting</w:t>
      </w:r>
      <w:r w:rsidRPr="008D1BF0">
        <w:rPr>
          <w:rStyle w:val="FootnoteReference"/>
          <w:rFonts w:eastAsiaTheme="minorEastAsia"/>
          <w:noProof/>
        </w:rPr>
        <w:footnoteReference w:id="223"/>
      </w:r>
      <w:r w:rsidRPr="008D1BF0">
        <w:rPr>
          <w:rFonts w:ascii="Times New Roman" w:eastAsiaTheme="minorEastAsia" w:hAnsi="Times New Roman" w:cs="Times New Roman"/>
          <w:noProof/>
          <w:sz w:val="24"/>
          <w:szCs w:val="24"/>
        </w:rPr>
        <w:t xml:space="preserve">. </w:t>
      </w:r>
    </w:p>
    <w:p w14:paraId="1093CF2C" w14:textId="77777777" w:rsidR="002C0325" w:rsidRPr="00815EE5" w:rsidRDefault="002C0325" w:rsidP="002C0325">
      <w:pPr>
        <w:pBdr>
          <w:top w:val="single" w:sz="4" w:space="1" w:color="auto"/>
          <w:left w:val="single" w:sz="4" w:space="4" w:color="auto"/>
          <w:bottom w:val="single" w:sz="4" w:space="1" w:color="auto"/>
          <w:right w:val="single" w:sz="4" w:space="4" w:color="auto"/>
        </w:pBdr>
        <w:jc w:val="both"/>
        <w:rPr>
          <w:rFonts w:ascii="Times New Roman" w:eastAsiaTheme="minorEastAsia" w:hAnsi="Times New Roman" w:cs="Times New Roman"/>
          <w:noProof/>
          <w:sz w:val="20"/>
          <w:szCs w:val="20"/>
        </w:rPr>
      </w:pPr>
      <w:r w:rsidRPr="00815EE5">
        <w:rPr>
          <w:rFonts w:ascii="Times New Roman" w:eastAsiaTheme="minorEastAsia" w:hAnsi="Times New Roman" w:cs="Times New Roman"/>
          <w:b/>
          <w:bCs/>
          <w:noProof/>
          <w:sz w:val="20"/>
          <w:szCs w:val="20"/>
        </w:rPr>
        <w:t>Philanthropy organisations are active in bringing fundamental rights funders together</w:t>
      </w:r>
      <w:r w:rsidRPr="00815EE5">
        <w:rPr>
          <w:rFonts w:ascii="Times New Roman" w:eastAsiaTheme="minorEastAsia" w:hAnsi="Times New Roman" w:cs="Times New Roman"/>
          <w:noProof/>
          <w:sz w:val="20"/>
          <w:szCs w:val="20"/>
        </w:rPr>
        <w:t>. This allows them to</w:t>
      </w:r>
      <w:r>
        <w:rPr>
          <w:rFonts w:ascii="Times New Roman" w:eastAsiaTheme="minorEastAsia" w:hAnsi="Times New Roman" w:cs="Times New Roman"/>
          <w:noProof/>
          <w:sz w:val="20"/>
          <w:szCs w:val="20"/>
        </w:rPr>
        <w:t xml:space="preserve"> </w:t>
      </w:r>
      <w:r w:rsidRPr="00815EE5">
        <w:rPr>
          <w:rFonts w:ascii="Times New Roman" w:eastAsiaTheme="minorEastAsia" w:hAnsi="Times New Roman" w:cs="Times New Roman"/>
          <w:noProof/>
          <w:sz w:val="20"/>
          <w:szCs w:val="20"/>
        </w:rPr>
        <w:t xml:space="preserve">share best funding practices </w:t>
      </w:r>
      <w:r>
        <w:rPr>
          <w:rFonts w:ascii="Times New Roman" w:eastAsiaTheme="minorEastAsia" w:hAnsi="Times New Roman" w:cs="Times New Roman"/>
          <w:noProof/>
          <w:sz w:val="20"/>
          <w:szCs w:val="20"/>
        </w:rPr>
        <w:t>so that these can</w:t>
      </w:r>
      <w:r w:rsidRPr="00815EE5">
        <w:rPr>
          <w:rFonts w:ascii="Times New Roman" w:eastAsiaTheme="minorEastAsia" w:hAnsi="Times New Roman" w:cs="Times New Roman"/>
          <w:noProof/>
          <w:sz w:val="20"/>
          <w:szCs w:val="20"/>
        </w:rPr>
        <w:t xml:space="preserve"> be scaled up and replicated, pool funds for specific causes or joint initiatives</w:t>
      </w:r>
      <w:r>
        <w:rPr>
          <w:rFonts w:ascii="Times New Roman" w:eastAsiaTheme="minorEastAsia" w:hAnsi="Times New Roman" w:cs="Times New Roman"/>
          <w:noProof/>
          <w:sz w:val="20"/>
          <w:szCs w:val="20"/>
        </w:rPr>
        <w:t>. They also</w:t>
      </w:r>
      <w:r w:rsidRPr="00815EE5">
        <w:rPr>
          <w:rFonts w:ascii="Times New Roman" w:eastAsiaTheme="minorEastAsia" w:hAnsi="Times New Roman" w:cs="Times New Roman"/>
          <w:noProof/>
          <w:sz w:val="20"/>
          <w:szCs w:val="20"/>
        </w:rPr>
        <w:t xml:space="preserve"> engag</w:t>
      </w:r>
      <w:r>
        <w:rPr>
          <w:rFonts w:ascii="Times New Roman" w:eastAsiaTheme="minorEastAsia" w:hAnsi="Times New Roman" w:cs="Times New Roman"/>
          <w:noProof/>
          <w:sz w:val="20"/>
          <w:szCs w:val="20"/>
        </w:rPr>
        <w:t>e</w:t>
      </w:r>
      <w:r w:rsidRPr="00815EE5">
        <w:rPr>
          <w:rFonts w:ascii="Times New Roman" w:eastAsiaTheme="minorEastAsia" w:hAnsi="Times New Roman" w:cs="Times New Roman"/>
          <w:noProof/>
          <w:sz w:val="20"/>
          <w:szCs w:val="20"/>
        </w:rPr>
        <w:t xml:space="preserve"> in research and information dissemination on funding opportunities and gaps and assess the impact of funding. Several of them also cooperate with other donors, including the EU.</w:t>
      </w:r>
    </w:p>
    <w:p w14:paraId="117F8821" w14:textId="77777777" w:rsidR="002C0325" w:rsidRPr="00815EE5" w:rsidRDefault="002C0325" w:rsidP="002C0325">
      <w:pPr>
        <w:pBdr>
          <w:top w:val="single" w:sz="4" w:space="1" w:color="auto"/>
          <w:left w:val="single" w:sz="4" w:space="4" w:color="auto"/>
          <w:bottom w:val="single" w:sz="4" w:space="1" w:color="auto"/>
          <w:right w:val="single" w:sz="4" w:space="4" w:color="auto"/>
        </w:pBdr>
        <w:jc w:val="both"/>
        <w:rPr>
          <w:rFonts w:ascii="Times New Roman" w:eastAsiaTheme="minorEastAsia" w:hAnsi="Times New Roman" w:cs="Times New Roman"/>
          <w:noProof/>
          <w:sz w:val="20"/>
          <w:szCs w:val="20"/>
        </w:rPr>
      </w:pPr>
      <w:r w:rsidRPr="00815EE5">
        <w:rPr>
          <w:rFonts w:ascii="Times New Roman" w:eastAsiaTheme="minorEastAsia" w:hAnsi="Times New Roman" w:cs="Times New Roman"/>
          <w:noProof/>
          <w:sz w:val="20"/>
          <w:szCs w:val="20"/>
        </w:rPr>
        <w:t xml:space="preserve">As one of its activities, </w:t>
      </w:r>
      <w:r w:rsidRPr="000B6BFA">
        <w:rPr>
          <w:rFonts w:ascii="Times New Roman" w:eastAsiaTheme="minorEastAsia" w:hAnsi="Times New Roman" w:cs="Times New Roman"/>
          <w:b/>
          <w:bCs/>
          <w:noProof/>
          <w:sz w:val="20"/>
          <w:szCs w:val="20"/>
        </w:rPr>
        <w:t xml:space="preserve">Philea </w:t>
      </w:r>
      <w:r w:rsidRPr="00815EE5">
        <w:rPr>
          <w:rFonts w:ascii="Times New Roman" w:eastAsiaTheme="minorEastAsia" w:hAnsi="Times New Roman" w:cs="Times New Roman"/>
          <w:noProof/>
          <w:sz w:val="20"/>
          <w:szCs w:val="20"/>
        </w:rPr>
        <w:t>connects its members through thematic networks. These include</w:t>
      </w:r>
      <w:r>
        <w:rPr>
          <w:rFonts w:ascii="Times New Roman" w:eastAsiaTheme="minorEastAsia" w:hAnsi="Times New Roman" w:cs="Times New Roman"/>
          <w:noProof/>
          <w:sz w:val="20"/>
          <w:szCs w:val="20"/>
        </w:rPr>
        <w:t xml:space="preserve"> for instance</w:t>
      </w:r>
      <w:r w:rsidRPr="00815EE5">
        <w:rPr>
          <w:rFonts w:ascii="Times New Roman" w:eastAsiaTheme="minorEastAsia" w:hAnsi="Times New Roman" w:cs="Times New Roman"/>
          <w:noProof/>
          <w:sz w:val="20"/>
          <w:szCs w:val="20"/>
        </w:rPr>
        <w:t>:</w:t>
      </w:r>
    </w:p>
    <w:p w14:paraId="649615DB" w14:textId="77777777" w:rsidR="002C0325" w:rsidRDefault="002C0325" w:rsidP="002C0325">
      <w:pPr>
        <w:pBdr>
          <w:top w:val="single" w:sz="4" w:space="1" w:color="auto"/>
          <w:left w:val="single" w:sz="4" w:space="4" w:color="auto"/>
          <w:bottom w:val="single" w:sz="4" w:space="1" w:color="auto"/>
          <w:right w:val="single" w:sz="4" w:space="4" w:color="auto"/>
        </w:pBdr>
        <w:jc w:val="both"/>
        <w:rPr>
          <w:rFonts w:ascii="Times New Roman" w:eastAsiaTheme="minorEastAsia" w:hAnsi="Times New Roman" w:cs="Times New Roman"/>
          <w:noProof/>
          <w:sz w:val="20"/>
          <w:szCs w:val="20"/>
        </w:rPr>
      </w:pPr>
      <w:r>
        <w:rPr>
          <w:rFonts w:ascii="Times New Roman" w:eastAsiaTheme="minorEastAsia" w:hAnsi="Times New Roman" w:cs="Times New Roman"/>
          <w:b/>
          <w:bCs/>
          <w:noProof/>
          <w:sz w:val="20"/>
          <w:szCs w:val="20"/>
        </w:rPr>
        <w:t xml:space="preserve">- </w:t>
      </w:r>
      <w:r w:rsidRPr="00815EE5">
        <w:rPr>
          <w:rFonts w:ascii="Times New Roman" w:eastAsiaTheme="minorEastAsia" w:hAnsi="Times New Roman" w:cs="Times New Roman"/>
          <w:b/>
          <w:bCs/>
          <w:noProof/>
          <w:sz w:val="20"/>
          <w:szCs w:val="20"/>
        </w:rPr>
        <w:t>The Philea Democracy Network</w:t>
      </w:r>
      <w:r w:rsidRPr="00815EE5">
        <w:rPr>
          <w:rFonts w:ascii="Times New Roman" w:eastAsiaTheme="minorEastAsia" w:hAnsi="Times New Roman" w:cs="Times New Roman"/>
          <w:noProof/>
          <w:sz w:val="20"/>
          <w:szCs w:val="20"/>
        </w:rPr>
        <w:t>, which facilitates collaborative actions on defending and developing democracy. It brings together foundations for discussion and knowledge exchange.</w:t>
      </w:r>
    </w:p>
    <w:p w14:paraId="6CD1516A" w14:textId="77777777" w:rsidR="002C0325" w:rsidRPr="00815EE5" w:rsidRDefault="002C0325" w:rsidP="002C0325">
      <w:pPr>
        <w:pBdr>
          <w:top w:val="single" w:sz="4" w:space="1" w:color="auto"/>
          <w:left w:val="single" w:sz="4" w:space="4" w:color="auto"/>
          <w:bottom w:val="single" w:sz="4" w:space="1" w:color="auto"/>
          <w:right w:val="single" w:sz="4" w:space="4" w:color="auto"/>
        </w:pBdr>
        <w:jc w:val="both"/>
        <w:rPr>
          <w:rFonts w:ascii="Times New Roman" w:eastAsiaTheme="minorEastAsia" w:hAnsi="Times New Roman" w:cs="Times New Roman"/>
          <w:noProof/>
          <w:sz w:val="20"/>
          <w:szCs w:val="20"/>
        </w:rPr>
      </w:pPr>
      <w:r>
        <w:rPr>
          <w:rFonts w:ascii="Times New Roman" w:eastAsiaTheme="minorEastAsia" w:hAnsi="Times New Roman" w:cs="Times New Roman"/>
          <w:b/>
          <w:bCs/>
          <w:noProof/>
          <w:sz w:val="20"/>
          <w:szCs w:val="20"/>
        </w:rPr>
        <w:t xml:space="preserve">- </w:t>
      </w:r>
      <w:r w:rsidRPr="00815EE5">
        <w:rPr>
          <w:rFonts w:ascii="Times New Roman" w:eastAsiaTheme="minorEastAsia" w:hAnsi="Times New Roman" w:cs="Times New Roman"/>
          <w:b/>
          <w:bCs/>
          <w:noProof/>
          <w:sz w:val="20"/>
          <w:szCs w:val="20"/>
        </w:rPr>
        <w:t>The Philea Journalism Funders Forum</w:t>
      </w:r>
      <w:r w:rsidRPr="00815EE5">
        <w:rPr>
          <w:rFonts w:ascii="Times New Roman" w:eastAsiaTheme="minorEastAsia" w:hAnsi="Times New Roman" w:cs="Times New Roman"/>
          <w:noProof/>
          <w:sz w:val="20"/>
          <w:szCs w:val="20"/>
        </w:rPr>
        <w:t xml:space="preserve"> allows funders to engage in an interactive and proactive manner on the issue of independent, quality journalism, and its role</w:t>
      </w:r>
      <w:r>
        <w:rPr>
          <w:rFonts w:ascii="Times New Roman" w:eastAsiaTheme="minorEastAsia" w:hAnsi="Times New Roman" w:cs="Times New Roman"/>
          <w:noProof/>
          <w:sz w:val="20"/>
          <w:szCs w:val="20"/>
        </w:rPr>
        <w:t xml:space="preserve"> </w:t>
      </w:r>
      <w:r w:rsidRPr="00815EE5">
        <w:rPr>
          <w:rFonts w:ascii="Times New Roman" w:eastAsiaTheme="minorEastAsia" w:hAnsi="Times New Roman" w:cs="Times New Roman"/>
          <w:noProof/>
          <w:sz w:val="20"/>
          <w:szCs w:val="20"/>
        </w:rPr>
        <w:t>in supporting democracy</w:t>
      </w:r>
      <w:r w:rsidRPr="00815EE5">
        <w:rPr>
          <w:rStyle w:val="FootnoteReference"/>
          <w:rFonts w:eastAsiaTheme="minorEastAsia"/>
          <w:noProof/>
          <w:sz w:val="20"/>
          <w:szCs w:val="20"/>
        </w:rPr>
        <w:footnoteReference w:id="224"/>
      </w:r>
      <w:r w:rsidRPr="00815EE5">
        <w:rPr>
          <w:rFonts w:ascii="Times New Roman" w:eastAsiaTheme="minorEastAsia" w:hAnsi="Times New Roman" w:cs="Times New Roman"/>
          <w:noProof/>
          <w:sz w:val="20"/>
          <w:szCs w:val="20"/>
        </w:rPr>
        <w:t>.</w:t>
      </w:r>
    </w:p>
    <w:p w14:paraId="352D4E10" w14:textId="77777777" w:rsidR="002C0325" w:rsidRDefault="002C0325" w:rsidP="002C0325">
      <w:pPr>
        <w:jc w:val="both"/>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As regards joint funding, t</w:t>
      </w:r>
      <w:r w:rsidRPr="004D275B">
        <w:rPr>
          <w:rFonts w:ascii="Times New Roman" w:eastAsiaTheme="minorEastAsia" w:hAnsi="Times New Roman" w:cs="Times New Roman"/>
          <w:noProof/>
          <w:sz w:val="24"/>
          <w:szCs w:val="24"/>
        </w:rPr>
        <w:t>he OHCHR operates “</w:t>
      </w:r>
      <w:r w:rsidRPr="00D43BC9">
        <w:rPr>
          <w:rFonts w:ascii="Times New Roman" w:eastAsiaTheme="minorEastAsia" w:hAnsi="Times New Roman" w:cs="Times New Roman"/>
          <w:b/>
          <w:noProof/>
          <w:sz w:val="24"/>
          <w:szCs w:val="24"/>
        </w:rPr>
        <w:t>multi-donor actions</w:t>
      </w:r>
      <w:r w:rsidRPr="004D275B">
        <w:rPr>
          <w:rFonts w:ascii="Times New Roman" w:eastAsiaTheme="minorEastAsia" w:hAnsi="Times New Roman" w:cs="Times New Roman"/>
          <w:noProof/>
          <w:sz w:val="24"/>
          <w:szCs w:val="24"/>
        </w:rPr>
        <w:t>”, where a financial contribution from the EU is merged with other donors’ funding for the same purpose</w:t>
      </w:r>
      <w:r w:rsidRPr="004D275B">
        <w:rPr>
          <w:rStyle w:val="FootnoteReference"/>
          <w:rFonts w:eastAsiaTheme="minorEastAsia"/>
          <w:noProof/>
        </w:rPr>
        <w:footnoteReference w:id="225"/>
      </w:r>
      <w:r w:rsidRPr="004D275B">
        <w:rPr>
          <w:rFonts w:ascii="Times New Roman" w:eastAsiaTheme="minorEastAsia" w:hAnsi="Times New Roman" w:cs="Times New Roman"/>
          <w:noProof/>
          <w:sz w:val="24"/>
          <w:szCs w:val="24"/>
        </w:rPr>
        <w:t xml:space="preserve">. USAID </w:t>
      </w:r>
      <w:r>
        <w:rPr>
          <w:rFonts w:ascii="Times New Roman" w:eastAsiaTheme="minorEastAsia" w:hAnsi="Times New Roman" w:cs="Times New Roman"/>
          <w:noProof/>
          <w:sz w:val="24"/>
          <w:szCs w:val="24"/>
        </w:rPr>
        <w:t>reports having</w:t>
      </w:r>
      <w:r w:rsidRPr="004D275B">
        <w:rPr>
          <w:rFonts w:ascii="Times New Roman" w:eastAsiaTheme="minorEastAsia" w:hAnsi="Times New Roman" w:cs="Times New Roman"/>
          <w:noProof/>
          <w:sz w:val="24"/>
          <w:szCs w:val="24"/>
        </w:rPr>
        <w:t xml:space="preserve"> partnered with the EU, Oak Foundation, Civitates, and other donors in </w:t>
      </w:r>
      <w:r>
        <w:rPr>
          <w:rFonts w:ascii="Times New Roman" w:eastAsiaTheme="minorEastAsia" w:hAnsi="Times New Roman" w:cs="Times New Roman"/>
          <w:noProof/>
          <w:sz w:val="24"/>
          <w:szCs w:val="24"/>
        </w:rPr>
        <w:t xml:space="preserve">the </w:t>
      </w:r>
      <w:r w:rsidRPr="004D275B">
        <w:rPr>
          <w:rFonts w:ascii="Times New Roman" w:eastAsiaTheme="minorEastAsia" w:hAnsi="Times New Roman" w:cs="Times New Roman"/>
          <w:noProof/>
          <w:sz w:val="24"/>
          <w:szCs w:val="24"/>
        </w:rPr>
        <w:t>provision of funding</w:t>
      </w:r>
      <w:r w:rsidRPr="004D275B">
        <w:rPr>
          <w:rStyle w:val="FootnoteReference"/>
          <w:rFonts w:eastAsiaTheme="minorEastAsia"/>
          <w:noProof/>
        </w:rPr>
        <w:footnoteReference w:id="226"/>
      </w:r>
      <w:r>
        <w:rPr>
          <w:rFonts w:ascii="Times New Roman" w:eastAsiaTheme="minorEastAsia" w:hAnsi="Times New Roman" w:cs="Times New Roman"/>
          <w:noProof/>
          <w:sz w:val="24"/>
          <w:szCs w:val="24"/>
        </w:rPr>
        <w:t>, and the Council of Europe increasingly supports reforms in the EU Member States by providing expertise in projects funded from the TSI mechanism</w:t>
      </w:r>
      <w:r>
        <w:rPr>
          <w:rStyle w:val="FootnoteReference"/>
          <w:rFonts w:eastAsiaTheme="minorEastAsia"/>
          <w:noProof/>
        </w:rPr>
        <w:footnoteReference w:id="227"/>
      </w:r>
      <w:r>
        <w:rPr>
          <w:rFonts w:ascii="Times New Roman" w:eastAsiaTheme="minorEastAsia" w:hAnsi="Times New Roman" w:cs="Times New Roman"/>
          <w:noProof/>
          <w:sz w:val="24"/>
          <w:szCs w:val="24"/>
        </w:rPr>
        <w:t xml:space="preserve">. </w:t>
      </w:r>
    </w:p>
    <w:p w14:paraId="26188DB6" w14:textId="77777777" w:rsidR="002C0325" w:rsidRPr="00600E01" w:rsidRDefault="002C0325" w:rsidP="002C0325">
      <w:pPr>
        <w:jc w:val="both"/>
        <w:rPr>
          <w:noProof/>
        </w:rPr>
      </w:pPr>
      <w:r w:rsidRPr="008803EF">
        <w:rPr>
          <w:rFonts w:ascii="Times New Roman" w:eastAsia="Times New Roman" w:hAnsi="Times New Roman"/>
          <w:noProof/>
          <w:sz w:val="24"/>
          <w:szCs w:val="24"/>
        </w:rPr>
        <w:t>Th</w:t>
      </w:r>
      <w:r>
        <w:rPr>
          <w:rFonts w:ascii="Times New Roman" w:eastAsia="Times New Roman" w:hAnsi="Times New Roman"/>
          <w:noProof/>
          <w:sz w:val="24"/>
          <w:szCs w:val="24"/>
        </w:rPr>
        <w:t>is</w:t>
      </w:r>
      <w:r w:rsidRPr="008803EF">
        <w:rPr>
          <w:rFonts w:ascii="Times New Roman" w:eastAsia="Times New Roman" w:hAnsi="Times New Roman"/>
          <w:noProof/>
          <w:sz w:val="24"/>
          <w:szCs w:val="24"/>
        </w:rPr>
        <w:t xml:space="preserve"> report show</w:t>
      </w:r>
      <w:r>
        <w:rPr>
          <w:rFonts w:ascii="Times New Roman" w:eastAsia="Times New Roman" w:hAnsi="Times New Roman"/>
          <w:noProof/>
          <w:sz w:val="24"/>
          <w:szCs w:val="24"/>
        </w:rPr>
        <w:t>s</w:t>
      </w:r>
      <w:r w:rsidRPr="008803EF">
        <w:rPr>
          <w:rFonts w:ascii="Times New Roman" w:eastAsia="Times New Roman" w:hAnsi="Times New Roman"/>
          <w:noProof/>
          <w:sz w:val="24"/>
          <w:szCs w:val="24"/>
        </w:rPr>
        <w:t xml:space="preserve"> the mutually </w:t>
      </w:r>
      <w:r w:rsidRPr="00861063">
        <w:rPr>
          <w:rFonts w:ascii="Times New Roman" w:eastAsia="Times New Roman" w:hAnsi="Times New Roman"/>
          <w:noProof/>
          <w:sz w:val="24"/>
          <w:szCs w:val="24"/>
        </w:rPr>
        <w:t>strengthening nature of the EU’s and other donors’ funding efforts in the field of fundamental rights.</w:t>
      </w:r>
      <w:r w:rsidRPr="000B6BFA" w:rsidDel="005B43FC">
        <w:rPr>
          <w:rFonts w:ascii="Times New Roman" w:eastAsiaTheme="minorEastAsia" w:hAnsi="Times New Roman" w:cs="Times New Roman"/>
          <w:noProof/>
          <w:sz w:val="24"/>
          <w:szCs w:val="24"/>
        </w:rPr>
        <w:t xml:space="preserve"> </w:t>
      </w:r>
      <w:r w:rsidRPr="00861063">
        <w:rPr>
          <w:rFonts w:ascii="Times New Roman" w:eastAsiaTheme="minorEastAsia" w:hAnsi="Times New Roman" w:cs="Times New Roman"/>
          <w:noProof/>
          <w:sz w:val="24"/>
          <w:szCs w:val="24"/>
        </w:rPr>
        <w:t>In follow-up to the 2023 seminar on supporting civil society through funding</w:t>
      </w:r>
      <w:r w:rsidRPr="00F33826">
        <w:rPr>
          <w:rStyle w:val="FootnoteReference"/>
          <w:rFonts w:eastAsiaTheme="minorEastAsia"/>
          <w:noProof/>
        </w:rPr>
        <w:footnoteReference w:id="228"/>
      </w:r>
      <w:r w:rsidRPr="00861063">
        <w:rPr>
          <w:rFonts w:ascii="Times New Roman" w:eastAsiaTheme="minorEastAsia" w:hAnsi="Times New Roman" w:cs="Times New Roman"/>
          <w:noProof/>
          <w:sz w:val="24"/>
          <w:szCs w:val="24"/>
        </w:rPr>
        <w:t xml:space="preserve">, </w:t>
      </w:r>
      <w:r w:rsidRPr="00861063">
        <w:rPr>
          <w:rFonts w:ascii="Times New Roman" w:eastAsiaTheme="minorEastAsia" w:hAnsi="Times New Roman" w:cs="Times New Roman"/>
          <w:b/>
          <w:bCs/>
          <w:noProof/>
          <w:sz w:val="24"/>
          <w:szCs w:val="24"/>
        </w:rPr>
        <w:t>informal exchange meetings</w:t>
      </w:r>
      <w:r w:rsidRPr="000B6BFA">
        <w:rPr>
          <w:rFonts w:ascii="Times New Roman" w:eastAsiaTheme="minorEastAsia" w:hAnsi="Times New Roman" w:cs="Times New Roman"/>
          <w:b/>
          <w:bCs/>
          <w:noProof/>
          <w:sz w:val="24"/>
          <w:szCs w:val="24"/>
        </w:rPr>
        <w:t xml:space="preserve"> on fundamental rights funding</w:t>
      </w:r>
      <w:r w:rsidRPr="000B6BFA">
        <w:rPr>
          <w:rFonts w:ascii="Times New Roman" w:eastAsiaTheme="minorEastAsia" w:hAnsi="Times New Roman" w:cs="Times New Roman"/>
          <w:noProof/>
          <w:sz w:val="24"/>
          <w:szCs w:val="24"/>
        </w:rPr>
        <w:t xml:space="preserve"> </w:t>
      </w:r>
      <w:r w:rsidRPr="00861063">
        <w:rPr>
          <w:rFonts w:ascii="Times New Roman" w:eastAsiaTheme="minorEastAsia" w:hAnsi="Times New Roman" w:cs="Times New Roman"/>
          <w:noProof/>
          <w:sz w:val="24"/>
          <w:szCs w:val="24"/>
        </w:rPr>
        <w:t>have been set up between public and private donors</w:t>
      </w:r>
      <w:r w:rsidRPr="000B6BFA">
        <w:rPr>
          <w:rFonts w:ascii="Times New Roman" w:eastAsiaTheme="minorEastAsia" w:hAnsi="Times New Roman" w:cs="Times New Roman"/>
          <w:noProof/>
          <w:sz w:val="24"/>
          <w:szCs w:val="24"/>
        </w:rPr>
        <w:t>, including the Commission</w:t>
      </w:r>
      <w:r w:rsidRPr="00F33826">
        <w:rPr>
          <w:rStyle w:val="FootnoteReference"/>
          <w:rFonts w:eastAsiaTheme="minorEastAsia"/>
          <w:noProof/>
        </w:rPr>
        <w:footnoteReference w:id="229"/>
      </w:r>
      <w:r w:rsidRPr="00861063">
        <w:rPr>
          <w:rFonts w:ascii="Times New Roman" w:eastAsiaTheme="minorEastAsia" w:hAnsi="Times New Roman" w:cs="Times New Roman"/>
          <w:noProof/>
          <w:sz w:val="24"/>
          <w:szCs w:val="24"/>
        </w:rPr>
        <w:t>.</w:t>
      </w:r>
      <w:r w:rsidRPr="00861063">
        <w:rPr>
          <w:rFonts w:ascii="Times New Roman" w:eastAsia="Times New Roman" w:hAnsi="Times New Roman"/>
          <w:noProof/>
          <w:sz w:val="24"/>
          <w:szCs w:val="24"/>
        </w:rPr>
        <w:t xml:space="preserve"> Continued exchanges remain necessary to ensure the compatibility of efforts and the exchange of information and best funding practice in line with beneficiaries’ needs.</w:t>
      </w:r>
    </w:p>
    <w:p w14:paraId="1701470D" w14:textId="77777777" w:rsidR="002C0325" w:rsidRDefault="002C0325" w:rsidP="002C0325">
      <w:pPr>
        <w:pStyle w:val="Headerlevel2"/>
        <w:rPr>
          <w:lang w:val="en-GB"/>
        </w:rPr>
      </w:pPr>
      <w:r w:rsidRPr="00F47FE7">
        <w:t xml:space="preserve">Funding </w:t>
      </w:r>
      <w:r>
        <w:rPr>
          <w:lang w:val="en-GB"/>
        </w:rPr>
        <w:t>for human rights in external policies</w:t>
      </w:r>
    </w:p>
    <w:p w14:paraId="270F7F96" w14:textId="637687C6" w:rsidR="002C0325" w:rsidRPr="00B5772C" w:rsidRDefault="002C0325" w:rsidP="002C0325">
      <w:pPr>
        <w:jc w:val="both"/>
        <w:rPr>
          <w:rFonts w:ascii="Times New Roman" w:hAnsi="Times New Roman" w:cs="Times New Roman"/>
          <w:noProof/>
          <w:sz w:val="24"/>
          <w:szCs w:val="24"/>
        </w:rPr>
      </w:pPr>
      <w:bookmarkStart w:id="28" w:name="_Toc168040304"/>
      <w:r w:rsidRPr="00B5772C">
        <w:rPr>
          <w:rFonts w:ascii="Times New Roman" w:hAnsi="Times New Roman" w:cs="Times New Roman"/>
          <w:noProof/>
          <w:sz w:val="24"/>
          <w:szCs w:val="24"/>
        </w:rPr>
        <w:t>In its external action, the EU uses a range of tools to uphold human rights, democracy and the rule of law</w:t>
      </w:r>
      <w:r>
        <w:rPr>
          <w:rFonts w:ascii="Times New Roman" w:hAnsi="Times New Roman" w:cs="Times New Roman"/>
          <w:noProof/>
          <w:sz w:val="24"/>
          <w:szCs w:val="24"/>
        </w:rPr>
        <w:t xml:space="preserve"> both in its bilateral relations and in multilateral fora, primarily </w:t>
      </w:r>
      <w:r w:rsidRPr="00B5772C">
        <w:rPr>
          <w:rFonts w:ascii="Times New Roman" w:hAnsi="Times New Roman" w:cs="Times New Roman"/>
          <w:noProof/>
          <w:sz w:val="24"/>
          <w:szCs w:val="24"/>
        </w:rPr>
        <w:t xml:space="preserve">from the </w:t>
      </w:r>
      <w:r w:rsidRPr="00B5772C">
        <w:rPr>
          <w:rFonts w:ascii="Times New Roman" w:hAnsi="Times New Roman" w:cs="Times New Roman"/>
          <w:b/>
          <w:bCs/>
          <w:noProof/>
          <w:sz w:val="24"/>
          <w:szCs w:val="24"/>
        </w:rPr>
        <w:t xml:space="preserve">Neighbourhood, Development and International Cooperation instrument </w:t>
      </w:r>
      <w:bookmarkStart w:id="29" w:name="_Hlk168579226"/>
      <w:r w:rsidRPr="00B5772C">
        <w:rPr>
          <w:rFonts w:ascii="Times New Roman" w:hAnsi="Times New Roman" w:cs="Times New Roman"/>
          <w:b/>
          <w:bCs/>
          <w:noProof/>
          <w:sz w:val="24"/>
          <w:szCs w:val="24"/>
        </w:rPr>
        <w:t>(NDICI) – Global Europe</w:t>
      </w:r>
      <w:bookmarkEnd w:id="29"/>
      <w:r w:rsidRPr="000B6BFA">
        <w:rPr>
          <w:rFonts w:ascii="Times New Roman" w:hAnsi="Times New Roman" w:cs="Times New Roman"/>
          <w:noProof/>
          <w:sz w:val="24"/>
          <w:szCs w:val="24"/>
        </w:rPr>
        <w:t>.</w:t>
      </w:r>
      <w:r w:rsidRPr="002B3837">
        <w:rPr>
          <w:rFonts w:ascii="Times New Roman" w:hAnsi="Times New Roman" w:cs="Times New Roman"/>
          <w:noProof/>
          <w:sz w:val="24"/>
          <w:szCs w:val="24"/>
        </w:rPr>
        <w:t xml:space="preserve"> </w:t>
      </w:r>
      <w:r>
        <w:rPr>
          <w:rFonts w:ascii="Times New Roman" w:hAnsi="Times New Roman" w:cs="Times New Roman"/>
          <w:noProof/>
          <w:sz w:val="24"/>
          <w:szCs w:val="24"/>
        </w:rPr>
        <w:t>T</w:t>
      </w:r>
      <w:r w:rsidRPr="00B5772C">
        <w:rPr>
          <w:rFonts w:ascii="Times New Roman" w:hAnsi="Times New Roman" w:cs="Times New Roman"/>
          <w:noProof/>
          <w:sz w:val="24"/>
          <w:szCs w:val="24"/>
        </w:rPr>
        <w:t>he NDICI includes a “</w:t>
      </w:r>
      <w:r w:rsidRPr="00B5772C">
        <w:rPr>
          <w:rFonts w:ascii="Times New Roman" w:hAnsi="Times New Roman" w:cs="Times New Roman"/>
          <w:b/>
          <w:bCs/>
          <w:noProof/>
          <w:sz w:val="24"/>
          <w:szCs w:val="24"/>
        </w:rPr>
        <w:t>Human Rights and Democracy Thematic Programme</w:t>
      </w:r>
      <w:r w:rsidRPr="00B5772C">
        <w:rPr>
          <w:rFonts w:ascii="Times New Roman" w:hAnsi="Times New Roman" w:cs="Times New Roman"/>
          <w:noProof/>
          <w:sz w:val="24"/>
          <w:szCs w:val="24"/>
        </w:rPr>
        <w:t xml:space="preserve">”, </w:t>
      </w:r>
      <w:r>
        <w:rPr>
          <w:rFonts w:ascii="Times New Roman" w:hAnsi="Times New Roman" w:cs="Times New Roman"/>
          <w:noProof/>
          <w:sz w:val="24"/>
          <w:szCs w:val="24"/>
        </w:rPr>
        <w:t>t</w:t>
      </w:r>
      <w:r w:rsidRPr="00B5772C">
        <w:rPr>
          <w:rFonts w:ascii="Times New Roman" w:hAnsi="Times New Roman" w:cs="Times New Roman"/>
          <w:noProof/>
          <w:sz w:val="24"/>
          <w:szCs w:val="24"/>
        </w:rPr>
        <w:t>otalling EUR 1,5 billion for the 2021-2027 period</w:t>
      </w:r>
      <w:r>
        <w:rPr>
          <w:rFonts w:ascii="Times New Roman" w:hAnsi="Times New Roman" w:cs="Times New Roman"/>
          <w:noProof/>
          <w:sz w:val="24"/>
          <w:szCs w:val="24"/>
        </w:rPr>
        <w:t xml:space="preserve">. It contributes to </w:t>
      </w:r>
      <w:r w:rsidR="006B7DAE">
        <w:rPr>
          <w:rFonts w:ascii="Times New Roman" w:hAnsi="Times New Roman" w:cs="Times New Roman"/>
          <w:noProof/>
          <w:sz w:val="24"/>
          <w:szCs w:val="24"/>
        </w:rPr>
        <w:t>i</w:t>
      </w:r>
      <w:r w:rsidRPr="00B5772C">
        <w:rPr>
          <w:rFonts w:ascii="Times New Roman" w:hAnsi="Times New Roman" w:cs="Times New Roman"/>
          <w:noProof/>
          <w:sz w:val="24"/>
          <w:szCs w:val="24"/>
        </w:rPr>
        <w:t>mplement</w:t>
      </w:r>
      <w:r>
        <w:rPr>
          <w:rFonts w:ascii="Times New Roman" w:hAnsi="Times New Roman" w:cs="Times New Roman"/>
          <w:noProof/>
          <w:sz w:val="24"/>
          <w:szCs w:val="24"/>
        </w:rPr>
        <w:t>ing</w:t>
      </w:r>
      <w:r w:rsidRPr="00B5772C">
        <w:rPr>
          <w:rFonts w:ascii="Times New Roman" w:hAnsi="Times New Roman" w:cs="Times New Roman"/>
          <w:noProof/>
          <w:sz w:val="24"/>
          <w:szCs w:val="24"/>
        </w:rPr>
        <w:t xml:space="preserve"> the priorities of the EU Action Plan on Human Rights and Democracy 2020-202</w:t>
      </w:r>
      <w:r>
        <w:rPr>
          <w:rFonts w:ascii="Times New Roman" w:hAnsi="Times New Roman" w:cs="Times New Roman"/>
          <w:noProof/>
          <w:sz w:val="24"/>
          <w:szCs w:val="24"/>
        </w:rPr>
        <w:t>7</w:t>
      </w:r>
      <w:r w:rsidRPr="00B5772C">
        <w:rPr>
          <w:rStyle w:val="FootnoteReference"/>
          <w:noProof/>
        </w:rPr>
        <w:footnoteReference w:id="230"/>
      </w:r>
      <w:r w:rsidRPr="00B5772C">
        <w:rPr>
          <w:rFonts w:ascii="Times New Roman" w:hAnsi="Times New Roman" w:cs="Times New Roman"/>
          <w:noProof/>
          <w:sz w:val="24"/>
          <w:szCs w:val="24"/>
        </w:rPr>
        <w:t>, the UN Sustainable Development Goals</w:t>
      </w:r>
      <w:r w:rsidRPr="00B5772C">
        <w:rPr>
          <w:rStyle w:val="FootnoteReference"/>
          <w:noProof/>
        </w:rPr>
        <w:footnoteReference w:id="231"/>
      </w:r>
      <w:r w:rsidRPr="00B5772C">
        <w:rPr>
          <w:rFonts w:ascii="Times New Roman" w:hAnsi="Times New Roman" w:cs="Times New Roman"/>
          <w:noProof/>
          <w:sz w:val="24"/>
          <w:szCs w:val="24"/>
        </w:rPr>
        <w:t xml:space="preserve"> and the objectives of the Green Deal as regards the impact of environmental </w:t>
      </w:r>
      <w:r w:rsidRPr="00014A37">
        <w:rPr>
          <w:rFonts w:ascii="Times New Roman" w:hAnsi="Times New Roman" w:cs="Times New Roman"/>
          <w:noProof/>
          <w:sz w:val="24"/>
          <w:szCs w:val="24"/>
        </w:rPr>
        <w:t>degradation and climate change on human rights, as well as supports electoral observation missions.</w:t>
      </w:r>
      <w:bookmarkEnd w:id="28"/>
      <w:r>
        <w:rPr>
          <w:rFonts w:ascii="Times New Roman" w:hAnsi="Times New Roman" w:cs="Times New Roman"/>
          <w:noProof/>
          <w:sz w:val="24"/>
          <w:szCs w:val="24"/>
        </w:rPr>
        <w:t xml:space="preserve"> </w:t>
      </w:r>
    </w:p>
    <w:p w14:paraId="2DB5B86C" w14:textId="4C18ABE6" w:rsidR="001607D9" w:rsidRPr="00E21E46" w:rsidRDefault="002C0325" w:rsidP="002C0325">
      <w:pPr>
        <w:jc w:val="both"/>
        <w:rPr>
          <w:rFonts w:ascii="Times New Roman" w:hAnsi="Times New Roman" w:cs="Times New Roman"/>
          <w:noProof/>
          <w:sz w:val="24"/>
          <w:szCs w:val="24"/>
        </w:rPr>
      </w:pPr>
      <w:r>
        <w:rPr>
          <w:rFonts w:ascii="Times New Roman" w:hAnsi="Times New Roman"/>
          <w:noProof/>
          <w:sz w:val="24"/>
          <w:szCs w:val="24"/>
        </w:rPr>
        <w:t>Approximately half of this funding is managed by EU delegations. Projects promote civil and political and social, economic and cultural rights in partner countries and support human rights bodies</w:t>
      </w:r>
      <w:r>
        <w:rPr>
          <w:rStyle w:val="FootnoteReference"/>
          <w:noProof/>
        </w:rPr>
        <w:footnoteReference w:id="232"/>
      </w:r>
      <w:r>
        <w:rPr>
          <w:rFonts w:ascii="Times New Roman" w:hAnsi="Times New Roman"/>
          <w:noProof/>
          <w:sz w:val="24"/>
          <w:szCs w:val="24"/>
        </w:rPr>
        <w:t xml:space="preserve">and democracy worldwide. </w:t>
      </w:r>
      <w:r w:rsidRPr="006C2E80">
        <w:rPr>
          <w:rFonts w:ascii="Times New Roman" w:hAnsi="Times New Roman" w:cs="Times New Roman"/>
          <w:noProof/>
          <w:sz w:val="24"/>
          <w:szCs w:val="24"/>
        </w:rPr>
        <w:t xml:space="preserve">Further thematic programmes under NDICI fund actions in support of children’s rights, gender equality, social rights, </w:t>
      </w:r>
      <w:r w:rsidR="001607D9" w:rsidRPr="001607D9">
        <w:rPr>
          <w:rFonts w:ascii="Times New Roman" w:hAnsi="Times New Roman" w:cs="Times New Roman"/>
          <w:noProof/>
          <w:sz w:val="24"/>
          <w:szCs w:val="24"/>
        </w:rPr>
        <w:t>rights of migrants and forcibly displaced persons</w:t>
      </w:r>
      <w:r w:rsidR="001607D9">
        <w:rPr>
          <w:rFonts w:ascii="Times New Roman" w:hAnsi="Times New Roman" w:cs="Times New Roman"/>
          <w:noProof/>
          <w:sz w:val="24"/>
          <w:szCs w:val="24"/>
        </w:rPr>
        <w:t>,</w:t>
      </w:r>
      <w:r w:rsidR="001607D9" w:rsidRPr="001607D9">
        <w:rPr>
          <w:rFonts w:ascii="Times New Roman" w:hAnsi="Times New Roman" w:cs="Times New Roman"/>
          <w:noProof/>
          <w:sz w:val="24"/>
          <w:szCs w:val="24"/>
        </w:rPr>
        <w:t xml:space="preserve"> </w:t>
      </w:r>
      <w:r w:rsidRPr="006C2E80">
        <w:rPr>
          <w:rFonts w:ascii="Times New Roman" w:hAnsi="Times New Roman" w:cs="Times New Roman"/>
          <w:noProof/>
          <w:sz w:val="24"/>
          <w:szCs w:val="24"/>
        </w:rPr>
        <w:t>health and education</w:t>
      </w:r>
      <w:r w:rsidRPr="008C71D7">
        <w:rPr>
          <w:rStyle w:val="FootnoteReference"/>
          <w:noProof/>
        </w:rPr>
        <w:footnoteReference w:id="233"/>
      </w:r>
      <w:r w:rsidRPr="006C2E80">
        <w:rPr>
          <w:rFonts w:ascii="Times New Roman" w:hAnsi="Times New Roman" w:cs="Times New Roman"/>
          <w:noProof/>
          <w:sz w:val="24"/>
          <w:szCs w:val="24"/>
        </w:rPr>
        <w:t>, and a programme supports the maintenance of an enabling environment for civil society</w:t>
      </w:r>
      <w:r w:rsidRPr="008C71D7">
        <w:rPr>
          <w:rStyle w:val="FootnoteReference"/>
          <w:noProof/>
        </w:rPr>
        <w:footnoteReference w:id="234"/>
      </w:r>
      <w:r w:rsidRPr="006C2E80">
        <w:rPr>
          <w:rFonts w:ascii="Times New Roman" w:hAnsi="Times New Roman" w:cs="Times New Roman"/>
          <w:noProof/>
          <w:sz w:val="24"/>
          <w:szCs w:val="24"/>
        </w:rPr>
        <w:t xml:space="preserve">. </w:t>
      </w:r>
    </w:p>
    <w:p w14:paraId="10637FED" w14:textId="77777777" w:rsidR="002C0325" w:rsidRPr="00B15F7E" w:rsidRDefault="002C0325" w:rsidP="002C0325">
      <w:pPr>
        <w:jc w:val="both"/>
        <w:rPr>
          <w:rFonts w:ascii="Times New Roman" w:hAnsi="Times New Roman"/>
          <w:noProof/>
          <w:sz w:val="24"/>
          <w:szCs w:val="24"/>
        </w:rPr>
      </w:pPr>
      <w:r w:rsidRPr="000B6BFA">
        <w:rPr>
          <w:rFonts w:ascii="Times New Roman" w:hAnsi="Times New Roman"/>
          <w:b/>
          <w:bCs/>
          <w:noProof/>
          <w:sz w:val="24"/>
          <w:szCs w:val="24"/>
        </w:rPr>
        <w:t>The management of the funds follows a human rights-based approach</w:t>
      </w:r>
      <w:r>
        <w:rPr>
          <w:rFonts w:ascii="Times New Roman" w:hAnsi="Times New Roman"/>
          <w:noProof/>
          <w:sz w:val="24"/>
          <w:szCs w:val="24"/>
        </w:rPr>
        <w:t xml:space="preserve"> with a human rights risk analysis and</w:t>
      </w:r>
      <w:r w:rsidRPr="002A3910">
        <w:rPr>
          <w:rFonts w:ascii="Times New Roman" w:hAnsi="Times New Roman"/>
          <w:noProof/>
          <w:sz w:val="24"/>
          <w:szCs w:val="24"/>
        </w:rPr>
        <w:t xml:space="preserve"> </w:t>
      </w:r>
      <w:r>
        <w:rPr>
          <w:rFonts w:ascii="Times New Roman" w:hAnsi="Times New Roman"/>
          <w:noProof/>
          <w:sz w:val="24"/>
          <w:szCs w:val="24"/>
        </w:rPr>
        <w:t>measures to ensure the participation of rights-holders, as well as mitigating measures to address risks where needed</w:t>
      </w:r>
      <w:r>
        <w:rPr>
          <w:rStyle w:val="FootnoteReference"/>
          <w:noProof/>
        </w:rPr>
        <w:footnoteReference w:id="235"/>
      </w:r>
      <w:r>
        <w:rPr>
          <w:rFonts w:ascii="Times New Roman" w:hAnsi="Times New Roman"/>
          <w:noProof/>
          <w:sz w:val="24"/>
          <w:szCs w:val="24"/>
        </w:rPr>
        <w:t xml:space="preserve">. </w:t>
      </w:r>
    </w:p>
    <w:p w14:paraId="542F7087" w14:textId="77777777" w:rsidR="002C0325" w:rsidRPr="00800B4B" w:rsidRDefault="002C0325" w:rsidP="002C0325">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noProof/>
          <w:sz w:val="20"/>
          <w:szCs w:val="20"/>
          <w:lang w:val="en-GB"/>
        </w:rPr>
      </w:pPr>
      <w:r>
        <w:rPr>
          <w:rFonts w:ascii="Times New Roman" w:hAnsi="Times New Roman" w:cs="Times New Roman"/>
          <w:b/>
          <w:bCs/>
          <w:noProof/>
          <w:sz w:val="20"/>
          <w:szCs w:val="20"/>
          <w:lang w:val="en-GB"/>
        </w:rPr>
        <w:t>Global p</w:t>
      </w:r>
      <w:r w:rsidRPr="00800B4B">
        <w:rPr>
          <w:rFonts w:ascii="Times New Roman" w:hAnsi="Times New Roman" w:cs="Times New Roman"/>
          <w:b/>
          <w:bCs/>
          <w:noProof/>
          <w:sz w:val="20"/>
          <w:szCs w:val="20"/>
          <w:lang w:val="en-GB"/>
        </w:rPr>
        <w:t xml:space="preserve">roject examples funded from the </w:t>
      </w:r>
      <w:r w:rsidRPr="00800B4B">
        <w:rPr>
          <w:rFonts w:ascii="Times New Roman" w:hAnsi="Times New Roman" w:cs="Times New Roman"/>
          <w:b/>
          <w:bCs/>
          <w:noProof/>
          <w:sz w:val="20"/>
          <w:szCs w:val="20"/>
        </w:rPr>
        <w:t>NDICI</w:t>
      </w:r>
      <w:r w:rsidRPr="00800B4B">
        <w:rPr>
          <w:rFonts w:ascii="Times New Roman" w:hAnsi="Times New Roman" w:cs="Times New Roman"/>
          <w:b/>
          <w:bCs/>
          <w:noProof/>
          <w:sz w:val="20"/>
          <w:szCs w:val="20"/>
          <w:lang w:val="en-GB"/>
        </w:rPr>
        <w:t>:</w:t>
      </w:r>
      <w:r>
        <w:rPr>
          <w:rFonts w:ascii="Times New Roman" w:hAnsi="Times New Roman" w:cs="Times New Roman"/>
          <w:b/>
          <w:bCs/>
          <w:noProof/>
          <w:sz w:val="20"/>
          <w:szCs w:val="20"/>
        </w:rPr>
        <w:t xml:space="preserve"> </w:t>
      </w:r>
    </w:p>
    <w:p w14:paraId="3AFCC52F" w14:textId="778DCC8B" w:rsidR="002C0325" w:rsidRPr="00800B4B" w:rsidRDefault="002C0325" w:rsidP="002C0325">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0"/>
          <w:szCs w:val="20"/>
          <w:lang w:val="en-GB"/>
        </w:rPr>
      </w:pPr>
      <w:r>
        <w:rPr>
          <w:rFonts w:ascii="Times New Roman" w:hAnsi="Times New Roman" w:cs="Times New Roman"/>
          <w:b/>
          <w:bCs/>
          <w:noProof/>
          <w:sz w:val="20"/>
          <w:szCs w:val="20"/>
        </w:rPr>
        <w:t xml:space="preserve">- </w:t>
      </w:r>
      <w:r w:rsidRPr="00800B4B">
        <w:rPr>
          <w:rFonts w:ascii="Times New Roman" w:hAnsi="Times New Roman" w:cs="Times New Roman"/>
          <w:b/>
          <w:bCs/>
          <w:noProof/>
          <w:sz w:val="20"/>
          <w:szCs w:val="20"/>
        </w:rPr>
        <w:t>ProtectDefenders.eu</w:t>
      </w:r>
      <w:r w:rsidRPr="00800B4B">
        <w:rPr>
          <w:rFonts w:ascii="Times New Roman" w:hAnsi="Times New Roman" w:cs="Times New Roman"/>
          <w:noProof/>
          <w:sz w:val="20"/>
          <w:szCs w:val="20"/>
        </w:rPr>
        <w:t xml:space="preserve"> </w:t>
      </w:r>
      <w:r w:rsidRPr="00800B4B">
        <w:rPr>
          <w:rFonts w:ascii="Times New Roman" w:hAnsi="Times New Roman" w:cs="Times New Roman"/>
          <w:b/>
          <w:bCs/>
          <w:noProof/>
          <w:sz w:val="20"/>
          <w:szCs w:val="20"/>
        </w:rPr>
        <w:t>and the Emergency Fund for Human Rights Defenders</w:t>
      </w:r>
      <w:r w:rsidRPr="00800B4B">
        <w:rPr>
          <w:rFonts w:ascii="Times New Roman" w:hAnsi="Times New Roman" w:cs="Times New Roman"/>
          <w:noProof/>
          <w:sz w:val="20"/>
          <w:szCs w:val="20"/>
        </w:rPr>
        <w:t xml:space="preserve">: a EUR 30 million grant to 12 specialised </w:t>
      </w:r>
      <w:r>
        <w:rPr>
          <w:rFonts w:ascii="Times New Roman" w:hAnsi="Times New Roman" w:cs="Times New Roman"/>
          <w:noProof/>
          <w:sz w:val="20"/>
          <w:szCs w:val="20"/>
        </w:rPr>
        <w:t>CSO</w:t>
      </w:r>
      <w:r w:rsidRPr="00800B4B">
        <w:rPr>
          <w:rFonts w:ascii="Times New Roman" w:hAnsi="Times New Roman" w:cs="Times New Roman"/>
          <w:noProof/>
          <w:sz w:val="20"/>
          <w:szCs w:val="20"/>
        </w:rPr>
        <w:t>s to provide support to human rights defenders (HRD</w:t>
      </w:r>
      <w:r>
        <w:rPr>
          <w:rFonts w:ascii="Times New Roman" w:hAnsi="Times New Roman" w:cs="Times New Roman"/>
          <w:noProof/>
          <w:sz w:val="20"/>
          <w:szCs w:val="20"/>
        </w:rPr>
        <w:t>s</w:t>
      </w:r>
      <w:r w:rsidRPr="00800B4B">
        <w:rPr>
          <w:rFonts w:ascii="Times New Roman" w:hAnsi="Times New Roman" w:cs="Times New Roman"/>
          <w:noProof/>
          <w:sz w:val="20"/>
          <w:szCs w:val="20"/>
        </w:rPr>
        <w:t>) at risk worldwide. This programme is the most important of its kind globally and is complemented by a facility for small grants, channe</w:t>
      </w:r>
      <w:r w:rsidR="00271548">
        <w:rPr>
          <w:rFonts w:ascii="Times New Roman" w:hAnsi="Times New Roman" w:cs="Times New Roman"/>
          <w:noProof/>
          <w:sz w:val="20"/>
          <w:szCs w:val="20"/>
        </w:rPr>
        <w:t>l</w:t>
      </w:r>
      <w:r w:rsidRPr="00800B4B">
        <w:rPr>
          <w:rFonts w:ascii="Times New Roman" w:hAnsi="Times New Roman" w:cs="Times New Roman"/>
          <w:noProof/>
          <w:sz w:val="20"/>
          <w:szCs w:val="20"/>
        </w:rPr>
        <w:t xml:space="preserve">led through EU </w:t>
      </w:r>
      <w:r>
        <w:rPr>
          <w:rFonts w:ascii="Times New Roman" w:hAnsi="Times New Roman" w:cs="Times New Roman"/>
          <w:noProof/>
          <w:sz w:val="20"/>
          <w:szCs w:val="20"/>
        </w:rPr>
        <w:t>d</w:t>
      </w:r>
      <w:r w:rsidRPr="00800B4B">
        <w:rPr>
          <w:rFonts w:ascii="Times New Roman" w:hAnsi="Times New Roman" w:cs="Times New Roman"/>
          <w:noProof/>
          <w:sz w:val="20"/>
          <w:szCs w:val="20"/>
        </w:rPr>
        <w:t>elegations for a more thorough coverage of priority cases.</w:t>
      </w:r>
    </w:p>
    <w:p w14:paraId="0E256342" w14:textId="77777777" w:rsidR="002C0325" w:rsidRPr="00800B4B" w:rsidRDefault="002C0325" w:rsidP="002C0325">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noProof/>
          <w:sz w:val="20"/>
          <w:szCs w:val="20"/>
        </w:rPr>
      </w:pPr>
      <w:r>
        <w:rPr>
          <w:rFonts w:ascii="Times New Roman" w:hAnsi="Times New Roman" w:cs="Times New Roman"/>
          <w:b/>
          <w:bCs/>
          <w:noProof/>
          <w:sz w:val="20"/>
          <w:szCs w:val="20"/>
        </w:rPr>
        <w:t xml:space="preserve">- </w:t>
      </w:r>
      <w:r w:rsidRPr="00800B4B">
        <w:rPr>
          <w:rFonts w:ascii="Times New Roman" w:hAnsi="Times New Roman" w:cs="Times New Roman"/>
          <w:b/>
          <w:bCs/>
          <w:noProof/>
          <w:sz w:val="20"/>
          <w:szCs w:val="20"/>
        </w:rPr>
        <w:t>The</w:t>
      </w:r>
      <w:r w:rsidRPr="00800B4B">
        <w:rPr>
          <w:rFonts w:ascii="Times New Roman" w:hAnsi="Times New Roman" w:cs="Times New Roman"/>
          <w:noProof/>
          <w:sz w:val="20"/>
          <w:szCs w:val="20"/>
        </w:rPr>
        <w:t xml:space="preserve"> </w:t>
      </w:r>
      <w:r w:rsidRPr="00800B4B">
        <w:rPr>
          <w:rFonts w:ascii="Times New Roman" w:hAnsi="Times New Roman" w:cs="Times New Roman"/>
          <w:b/>
          <w:bCs/>
          <w:noProof/>
          <w:sz w:val="20"/>
          <w:szCs w:val="20"/>
        </w:rPr>
        <w:t>Spotlight Initiative</w:t>
      </w:r>
      <w:r w:rsidRPr="00800B4B">
        <w:rPr>
          <w:rFonts w:ascii="Times New Roman" w:hAnsi="Times New Roman" w:cs="Times New Roman"/>
          <w:noProof/>
          <w:sz w:val="20"/>
          <w:szCs w:val="20"/>
        </w:rPr>
        <w:t xml:space="preserve">, a multi-year partnership between </w:t>
      </w:r>
      <w:r>
        <w:rPr>
          <w:rFonts w:ascii="Times New Roman" w:hAnsi="Times New Roman" w:cs="Times New Roman"/>
          <w:noProof/>
          <w:sz w:val="20"/>
          <w:szCs w:val="20"/>
        </w:rPr>
        <w:t xml:space="preserve">the </w:t>
      </w:r>
      <w:r w:rsidRPr="00800B4B">
        <w:rPr>
          <w:rFonts w:ascii="Times New Roman" w:hAnsi="Times New Roman" w:cs="Times New Roman"/>
          <w:noProof/>
          <w:sz w:val="20"/>
          <w:szCs w:val="20"/>
        </w:rPr>
        <w:t>EU and United Nations to eliminate all forms of gender-based violence against women and girls</w:t>
      </w:r>
      <w:r>
        <w:rPr>
          <w:rStyle w:val="FootnoteReference"/>
          <w:noProof/>
        </w:rPr>
        <w:footnoteReference w:id="236"/>
      </w:r>
      <w:r w:rsidRPr="00800B4B">
        <w:rPr>
          <w:rFonts w:ascii="Times New Roman" w:hAnsi="Times New Roman" w:cs="Times New Roman"/>
          <w:noProof/>
          <w:sz w:val="20"/>
          <w:szCs w:val="20"/>
        </w:rPr>
        <w:t xml:space="preserve">. Launched with an initial </w:t>
      </w:r>
      <w:r>
        <w:rPr>
          <w:rFonts w:ascii="Times New Roman" w:hAnsi="Times New Roman" w:cs="Times New Roman"/>
          <w:noProof/>
          <w:sz w:val="20"/>
          <w:szCs w:val="20"/>
        </w:rPr>
        <w:t xml:space="preserve">EU </w:t>
      </w:r>
      <w:r w:rsidRPr="00800B4B">
        <w:rPr>
          <w:rFonts w:ascii="Times New Roman" w:hAnsi="Times New Roman" w:cs="Times New Roman"/>
          <w:noProof/>
          <w:sz w:val="20"/>
          <w:szCs w:val="20"/>
        </w:rPr>
        <w:t xml:space="preserve">investment of EUR 500 million, </w:t>
      </w:r>
      <w:r>
        <w:rPr>
          <w:rFonts w:ascii="Times New Roman" w:hAnsi="Times New Roman" w:cs="Times New Roman"/>
          <w:noProof/>
          <w:sz w:val="20"/>
          <w:szCs w:val="20"/>
        </w:rPr>
        <w:t xml:space="preserve">the initiative </w:t>
      </w:r>
      <w:r w:rsidRPr="00800B4B">
        <w:rPr>
          <w:rFonts w:ascii="Times New Roman" w:hAnsi="Times New Roman" w:cs="Times New Roman"/>
          <w:noProof/>
          <w:sz w:val="20"/>
          <w:szCs w:val="20"/>
        </w:rPr>
        <w:t>represents an unprecedented global invest</w:t>
      </w:r>
      <w:r>
        <w:rPr>
          <w:rFonts w:ascii="Times New Roman" w:hAnsi="Times New Roman" w:cs="Times New Roman"/>
          <w:noProof/>
          <w:sz w:val="20"/>
          <w:szCs w:val="20"/>
        </w:rPr>
        <w:t>ment</w:t>
      </w:r>
      <w:r w:rsidRPr="00800B4B">
        <w:rPr>
          <w:rFonts w:ascii="Times New Roman" w:hAnsi="Times New Roman" w:cs="Times New Roman"/>
          <w:noProof/>
          <w:sz w:val="20"/>
          <w:szCs w:val="20"/>
        </w:rPr>
        <w:t xml:space="preserve"> in gender equality. </w:t>
      </w:r>
    </w:p>
    <w:p w14:paraId="4B5DA3E2" w14:textId="77777777" w:rsidR="002C0325" w:rsidRPr="00B15F7E" w:rsidRDefault="002C0325" w:rsidP="002C0325">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lang w:val="en-GB"/>
        </w:rPr>
      </w:pPr>
      <w:r>
        <w:rPr>
          <w:rFonts w:ascii="Times New Roman" w:hAnsi="Times New Roman" w:cs="Times New Roman"/>
          <w:b/>
          <w:bCs/>
          <w:noProof/>
          <w:sz w:val="20"/>
          <w:szCs w:val="20"/>
        </w:rPr>
        <w:t xml:space="preserve">- </w:t>
      </w:r>
      <w:r w:rsidRPr="00800B4B">
        <w:rPr>
          <w:rFonts w:ascii="Times New Roman" w:hAnsi="Times New Roman" w:cs="Times New Roman"/>
          <w:b/>
          <w:bCs/>
          <w:noProof/>
          <w:sz w:val="20"/>
          <w:szCs w:val="20"/>
        </w:rPr>
        <w:t>National Human Rights Institutions</w:t>
      </w:r>
      <w:r w:rsidRPr="00800B4B">
        <w:rPr>
          <w:rFonts w:ascii="Times New Roman" w:hAnsi="Times New Roman" w:cs="Times New Roman"/>
          <w:noProof/>
          <w:sz w:val="20"/>
          <w:szCs w:val="20"/>
        </w:rPr>
        <w:t>: an ongoing EUR 5 million grant to the secretariat of the GANHRI</w:t>
      </w:r>
      <w:r>
        <w:rPr>
          <w:rFonts w:ascii="Times New Roman" w:hAnsi="Times New Roman" w:cs="Times New Roman"/>
          <w:noProof/>
          <w:sz w:val="20"/>
          <w:szCs w:val="20"/>
        </w:rPr>
        <w:t>,</w:t>
      </w:r>
      <w:r w:rsidRPr="00800B4B">
        <w:rPr>
          <w:rFonts w:ascii="Times New Roman" w:hAnsi="Times New Roman" w:cs="Times New Roman"/>
          <w:noProof/>
          <w:sz w:val="20"/>
          <w:szCs w:val="20"/>
        </w:rPr>
        <w:t xml:space="preserve"> the global association of NHRIs in the OHCHR, bringing together regional</w:t>
      </w:r>
      <w:r w:rsidRPr="00B15F7E">
        <w:rPr>
          <w:rFonts w:ascii="Times New Roman" w:hAnsi="Times New Roman" w:cs="Times New Roman"/>
          <w:noProof/>
          <w:sz w:val="24"/>
          <w:szCs w:val="24"/>
        </w:rPr>
        <w:t xml:space="preserve"> </w:t>
      </w:r>
      <w:r w:rsidRPr="00800B4B">
        <w:rPr>
          <w:rFonts w:ascii="Times New Roman" w:hAnsi="Times New Roman" w:cs="Times New Roman"/>
          <w:noProof/>
          <w:sz w:val="20"/>
          <w:szCs w:val="20"/>
        </w:rPr>
        <w:t>NHRI networks. The grant covers accreditation and capacity building activities for NHRIs.</w:t>
      </w:r>
    </w:p>
    <w:p w14:paraId="6264E4D3" w14:textId="77777777" w:rsidR="002C0325" w:rsidRDefault="002C0325" w:rsidP="002C0325">
      <w:pPr>
        <w:jc w:val="both"/>
        <w:rPr>
          <w:rFonts w:ascii="Times New Roman" w:hAnsi="Times New Roman"/>
          <w:noProof/>
          <w:sz w:val="24"/>
          <w:szCs w:val="24"/>
        </w:rPr>
      </w:pPr>
      <w:r>
        <w:rPr>
          <w:rFonts w:ascii="Times New Roman" w:hAnsi="Times New Roman"/>
          <w:noProof/>
          <w:sz w:val="24"/>
          <w:szCs w:val="24"/>
        </w:rPr>
        <w:t xml:space="preserve">The EU also funds actions </w:t>
      </w:r>
      <w:r w:rsidRPr="00DF0317">
        <w:rPr>
          <w:rFonts w:ascii="Times New Roman" w:hAnsi="Times New Roman"/>
          <w:noProof/>
          <w:sz w:val="24"/>
          <w:szCs w:val="24"/>
        </w:rPr>
        <w:t>which contribute to the promotion and protection of fundamental rights</w:t>
      </w:r>
      <w:r>
        <w:rPr>
          <w:rFonts w:ascii="Times New Roman" w:hAnsi="Times New Roman"/>
          <w:noProof/>
          <w:sz w:val="24"/>
          <w:szCs w:val="24"/>
        </w:rPr>
        <w:t xml:space="preserve"> in </w:t>
      </w:r>
      <w:r w:rsidRPr="000B6BFA">
        <w:rPr>
          <w:rFonts w:ascii="Times New Roman" w:hAnsi="Times New Roman"/>
          <w:b/>
          <w:bCs/>
          <w:noProof/>
          <w:sz w:val="24"/>
          <w:szCs w:val="24"/>
        </w:rPr>
        <w:t xml:space="preserve">countries </w:t>
      </w:r>
      <w:r w:rsidRPr="00B376F0">
        <w:rPr>
          <w:rFonts w:ascii="Times New Roman" w:hAnsi="Times New Roman"/>
          <w:b/>
          <w:bCs/>
          <w:noProof/>
          <w:sz w:val="24"/>
          <w:szCs w:val="24"/>
        </w:rPr>
        <w:t xml:space="preserve">under </w:t>
      </w:r>
      <w:r w:rsidRPr="00FD73E2">
        <w:rPr>
          <w:rFonts w:ascii="Times New Roman" w:hAnsi="Times New Roman"/>
          <w:b/>
          <w:bCs/>
          <w:noProof/>
          <w:sz w:val="24"/>
          <w:szCs w:val="24"/>
        </w:rPr>
        <w:t>the Enlargement and European Neighbourhood policies</w:t>
      </w:r>
      <w:r>
        <w:rPr>
          <w:rStyle w:val="FootnoteReference"/>
          <w:b/>
          <w:bCs/>
          <w:noProof/>
        </w:rPr>
        <w:footnoteReference w:id="237"/>
      </w:r>
      <w:r>
        <w:rPr>
          <w:rFonts w:ascii="Times New Roman" w:hAnsi="Times New Roman"/>
          <w:noProof/>
          <w:sz w:val="24"/>
          <w:szCs w:val="24"/>
        </w:rPr>
        <w:t xml:space="preserve">. Relevant projects are being funded for instance in </w:t>
      </w:r>
      <w:r w:rsidRPr="00800B4B">
        <w:rPr>
          <w:rFonts w:ascii="Times New Roman" w:hAnsi="Times New Roman"/>
          <w:noProof/>
          <w:sz w:val="24"/>
          <w:szCs w:val="24"/>
        </w:rPr>
        <w:t>Bosnia and Herzegovina</w:t>
      </w:r>
      <w:r w:rsidRPr="00754C9E">
        <w:rPr>
          <w:rFonts w:ascii="Times New Roman" w:hAnsi="Times New Roman"/>
          <w:noProof/>
          <w:sz w:val="24"/>
          <w:szCs w:val="24"/>
        </w:rPr>
        <w:t xml:space="preserve">, </w:t>
      </w:r>
      <w:r w:rsidRPr="00800B4B">
        <w:rPr>
          <w:rFonts w:ascii="Times New Roman" w:hAnsi="Times New Roman"/>
          <w:noProof/>
          <w:sz w:val="24"/>
          <w:szCs w:val="24"/>
        </w:rPr>
        <w:t>Kosovo</w:t>
      </w:r>
      <w:r w:rsidRPr="00754C9E">
        <w:rPr>
          <w:rFonts w:ascii="Times New Roman" w:hAnsi="Times New Roman"/>
          <w:noProof/>
          <w:sz w:val="24"/>
          <w:szCs w:val="24"/>
        </w:rPr>
        <w:t xml:space="preserve">, </w:t>
      </w:r>
      <w:r w:rsidRPr="00800B4B">
        <w:rPr>
          <w:rFonts w:ascii="Times New Roman" w:hAnsi="Times New Roman"/>
          <w:noProof/>
          <w:sz w:val="24"/>
          <w:szCs w:val="24"/>
        </w:rPr>
        <w:t>Montenegro</w:t>
      </w:r>
      <w:r w:rsidRPr="00754C9E">
        <w:rPr>
          <w:rFonts w:ascii="Times New Roman" w:hAnsi="Times New Roman"/>
          <w:noProof/>
          <w:sz w:val="24"/>
          <w:szCs w:val="24"/>
        </w:rPr>
        <w:t xml:space="preserve">, </w:t>
      </w:r>
      <w:r w:rsidRPr="00800B4B">
        <w:rPr>
          <w:rFonts w:ascii="Times New Roman" w:hAnsi="Times New Roman"/>
          <w:noProof/>
          <w:sz w:val="24"/>
          <w:szCs w:val="24"/>
        </w:rPr>
        <w:t>Serbia</w:t>
      </w:r>
      <w:r w:rsidRPr="00754C9E">
        <w:rPr>
          <w:rFonts w:ascii="Times New Roman" w:hAnsi="Times New Roman"/>
          <w:noProof/>
          <w:sz w:val="24"/>
          <w:szCs w:val="24"/>
        </w:rPr>
        <w:t xml:space="preserve">, </w:t>
      </w:r>
      <w:r w:rsidRPr="00800B4B">
        <w:rPr>
          <w:rFonts w:ascii="Times New Roman" w:hAnsi="Times New Roman"/>
          <w:noProof/>
          <w:sz w:val="24"/>
          <w:szCs w:val="24"/>
        </w:rPr>
        <w:t>Türkiye</w:t>
      </w:r>
      <w:r w:rsidRPr="00754C9E">
        <w:rPr>
          <w:rFonts w:ascii="Times New Roman" w:hAnsi="Times New Roman"/>
          <w:noProof/>
          <w:sz w:val="24"/>
          <w:szCs w:val="24"/>
        </w:rPr>
        <w:t xml:space="preserve"> and </w:t>
      </w:r>
      <w:r w:rsidRPr="00800B4B">
        <w:rPr>
          <w:rFonts w:ascii="Times New Roman" w:hAnsi="Times New Roman"/>
          <w:noProof/>
          <w:sz w:val="24"/>
          <w:szCs w:val="24"/>
        </w:rPr>
        <w:t>Moldova</w:t>
      </w:r>
      <w:r w:rsidRPr="00754C9E">
        <w:rPr>
          <w:rFonts w:ascii="Times New Roman" w:hAnsi="Times New Roman"/>
          <w:noProof/>
          <w:sz w:val="24"/>
          <w:szCs w:val="24"/>
        </w:rPr>
        <w:t>,</w:t>
      </w:r>
      <w:r>
        <w:rPr>
          <w:rFonts w:ascii="Times New Roman" w:hAnsi="Times New Roman"/>
          <w:noProof/>
          <w:sz w:val="24"/>
          <w:szCs w:val="24"/>
        </w:rPr>
        <w:t xml:space="preserve"> as well as in the sourthern Mediterranean region. </w:t>
      </w:r>
    </w:p>
    <w:p w14:paraId="53AB56AE" w14:textId="77777777" w:rsidR="002C0325" w:rsidRDefault="002C0325" w:rsidP="002C0325">
      <w:pPr>
        <w:jc w:val="both"/>
        <w:rPr>
          <w:rFonts w:ascii="Times New Roman" w:hAnsi="Times New Roman"/>
          <w:noProof/>
          <w:sz w:val="24"/>
          <w:szCs w:val="24"/>
        </w:rPr>
      </w:pPr>
      <w:r>
        <w:rPr>
          <w:rFonts w:ascii="Times New Roman" w:hAnsi="Times New Roman"/>
          <w:noProof/>
          <w:sz w:val="24"/>
          <w:szCs w:val="24"/>
        </w:rPr>
        <w:t xml:space="preserve">The EU moreover funds </w:t>
      </w:r>
      <w:r w:rsidRPr="000B6BFA">
        <w:rPr>
          <w:rFonts w:ascii="Times New Roman" w:hAnsi="Times New Roman"/>
          <w:b/>
          <w:bCs/>
          <w:noProof/>
          <w:sz w:val="24"/>
          <w:szCs w:val="24"/>
        </w:rPr>
        <w:t>EU-Council of Europe</w:t>
      </w:r>
      <w:r>
        <w:rPr>
          <w:rFonts w:ascii="Times New Roman" w:hAnsi="Times New Roman"/>
          <w:noProof/>
          <w:sz w:val="24"/>
          <w:szCs w:val="24"/>
        </w:rPr>
        <w:t xml:space="preserve"> </w:t>
      </w:r>
      <w:r w:rsidRPr="00FD73E2">
        <w:rPr>
          <w:rFonts w:ascii="Times New Roman" w:hAnsi="Times New Roman"/>
          <w:b/>
          <w:bCs/>
          <w:noProof/>
          <w:sz w:val="24"/>
          <w:szCs w:val="24"/>
        </w:rPr>
        <w:t>joint programmes</w:t>
      </w:r>
      <w:r>
        <w:rPr>
          <w:rStyle w:val="FootnoteReference"/>
          <w:noProof/>
        </w:rPr>
        <w:footnoteReference w:id="238"/>
      </w:r>
      <w:r>
        <w:rPr>
          <w:rFonts w:ascii="Times New Roman" w:hAnsi="Times New Roman"/>
          <w:noProof/>
          <w:sz w:val="24"/>
          <w:szCs w:val="24"/>
        </w:rPr>
        <w:t>. For instance, under the Horizontal Facility for the Western Balkans and T</w:t>
      </w:r>
      <w:r>
        <w:rPr>
          <w:rFonts w:ascii="Times New Roman" w:hAnsi="Times New Roman" w:cs="Times New Roman"/>
          <w:noProof/>
          <w:sz w:val="24"/>
          <w:szCs w:val="24"/>
        </w:rPr>
        <w:t>ü</w:t>
      </w:r>
      <w:r>
        <w:rPr>
          <w:rFonts w:ascii="Times New Roman" w:hAnsi="Times New Roman"/>
          <w:noProof/>
          <w:sz w:val="24"/>
          <w:szCs w:val="24"/>
        </w:rPr>
        <w:t>rkiye, support is provided to candidate countries and potential candidates for EU accession in meeting their reform agendas and complying with European standards, including in the field of fundamental rights.</w:t>
      </w:r>
    </w:p>
    <w:p w14:paraId="6F293DDB" w14:textId="77777777" w:rsidR="002C0325" w:rsidRDefault="002C0325" w:rsidP="002C0325">
      <w:pPr>
        <w:jc w:val="both"/>
        <w:rPr>
          <w:rFonts w:ascii="Times New Roman" w:hAnsi="Times New Roman"/>
          <w:noProof/>
          <w:sz w:val="24"/>
          <w:szCs w:val="24"/>
        </w:rPr>
      </w:pPr>
    </w:p>
    <w:p w14:paraId="1C36E2F0" w14:textId="77777777" w:rsidR="002C0325" w:rsidRPr="00CB6FBD" w:rsidRDefault="002C0325" w:rsidP="002C0325">
      <w:pPr>
        <w:pStyle w:val="Heading1"/>
        <w:rPr>
          <w:noProof/>
        </w:rPr>
      </w:pPr>
      <w:bookmarkStart w:id="30" w:name="_Toc178607507"/>
      <w:r w:rsidRPr="002C3C9A">
        <w:rPr>
          <w:noProof/>
        </w:rPr>
        <w:t>Conclusion</w:t>
      </w:r>
      <w:bookmarkEnd w:id="30"/>
      <w:r w:rsidRPr="002C3C9A">
        <w:rPr>
          <w:noProof/>
        </w:rPr>
        <w:t xml:space="preserve"> </w:t>
      </w:r>
    </w:p>
    <w:p w14:paraId="00ACC5B7" w14:textId="2CDC80DE" w:rsidR="002C0325" w:rsidRPr="008664F8" w:rsidRDefault="002C0325" w:rsidP="002C0325">
      <w:pPr>
        <w:jc w:val="both"/>
        <w:rPr>
          <w:rFonts w:ascii="Times New Roman" w:eastAsia="Times New Roman" w:hAnsi="Times New Roman"/>
          <w:noProof/>
          <w:sz w:val="24"/>
          <w:szCs w:val="24"/>
        </w:rPr>
      </w:pPr>
      <w:r w:rsidRPr="008664F8">
        <w:rPr>
          <w:rFonts w:ascii="Times New Roman" w:eastAsia="Times New Roman" w:hAnsi="Times New Roman"/>
          <w:noProof/>
          <w:sz w:val="24"/>
          <w:szCs w:val="24"/>
        </w:rPr>
        <w:t>This report has highlight</w:t>
      </w:r>
      <w:r w:rsidRPr="000B6BFA">
        <w:rPr>
          <w:rFonts w:ascii="Times New Roman" w:eastAsia="Times New Roman" w:hAnsi="Times New Roman"/>
          <w:noProof/>
          <w:sz w:val="24"/>
          <w:szCs w:val="24"/>
        </w:rPr>
        <w:t>ed</w:t>
      </w:r>
      <w:r w:rsidRPr="008664F8">
        <w:rPr>
          <w:rFonts w:ascii="Times New Roman" w:eastAsia="Times New Roman" w:hAnsi="Times New Roman"/>
          <w:noProof/>
          <w:sz w:val="24"/>
          <w:szCs w:val="24"/>
        </w:rPr>
        <w:t xml:space="preserve"> the relevance of EU funding for the protection, promotion and enforcement of fundamental rights</w:t>
      </w:r>
      <w:r>
        <w:rPr>
          <w:rFonts w:ascii="Times New Roman" w:eastAsia="Times New Roman" w:hAnsi="Times New Roman"/>
          <w:noProof/>
          <w:sz w:val="24"/>
          <w:szCs w:val="24"/>
        </w:rPr>
        <w:t xml:space="preserve"> in its internal and external policies</w:t>
      </w:r>
      <w:r w:rsidRPr="008664F8">
        <w:rPr>
          <w:rFonts w:ascii="Times New Roman" w:eastAsia="Times New Roman" w:hAnsi="Times New Roman"/>
          <w:noProof/>
          <w:sz w:val="24"/>
          <w:szCs w:val="24"/>
        </w:rPr>
        <w:t xml:space="preserve">. It shows how the EU contributes to the promotion of the rights, freedoms and principles of the Charter through its dedicated funding programmes and sectoral programmes. </w:t>
      </w:r>
    </w:p>
    <w:p w14:paraId="7F29BD9E" w14:textId="07A19B3C" w:rsidR="002C0325" w:rsidRPr="008664F8" w:rsidRDefault="002C0325" w:rsidP="002C0325">
      <w:pPr>
        <w:jc w:val="both"/>
        <w:rPr>
          <w:rFonts w:ascii="Times New Roman" w:eastAsia="Times New Roman" w:hAnsi="Times New Roman"/>
          <w:noProof/>
          <w:sz w:val="24"/>
          <w:szCs w:val="24"/>
        </w:rPr>
      </w:pPr>
      <w:r w:rsidRPr="008664F8">
        <w:rPr>
          <w:rFonts w:ascii="Times New Roman" w:eastAsia="Times New Roman" w:hAnsi="Times New Roman"/>
          <w:noProof/>
          <w:sz w:val="24"/>
          <w:szCs w:val="24"/>
        </w:rPr>
        <w:t>As highlighted in the Charter strategy, there is a need to build the capacity of those who have a role in applying the Charter in their daily lives. Funding is one of the primary means for this important work.</w:t>
      </w:r>
      <w:r>
        <w:rPr>
          <w:rFonts w:ascii="Times New Roman" w:eastAsia="Times New Roman" w:hAnsi="Times New Roman"/>
          <w:noProof/>
          <w:sz w:val="24"/>
          <w:szCs w:val="24"/>
        </w:rPr>
        <w:t xml:space="preserve"> </w:t>
      </w:r>
      <w:r w:rsidRPr="008664F8">
        <w:rPr>
          <w:rFonts w:ascii="Times New Roman" w:eastAsia="Times New Roman" w:hAnsi="Times New Roman"/>
          <w:noProof/>
          <w:sz w:val="24"/>
          <w:szCs w:val="24"/>
        </w:rPr>
        <w:t xml:space="preserve">Funded projects </w:t>
      </w:r>
      <w:r>
        <w:rPr>
          <w:rFonts w:ascii="Times New Roman" w:eastAsia="Times New Roman" w:hAnsi="Times New Roman"/>
          <w:noProof/>
          <w:sz w:val="24"/>
          <w:szCs w:val="24"/>
        </w:rPr>
        <w:t xml:space="preserve">– whether by the EU or Member States – </w:t>
      </w:r>
      <w:r w:rsidRPr="008664F8">
        <w:rPr>
          <w:rFonts w:ascii="Times New Roman" w:eastAsia="Times New Roman" w:hAnsi="Times New Roman"/>
          <w:noProof/>
          <w:sz w:val="24"/>
          <w:szCs w:val="24"/>
        </w:rPr>
        <w:t xml:space="preserve">render fundamental right provisions into practical solutions that benefit </w:t>
      </w:r>
      <w:r>
        <w:rPr>
          <w:rFonts w:ascii="Times New Roman" w:eastAsia="Times New Roman" w:hAnsi="Times New Roman"/>
          <w:noProof/>
          <w:sz w:val="24"/>
          <w:szCs w:val="24"/>
        </w:rPr>
        <w:t xml:space="preserve">citizens, </w:t>
      </w:r>
      <w:r w:rsidRPr="008664F8">
        <w:rPr>
          <w:rFonts w:ascii="Times New Roman" w:eastAsia="Times New Roman" w:hAnsi="Times New Roman"/>
          <w:noProof/>
          <w:sz w:val="24"/>
          <w:szCs w:val="24"/>
        </w:rPr>
        <w:t>including persons in vulnerable situations</w:t>
      </w:r>
      <w:r w:rsidR="00CB31AC">
        <w:rPr>
          <w:rStyle w:val="FootnoteReference"/>
          <w:rFonts w:eastAsia="Times New Roman"/>
          <w:noProof/>
        </w:rPr>
        <w:footnoteReference w:id="239"/>
      </w:r>
      <w:r w:rsidRPr="008664F8">
        <w:rPr>
          <w:rFonts w:ascii="Times New Roman" w:eastAsia="Times New Roman" w:hAnsi="Times New Roman"/>
          <w:noProof/>
          <w:sz w:val="24"/>
          <w:szCs w:val="24"/>
        </w:rPr>
        <w:t xml:space="preserve">. </w:t>
      </w:r>
    </w:p>
    <w:p w14:paraId="7F5C42D1" w14:textId="5B4C14F2" w:rsidR="002C0325" w:rsidRPr="008C2968" w:rsidRDefault="002C0325" w:rsidP="002C0325">
      <w:pPr>
        <w:jc w:val="both"/>
        <w:rPr>
          <w:rFonts w:ascii="Times New Roman" w:eastAsia="Times New Roman" w:hAnsi="Times New Roman"/>
          <w:noProof/>
          <w:sz w:val="24"/>
          <w:szCs w:val="24"/>
        </w:rPr>
      </w:pPr>
      <w:r w:rsidRPr="000B6BFA">
        <w:rPr>
          <w:rFonts w:ascii="Times New Roman" w:eastAsia="Times New Roman" w:hAnsi="Times New Roman"/>
          <w:noProof/>
          <w:sz w:val="24"/>
          <w:szCs w:val="24"/>
        </w:rPr>
        <w:t>CSOs and human rights defenders are indispensable constituents of open, democratic societies that adhere to the founding values of the Union.</w:t>
      </w:r>
      <w:r w:rsidRPr="008664F8">
        <w:rPr>
          <w:rFonts w:ascii="Times New Roman" w:eastAsia="Times New Roman" w:hAnsi="Times New Roman"/>
          <w:noProof/>
          <w:sz w:val="24"/>
          <w:szCs w:val="24"/>
        </w:rPr>
        <w:t xml:space="preserve"> The funding efforts of the EU and other donors have therefore refle</w:t>
      </w:r>
      <w:r>
        <w:rPr>
          <w:rFonts w:ascii="Times New Roman" w:eastAsia="Times New Roman" w:hAnsi="Times New Roman"/>
          <w:noProof/>
          <w:sz w:val="24"/>
          <w:szCs w:val="24"/>
        </w:rPr>
        <w:t xml:space="preserve">cted </w:t>
      </w:r>
      <w:r w:rsidRPr="008803EF">
        <w:rPr>
          <w:rFonts w:ascii="Times New Roman" w:eastAsia="Times New Roman" w:hAnsi="Times New Roman"/>
          <w:noProof/>
          <w:sz w:val="24"/>
          <w:szCs w:val="24"/>
        </w:rPr>
        <w:t>concerns regarding the narrowing of the civic space in the EU and globally. As acknowledged in the 2022 Charter report on thriving civic space</w:t>
      </w:r>
      <w:r>
        <w:rPr>
          <w:rStyle w:val="FootnoteReference"/>
          <w:rFonts w:eastAsia="Times New Roman"/>
          <w:noProof/>
        </w:rPr>
        <w:footnoteReference w:id="240"/>
      </w:r>
      <w:r w:rsidRPr="008803EF">
        <w:rPr>
          <w:rFonts w:ascii="Times New Roman" w:eastAsia="Times New Roman" w:hAnsi="Times New Roman"/>
          <w:noProof/>
          <w:sz w:val="24"/>
          <w:szCs w:val="24"/>
        </w:rPr>
        <w:t xml:space="preserve">, </w:t>
      </w:r>
      <w:r>
        <w:rPr>
          <w:rFonts w:ascii="Times New Roman" w:eastAsia="Times New Roman" w:hAnsi="Times New Roman"/>
          <w:noProof/>
          <w:sz w:val="24"/>
          <w:szCs w:val="24"/>
        </w:rPr>
        <w:t>CSOs</w:t>
      </w:r>
      <w:r w:rsidRPr="008803EF">
        <w:rPr>
          <w:rFonts w:ascii="Times New Roman" w:eastAsia="Times New Roman" w:hAnsi="Times New Roman"/>
          <w:noProof/>
          <w:sz w:val="24"/>
          <w:szCs w:val="24"/>
        </w:rPr>
        <w:t xml:space="preserve"> must be able to function in an environment where their fundamental rights, and those of their members, are not under threat. </w:t>
      </w:r>
      <w:r>
        <w:rPr>
          <w:rFonts w:ascii="Times New Roman" w:eastAsia="Times New Roman" w:hAnsi="Times New Roman"/>
          <w:noProof/>
          <w:sz w:val="24"/>
          <w:szCs w:val="24"/>
        </w:rPr>
        <w:t>T</w:t>
      </w:r>
      <w:r w:rsidRPr="008803EF">
        <w:rPr>
          <w:rFonts w:ascii="Times New Roman" w:eastAsia="Times New Roman" w:hAnsi="Times New Roman"/>
          <w:noProof/>
          <w:sz w:val="24"/>
          <w:szCs w:val="24"/>
        </w:rPr>
        <w:t xml:space="preserve">he need to support and empower an active civil society sector across the Union </w:t>
      </w:r>
      <w:r>
        <w:rPr>
          <w:rFonts w:ascii="Times New Roman" w:eastAsia="Times New Roman" w:hAnsi="Times New Roman"/>
          <w:noProof/>
          <w:sz w:val="24"/>
          <w:szCs w:val="24"/>
        </w:rPr>
        <w:t>remains an important priority of the Commission.</w:t>
      </w:r>
      <w:r w:rsidRPr="008803EF">
        <w:rPr>
          <w:rFonts w:ascii="Times New Roman" w:eastAsia="Times New Roman" w:hAnsi="Times New Roman"/>
          <w:noProof/>
          <w:sz w:val="24"/>
          <w:szCs w:val="24"/>
        </w:rPr>
        <w:t xml:space="preserve"> </w:t>
      </w:r>
    </w:p>
    <w:p w14:paraId="117C5160" w14:textId="4B2C9A2F" w:rsidR="002C0325" w:rsidRDefault="002C0325" w:rsidP="002C0325">
      <w:pPr>
        <w:jc w:val="both"/>
        <w:rPr>
          <w:rFonts w:ascii="Times New Roman" w:eastAsia="Times New Roman" w:hAnsi="Times New Roman"/>
          <w:noProof/>
          <w:sz w:val="24"/>
          <w:szCs w:val="24"/>
        </w:rPr>
      </w:pPr>
      <w:r w:rsidRPr="00AE5F84">
        <w:rPr>
          <w:rFonts w:ascii="Times New Roman" w:eastAsia="Times New Roman" w:hAnsi="Times New Roman"/>
          <w:noProof/>
          <w:sz w:val="24"/>
          <w:szCs w:val="24"/>
        </w:rPr>
        <w:t xml:space="preserve">Despite considerable funding made available by the EU and international public and private donors, </w:t>
      </w:r>
      <w:r w:rsidR="00757930">
        <w:rPr>
          <w:rFonts w:ascii="Times New Roman" w:eastAsia="Times New Roman" w:hAnsi="Times New Roman"/>
          <w:noProof/>
          <w:sz w:val="24"/>
          <w:szCs w:val="24"/>
        </w:rPr>
        <w:t>not enough funding reaches</w:t>
      </w:r>
      <w:r w:rsidRPr="00AE5F84">
        <w:rPr>
          <w:rFonts w:ascii="Times New Roman" w:eastAsia="Times New Roman" w:hAnsi="Times New Roman"/>
          <w:noProof/>
          <w:sz w:val="24"/>
          <w:szCs w:val="24"/>
        </w:rPr>
        <w:t xml:space="preserve"> fundamental rights actors. </w:t>
      </w:r>
      <w:r>
        <w:rPr>
          <w:rFonts w:ascii="Times New Roman" w:eastAsia="Times New Roman" w:hAnsi="Times New Roman"/>
          <w:noProof/>
          <w:sz w:val="24"/>
          <w:szCs w:val="24"/>
        </w:rPr>
        <w:t xml:space="preserve">Challenges highlighted in this report include </w:t>
      </w:r>
      <w:r w:rsidRPr="008803EF">
        <w:rPr>
          <w:rFonts w:ascii="Times New Roman" w:eastAsia="Times New Roman" w:hAnsi="Times New Roman"/>
          <w:noProof/>
          <w:sz w:val="24"/>
          <w:szCs w:val="24"/>
        </w:rPr>
        <w:t>difficulties in finding information on available funding</w:t>
      </w:r>
      <w:r>
        <w:rPr>
          <w:rFonts w:ascii="Times New Roman" w:eastAsia="Times New Roman" w:hAnsi="Times New Roman"/>
          <w:noProof/>
          <w:sz w:val="24"/>
          <w:szCs w:val="24"/>
        </w:rPr>
        <w:t xml:space="preserve">, lack of capacity to apply for funding and </w:t>
      </w:r>
      <w:r w:rsidRPr="00AE5F84">
        <w:rPr>
          <w:rFonts w:ascii="Times New Roman" w:eastAsia="Times New Roman" w:hAnsi="Times New Roman"/>
          <w:noProof/>
          <w:sz w:val="24"/>
          <w:szCs w:val="24"/>
        </w:rPr>
        <w:t>complicated application and</w:t>
      </w:r>
      <w:r w:rsidRPr="008803EF">
        <w:rPr>
          <w:rFonts w:ascii="Times New Roman" w:eastAsia="Times New Roman" w:hAnsi="Times New Roman"/>
          <w:noProof/>
          <w:sz w:val="24"/>
          <w:szCs w:val="24"/>
        </w:rPr>
        <w:t xml:space="preserve"> reporting processes, </w:t>
      </w:r>
      <w:r>
        <w:rPr>
          <w:rFonts w:ascii="Times New Roman" w:eastAsia="Times New Roman" w:hAnsi="Times New Roman"/>
          <w:noProof/>
          <w:sz w:val="24"/>
          <w:szCs w:val="24"/>
        </w:rPr>
        <w:t xml:space="preserve">limited possibities to get </w:t>
      </w:r>
      <w:r w:rsidRPr="008803EF">
        <w:rPr>
          <w:rFonts w:ascii="Times New Roman" w:eastAsia="Times New Roman" w:hAnsi="Times New Roman"/>
          <w:noProof/>
          <w:sz w:val="24"/>
          <w:szCs w:val="24"/>
        </w:rPr>
        <w:t>long-term funding and funding for core activities</w:t>
      </w:r>
      <w:r>
        <w:rPr>
          <w:rFonts w:ascii="Times New Roman" w:eastAsia="Times New Roman" w:hAnsi="Times New Roman"/>
          <w:noProof/>
          <w:sz w:val="24"/>
          <w:szCs w:val="24"/>
        </w:rPr>
        <w:t xml:space="preserve"> or </w:t>
      </w:r>
      <w:r w:rsidRPr="008803EF">
        <w:rPr>
          <w:rFonts w:ascii="Times New Roman" w:eastAsia="Times New Roman" w:hAnsi="Times New Roman"/>
          <w:noProof/>
          <w:sz w:val="24"/>
          <w:szCs w:val="24"/>
        </w:rPr>
        <w:t>for activities in certain sectors</w:t>
      </w:r>
      <w:r>
        <w:rPr>
          <w:rStyle w:val="FootnoteReference"/>
          <w:rFonts w:eastAsia="Times New Roman"/>
          <w:noProof/>
        </w:rPr>
        <w:footnoteReference w:id="241"/>
      </w:r>
      <w:r w:rsidRPr="008803EF">
        <w:rPr>
          <w:rFonts w:ascii="Times New Roman" w:eastAsia="Times New Roman" w:hAnsi="Times New Roman"/>
          <w:noProof/>
          <w:sz w:val="24"/>
          <w:szCs w:val="24"/>
        </w:rPr>
        <w:t>.</w:t>
      </w:r>
    </w:p>
    <w:p w14:paraId="694A96AE" w14:textId="77777777" w:rsidR="002C0325" w:rsidRPr="008803EF" w:rsidRDefault="002C0325" w:rsidP="002C0325">
      <w:pPr>
        <w:jc w:val="both"/>
        <w:rPr>
          <w:rFonts w:ascii="Times New Roman" w:eastAsia="Times New Roman" w:hAnsi="Times New Roman"/>
          <w:noProof/>
          <w:sz w:val="24"/>
          <w:szCs w:val="24"/>
        </w:rPr>
      </w:pPr>
      <w:r w:rsidRPr="008803EF">
        <w:rPr>
          <w:rFonts w:ascii="Times New Roman" w:eastAsia="Times New Roman" w:hAnsi="Times New Roman"/>
          <w:noProof/>
          <w:sz w:val="24"/>
          <w:szCs w:val="24"/>
        </w:rPr>
        <w:t xml:space="preserve">At the same time, the report </w:t>
      </w:r>
      <w:r>
        <w:rPr>
          <w:rFonts w:ascii="Times New Roman" w:eastAsia="Times New Roman" w:hAnsi="Times New Roman"/>
          <w:noProof/>
          <w:sz w:val="24"/>
          <w:szCs w:val="24"/>
        </w:rPr>
        <w:t>demonstrates</w:t>
      </w:r>
      <w:r w:rsidRPr="008803EF">
        <w:rPr>
          <w:rFonts w:ascii="Times New Roman" w:eastAsia="Times New Roman" w:hAnsi="Times New Roman"/>
          <w:noProof/>
          <w:sz w:val="24"/>
          <w:szCs w:val="24"/>
        </w:rPr>
        <w:t xml:space="preserve"> how the EU and international </w:t>
      </w:r>
      <w:r w:rsidRPr="00AE5F84">
        <w:rPr>
          <w:rFonts w:ascii="Times New Roman" w:eastAsia="Times New Roman" w:hAnsi="Times New Roman"/>
          <w:noProof/>
          <w:sz w:val="24"/>
          <w:szCs w:val="24"/>
        </w:rPr>
        <w:t xml:space="preserve">donors have recently taken measures to address these shortcomings </w:t>
      </w:r>
      <w:r w:rsidRPr="008803EF">
        <w:rPr>
          <w:rFonts w:ascii="Times New Roman" w:eastAsia="Times New Roman" w:hAnsi="Times New Roman"/>
          <w:noProof/>
          <w:sz w:val="24"/>
          <w:szCs w:val="24"/>
        </w:rPr>
        <w:t xml:space="preserve">within the limits </w:t>
      </w:r>
      <w:r>
        <w:rPr>
          <w:rFonts w:ascii="Times New Roman" w:eastAsia="Times New Roman" w:hAnsi="Times New Roman"/>
          <w:noProof/>
          <w:sz w:val="24"/>
          <w:szCs w:val="24"/>
        </w:rPr>
        <w:t>posed by</w:t>
      </w:r>
      <w:r w:rsidRPr="008803EF">
        <w:rPr>
          <w:rFonts w:ascii="Times New Roman" w:eastAsia="Times New Roman" w:hAnsi="Times New Roman"/>
          <w:noProof/>
          <w:sz w:val="24"/>
          <w:szCs w:val="24"/>
        </w:rPr>
        <w:t xml:space="preserve"> sound financial management and risk mitigation r</w:t>
      </w:r>
      <w:r>
        <w:rPr>
          <w:rFonts w:ascii="Times New Roman" w:eastAsia="Times New Roman" w:hAnsi="Times New Roman"/>
          <w:noProof/>
          <w:sz w:val="24"/>
          <w:szCs w:val="24"/>
        </w:rPr>
        <w:t>equirements</w:t>
      </w:r>
      <w:r w:rsidRPr="008803EF">
        <w:rPr>
          <w:rFonts w:ascii="Times New Roman" w:eastAsia="Times New Roman" w:hAnsi="Times New Roman"/>
          <w:noProof/>
          <w:sz w:val="24"/>
          <w:szCs w:val="24"/>
        </w:rPr>
        <w:t>. Information provision on funding opportunities has been stepped up</w:t>
      </w:r>
      <w:r>
        <w:rPr>
          <w:rFonts w:ascii="Times New Roman" w:eastAsia="Times New Roman" w:hAnsi="Times New Roman"/>
          <w:noProof/>
          <w:sz w:val="24"/>
          <w:szCs w:val="24"/>
        </w:rPr>
        <w:t xml:space="preserve"> and different </w:t>
      </w:r>
      <w:r w:rsidRPr="008803EF">
        <w:rPr>
          <w:rFonts w:ascii="Times New Roman" w:eastAsia="Times New Roman" w:hAnsi="Times New Roman"/>
          <w:noProof/>
          <w:sz w:val="24"/>
          <w:szCs w:val="24"/>
        </w:rPr>
        <w:t xml:space="preserve">funding methodologies </w:t>
      </w:r>
      <w:r>
        <w:rPr>
          <w:rFonts w:ascii="Times New Roman" w:eastAsia="Times New Roman" w:hAnsi="Times New Roman"/>
          <w:noProof/>
          <w:sz w:val="24"/>
          <w:szCs w:val="24"/>
        </w:rPr>
        <w:t xml:space="preserve">have been developed </w:t>
      </w:r>
      <w:r w:rsidRPr="008803EF">
        <w:rPr>
          <w:rFonts w:ascii="Times New Roman" w:eastAsia="Times New Roman" w:hAnsi="Times New Roman"/>
          <w:noProof/>
          <w:sz w:val="24"/>
          <w:szCs w:val="24"/>
        </w:rPr>
        <w:t xml:space="preserve">to better address the needs on the ground. </w:t>
      </w:r>
    </w:p>
    <w:p w14:paraId="6D838400" w14:textId="0923E467" w:rsidR="002C0325" w:rsidRPr="008803EF" w:rsidRDefault="002C0325" w:rsidP="002C0325">
      <w:pPr>
        <w:jc w:val="both"/>
        <w:rPr>
          <w:rFonts w:ascii="Times New Roman" w:eastAsia="Times New Roman" w:hAnsi="Times New Roman"/>
          <w:noProof/>
          <w:sz w:val="24"/>
          <w:szCs w:val="24"/>
        </w:rPr>
      </w:pPr>
      <w:r w:rsidRPr="000B6BFA">
        <w:rPr>
          <w:rFonts w:ascii="Times New Roman" w:eastAsia="Times New Roman" w:hAnsi="Times New Roman"/>
          <w:noProof/>
          <w:sz w:val="24"/>
          <w:szCs w:val="24"/>
        </w:rPr>
        <w:t xml:space="preserve">For a significant segment of fundamental rights actors, </w:t>
      </w:r>
      <w:r>
        <w:rPr>
          <w:rFonts w:ascii="Times New Roman" w:eastAsia="Times New Roman" w:hAnsi="Times New Roman"/>
          <w:noProof/>
          <w:sz w:val="24"/>
          <w:szCs w:val="24"/>
        </w:rPr>
        <w:t xml:space="preserve">national, regional or local </w:t>
      </w:r>
      <w:r w:rsidRPr="000B6BFA">
        <w:rPr>
          <w:rFonts w:ascii="Times New Roman" w:eastAsia="Times New Roman" w:hAnsi="Times New Roman"/>
          <w:noProof/>
          <w:sz w:val="24"/>
          <w:szCs w:val="24"/>
        </w:rPr>
        <w:t>funding continues to be the primary funding source</w:t>
      </w:r>
      <w:r w:rsidRPr="00642D02">
        <w:rPr>
          <w:rFonts w:ascii="Times New Roman" w:eastAsia="Times New Roman" w:hAnsi="Times New Roman"/>
          <w:noProof/>
          <w:sz w:val="24"/>
          <w:szCs w:val="24"/>
        </w:rPr>
        <w:t xml:space="preserve">. </w:t>
      </w:r>
      <w:r w:rsidRPr="008803EF">
        <w:rPr>
          <w:rFonts w:ascii="Times New Roman" w:eastAsia="Times New Roman" w:hAnsi="Times New Roman"/>
          <w:noProof/>
          <w:sz w:val="24"/>
          <w:szCs w:val="24"/>
        </w:rPr>
        <w:t xml:space="preserve">Member States </w:t>
      </w:r>
      <w:r>
        <w:rPr>
          <w:rFonts w:ascii="Times New Roman" w:eastAsia="Times New Roman" w:hAnsi="Times New Roman"/>
          <w:noProof/>
          <w:sz w:val="24"/>
          <w:szCs w:val="24"/>
        </w:rPr>
        <w:t xml:space="preserve">therefore </w:t>
      </w:r>
      <w:r w:rsidRPr="008803EF">
        <w:rPr>
          <w:rFonts w:ascii="Times New Roman" w:eastAsia="Times New Roman" w:hAnsi="Times New Roman"/>
          <w:noProof/>
          <w:sz w:val="24"/>
          <w:szCs w:val="24"/>
        </w:rPr>
        <w:t xml:space="preserve">have an important role in </w:t>
      </w:r>
      <w:r>
        <w:rPr>
          <w:rFonts w:ascii="Times New Roman" w:eastAsia="Times New Roman" w:hAnsi="Times New Roman"/>
          <w:noProof/>
          <w:sz w:val="24"/>
          <w:szCs w:val="24"/>
        </w:rPr>
        <w:t xml:space="preserve">both complementing EU-funding and </w:t>
      </w:r>
      <w:r w:rsidRPr="008803EF">
        <w:rPr>
          <w:rFonts w:ascii="Times New Roman" w:eastAsia="Times New Roman" w:hAnsi="Times New Roman"/>
          <w:noProof/>
          <w:sz w:val="24"/>
          <w:szCs w:val="24"/>
        </w:rPr>
        <w:t>supporting the provision of EU funding</w:t>
      </w:r>
      <w:r>
        <w:rPr>
          <w:rFonts w:ascii="Times New Roman" w:eastAsia="Times New Roman" w:hAnsi="Times New Roman"/>
          <w:noProof/>
          <w:sz w:val="24"/>
          <w:szCs w:val="24"/>
        </w:rPr>
        <w:t xml:space="preserve"> by </w:t>
      </w:r>
      <w:r w:rsidRPr="008803EF">
        <w:rPr>
          <w:rFonts w:ascii="Times New Roman" w:eastAsia="Times New Roman" w:hAnsi="Times New Roman"/>
          <w:noProof/>
          <w:sz w:val="24"/>
          <w:szCs w:val="24"/>
        </w:rPr>
        <w:t xml:space="preserve">providing information on funding opportunities and participating in </w:t>
      </w:r>
      <w:r>
        <w:rPr>
          <w:rFonts w:ascii="Times New Roman" w:eastAsia="Times New Roman" w:hAnsi="Times New Roman"/>
          <w:noProof/>
          <w:sz w:val="24"/>
          <w:szCs w:val="24"/>
        </w:rPr>
        <w:t xml:space="preserve">EU </w:t>
      </w:r>
      <w:r w:rsidRPr="008803EF">
        <w:rPr>
          <w:rFonts w:ascii="Times New Roman" w:eastAsia="Times New Roman" w:hAnsi="Times New Roman"/>
          <w:noProof/>
          <w:sz w:val="24"/>
          <w:szCs w:val="24"/>
        </w:rPr>
        <w:t xml:space="preserve">projects as co-funders. </w:t>
      </w:r>
      <w:r>
        <w:rPr>
          <w:rFonts w:ascii="Times New Roman" w:eastAsia="Times New Roman" w:hAnsi="Times New Roman"/>
          <w:noProof/>
          <w:sz w:val="24"/>
          <w:szCs w:val="24"/>
        </w:rPr>
        <w:t>The cooperation with Member States will remain a central element in the implementation of EU funding.</w:t>
      </w:r>
      <w:r w:rsidR="00DB5AF8">
        <w:rPr>
          <w:rFonts w:ascii="Times New Roman" w:eastAsia="Times New Roman" w:hAnsi="Times New Roman"/>
          <w:noProof/>
          <w:sz w:val="24"/>
          <w:szCs w:val="24"/>
        </w:rPr>
        <w:t xml:space="preserve"> At the same time, </w:t>
      </w:r>
      <w:r w:rsidR="00F82099">
        <w:rPr>
          <w:rFonts w:ascii="Times New Roman" w:eastAsia="Times New Roman" w:hAnsi="Times New Roman"/>
          <w:noProof/>
          <w:sz w:val="24"/>
          <w:szCs w:val="24"/>
        </w:rPr>
        <w:t xml:space="preserve">there is a </w:t>
      </w:r>
      <w:r w:rsidR="00F82099" w:rsidRPr="00F82099">
        <w:rPr>
          <w:rFonts w:ascii="Times New Roman" w:eastAsia="Times New Roman" w:hAnsi="Times New Roman"/>
          <w:noProof/>
          <w:sz w:val="24"/>
          <w:szCs w:val="24"/>
        </w:rPr>
        <w:t xml:space="preserve">need to ensure that information on available funding opportunities reaches </w:t>
      </w:r>
      <w:r w:rsidR="00F82099">
        <w:rPr>
          <w:rFonts w:ascii="Times New Roman" w:eastAsia="Times New Roman" w:hAnsi="Times New Roman"/>
          <w:noProof/>
          <w:sz w:val="24"/>
          <w:szCs w:val="24"/>
        </w:rPr>
        <w:t xml:space="preserve">regional and </w:t>
      </w:r>
      <w:r w:rsidR="00F82099" w:rsidRPr="00F82099">
        <w:rPr>
          <w:rFonts w:ascii="Times New Roman" w:eastAsia="Times New Roman" w:hAnsi="Times New Roman"/>
          <w:noProof/>
          <w:sz w:val="24"/>
          <w:szCs w:val="24"/>
        </w:rPr>
        <w:t>local authorities</w:t>
      </w:r>
      <w:r w:rsidR="00F82099">
        <w:rPr>
          <w:rFonts w:ascii="Times New Roman" w:eastAsia="Times New Roman" w:hAnsi="Times New Roman"/>
          <w:noProof/>
          <w:sz w:val="24"/>
          <w:szCs w:val="24"/>
        </w:rPr>
        <w:t>.</w:t>
      </w:r>
    </w:p>
    <w:p w14:paraId="696BD854" w14:textId="77777777" w:rsidR="002C0325" w:rsidRPr="00D3274D" w:rsidRDefault="002C0325" w:rsidP="002C0325">
      <w:pPr>
        <w:jc w:val="both"/>
        <w:rPr>
          <w:rFonts w:ascii="Times New Roman" w:eastAsia="Times New Roman" w:hAnsi="Times New Roman"/>
          <w:noProof/>
          <w:sz w:val="24"/>
          <w:szCs w:val="24"/>
        </w:rPr>
      </w:pPr>
      <w:r>
        <w:rPr>
          <w:rFonts w:ascii="Times New Roman" w:eastAsia="Times New Roman" w:hAnsi="Times New Roman"/>
          <w:noProof/>
          <w:sz w:val="24"/>
          <w:szCs w:val="24"/>
        </w:rPr>
        <w:t>T</w:t>
      </w:r>
      <w:r w:rsidRPr="00D3274D">
        <w:rPr>
          <w:rFonts w:ascii="Times New Roman" w:eastAsia="Times New Roman" w:hAnsi="Times New Roman"/>
          <w:noProof/>
          <w:sz w:val="24"/>
          <w:szCs w:val="24"/>
        </w:rPr>
        <w:t xml:space="preserve">he Commission welcomes the </w:t>
      </w:r>
      <w:r w:rsidRPr="008803EF">
        <w:rPr>
          <w:rFonts w:ascii="Times New Roman" w:eastAsia="Times New Roman" w:hAnsi="Times New Roman"/>
          <w:noProof/>
          <w:sz w:val="24"/>
          <w:szCs w:val="24"/>
        </w:rPr>
        <w:t>extensive</w:t>
      </w:r>
      <w:r w:rsidRPr="00D3274D">
        <w:rPr>
          <w:rFonts w:ascii="Times New Roman" w:eastAsia="Times New Roman" w:hAnsi="Times New Roman"/>
          <w:noProof/>
          <w:sz w:val="24"/>
          <w:szCs w:val="24"/>
        </w:rPr>
        <w:t xml:space="preserve"> engagement </w:t>
      </w:r>
      <w:r>
        <w:rPr>
          <w:rFonts w:ascii="Times New Roman" w:eastAsia="Times New Roman" w:hAnsi="Times New Roman"/>
          <w:noProof/>
          <w:sz w:val="24"/>
          <w:szCs w:val="24"/>
        </w:rPr>
        <w:t>of</w:t>
      </w:r>
      <w:r w:rsidRPr="00D3274D">
        <w:rPr>
          <w:rFonts w:ascii="Times New Roman" w:eastAsia="Times New Roman" w:hAnsi="Times New Roman"/>
          <w:noProof/>
          <w:sz w:val="24"/>
          <w:szCs w:val="24"/>
        </w:rPr>
        <w:t xml:space="preserve"> stakeholders in preparing this report. </w:t>
      </w:r>
      <w:r>
        <w:rPr>
          <w:rFonts w:ascii="Times New Roman" w:eastAsia="Times New Roman" w:hAnsi="Times New Roman"/>
          <w:noProof/>
          <w:sz w:val="24"/>
          <w:szCs w:val="24"/>
        </w:rPr>
        <w:t xml:space="preserve">Stakeholders, such as national authorities, Charter focal points, CSOs, NHRIs and other human rights defenders, legal practitioners and others, are </w:t>
      </w:r>
      <w:r w:rsidRPr="00642D02">
        <w:rPr>
          <w:rFonts w:ascii="Times New Roman" w:eastAsia="Times New Roman" w:hAnsi="Times New Roman"/>
          <w:noProof/>
          <w:sz w:val="24"/>
          <w:szCs w:val="24"/>
        </w:rPr>
        <w:t xml:space="preserve">encouraged to further distribute this report and use it to inform </w:t>
      </w:r>
      <w:r>
        <w:rPr>
          <w:rFonts w:ascii="Times New Roman" w:eastAsia="Times New Roman" w:hAnsi="Times New Roman"/>
          <w:noProof/>
          <w:sz w:val="24"/>
          <w:szCs w:val="24"/>
        </w:rPr>
        <w:t xml:space="preserve">their constituents on the available EU funding on the field of fundamental rights. </w:t>
      </w:r>
      <w:r w:rsidRPr="00D3274D">
        <w:rPr>
          <w:rFonts w:ascii="Times New Roman" w:eastAsia="Times New Roman" w:hAnsi="Times New Roman"/>
          <w:noProof/>
          <w:sz w:val="24"/>
          <w:szCs w:val="24"/>
        </w:rPr>
        <w:t>The Commission also invites the European Parliament and the Council to organise dedicated discussions on the report and is available to support these exchanges.</w:t>
      </w:r>
      <w:bookmarkEnd w:id="24"/>
      <w:bookmarkEnd w:id="26"/>
      <w:bookmarkEnd w:id="27"/>
    </w:p>
    <w:p w14:paraId="4C515047" w14:textId="3D61261E" w:rsidR="009B4232" w:rsidRDefault="009B4232">
      <w:pPr>
        <w:rPr>
          <w:noProof/>
        </w:rPr>
      </w:pPr>
    </w:p>
    <w:sectPr w:rsidR="009B4232" w:rsidSect="00990FBB">
      <w:footerReference w:type="default" r:id="rId22"/>
      <w:pgSz w:w="11906" w:h="16838" w:code="9"/>
      <w:pgMar w:top="1134" w:right="1417" w:bottom="1134" w:left="1417" w:header="709" w:footer="28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FAE46" w14:textId="77777777" w:rsidR="00352B78" w:rsidRDefault="00352B78" w:rsidP="002C0325">
      <w:pPr>
        <w:spacing w:after="0" w:line="240" w:lineRule="auto"/>
      </w:pPr>
      <w:r>
        <w:separator/>
      </w:r>
    </w:p>
  </w:endnote>
  <w:endnote w:type="continuationSeparator" w:id="0">
    <w:p w14:paraId="5F7A063E" w14:textId="77777777" w:rsidR="00352B78" w:rsidRDefault="00352B78" w:rsidP="002C0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C Square Sans Pro">
    <w:altName w:val="Cambria"/>
    <w:charset w:val="00"/>
    <w:family w:val="swiss"/>
    <w:pitch w:val="variable"/>
    <w:sig w:usb0="20000287" w:usb1="00000001"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798A9" w14:textId="5BCA2672" w:rsidR="00623D1D" w:rsidRPr="00623D1D" w:rsidRDefault="00623D1D" w:rsidP="00623D1D">
    <w:pPr>
      <w:pStyle w:val="FooterCoverPage"/>
      <w:rPr>
        <w:rFonts w:ascii="Arial" w:hAnsi="Arial" w:cs="Arial"/>
        <w:b/>
        <w:sz w:val="48"/>
      </w:rPr>
    </w:pPr>
    <w:r w:rsidRPr="00623D1D">
      <w:rPr>
        <w:rFonts w:ascii="Arial" w:hAnsi="Arial" w:cs="Arial"/>
        <w:b/>
        <w:sz w:val="48"/>
      </w:rPr>
      <w:t>EN</w:t>
    </w:r>
    <w:r w:rsidRPr="00623D1D">
      <w:rPr>
        <w:rFonts w:ascii="Arial" w:hAnsi="Arial" w:cs="Arial"/>
        <w:b/>
        <w:sz w:val="48"/>
      </w:rPr>
      <w:tab/>
    </w:r>
    <w:r w:rsidRPr="00623D1D">
      <w:rPr>
        <w:rFonts w:ascii="Arial" w:hAnsi="Arial" w:cs="Arial"/>
        <w:b/>
        <w:sz w:val="48"/>
      </w:rPr>
      <w:tab/>
    </w:r>
    <w:r w:rsidRPr="00623D1D">
      <w:tab/>
    </w:r>
    <w:r w:rsidRPr="00623D1D">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54774" w14:textId="0B015A6A" w:rsidR="00623D1D" w:rsidRPr="00623D1D" w:rsidRDefault="00623D1D" w:rsidP="00623D1D">
    <w:pPr>
      <w:pStyle w:val="FooterCoverPage"/>
      <w:rPr>
        <w:rFonts w:ascii="Arial" w:hAnsi="Arial" w:cs="Arial"/>
        <w:b/>
        <w:sz w:val="48"/>
      </w:rPr>
    </w:pPr>
    <w:r w:rsidRPr="00623D1D">
      <w:rPr>
        <w:rFonts w:ascii="Arial" w:hAnsi="Arial" w:cs="Arial"/>
        <w:b/>
        <w:sz w:val="48"/>
      </w:rPr>
      <w:t>EN</w:t>
    </w:r>
    <w:r w:rsidRPr="00623D1D">
      <w:rPr>
        <w:rFonts w:ascii="Arial" w:hAnsi="Arial" w:cs="Arial"/>
        <w:b/>
        <w:sz w:val="48"/>
      </w:rPr>
      <w:tab/>
    </w:r>
    <w:r w:rsidRPr="00623D1D">
      <w:rPr>
        <w:rFonts w:ascii="Arial" w:hAnsi="Arial" w:cs="Arial"/>
        <w:b/>
        <w:sz w:val="48"/>
      </w:rPr>
      <w:tab/>
    </w:r>
    <w:r w:rsidRPr="00623D1D">
      <w:tab/>
    </w:r>
    <w:r w:rsidRPr="00623D1D">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7C9D3" w14:textId="77777777" w:rsidR="00623D1D" w:rsidRPr="00623D1D" w:rsidRDefault="00623D1D" w:rsidP="00623D1D">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8719A" w14:textId="77777777" w:rsidR="00352B78" w:rsidRPr="00B76909" w:rsidRDefault="00352B78" w:rsidP="00352B78">
    <w:pPr>
      <w:pStyle w:val="FooterCoverPage"/>
      <w:rPr>
        <w:rFonts w:ascii="Arial" w:hAnsi="Arial" w:cs="Arial"/>
        <w:b/>
        <w:sz w:val="48"/>
      </w:rPr>
    </w:pPr>
    <w:r w:rsidRPr="00B76909">
      <w:rPr>
        <w:rFonts w:ascii="Arial" w:hAnsi="Arial" w:cs="Arial"/>
        <w:b/>
        <w:sz w:val="48"/>
      </w:rPr>
      <w:t>EN</w:t>
    </w:r>
    <w:r w:rsidRPr="00B76909">
      <w:rPr>
        <w:rFonts w:ascii="Arial" w:hAnsi="Arial" w:cs="Arial"/>
        <w:b/>
        <w:sz w:val="48"/>
      </w:rPr>
      <w:tab/>
    </w:r>
    <w:r w:rsidRPr="00B76909">
      <w:rPr>
        <w:rFonts w:ascii="Arial" w:hAnsi="Arial" w:cs="Arial"/>
        <w:b/>
        <w:sz w:val="48"/>
      </w:rPr>
      <w:tab/>
    </w:r>
    <w:r w:rsidRPr="00B76909">
      <w:tab/>
    </w:r>
    <w:r w:rsidRPr="00B76909">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8C9FE" w14:textId="5653B16C" w:rsidR="00352B78" w:rsidRPr="00B76909" w:rsidRDefault="00352B78" w:rsidP="00352B78">
    <w:pPr>
      <w:pStyle w:val="FooterCoverPage"/>
      <w:rPr>
        <w:rFonts w:ascii="Arial" w:hAnsi="Arial" w:cs="Arial"/>
        <w:b/>
        <w:sz w:val="4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376593"/>
      <w:docPartObj>
        <w:docPartGallery w:val="Page Numbers (Bottom of Page)"/>
        <w:docPartUnique/>
      </w:docPartObj>
    </w:sdtPr>
    <w:sdtEndPr>
      <w:rPr>
        <w:noProof/>
      </w:rPr>
    </w:sdtEndPr>
    <w:sdtContent>
      <w:p w14:paraId="2183624E" w14:textId="754B3923" w:rsidR="00352B78" w:rsidRDefault="00352B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47F86B" w14:textId="77777777" w:rsidR="00352B78" w:rsidRPr="00B76909" w:rsidRDefault="00352B78" w:rsidP="00352B78">
    <w:pPr>
      <w:pStyle w:val="FooterCoverPage"/>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568019"/>
      <w:docPartObj>
        <w:docPartGallery w:val="Page Numbers (Bottom of Page)"/>
        <w:docPartUnique/>
      </w:docPartObj>
    </w:sdtPr>
    <w:sdtEndPr>
      <w:rPr>
        <w:noProof/>
      </w:rPr>
    </w:sdtEndPr>
    <w:sdtContent>
      <w:p w14:paraId="3FEFC494" w14:textId="55ACD912" w:rsidR="00352B78" w:rsidRDefault="00352B78" w:rsidP="00E97D9D">
        <w:pPr>
          <w:pStyle w:val="Footer"/>
          <w:tabs>
            <w:tab w:val="left" w:pos="8130"/>
            <w:tab w:val="left" w:pos="8910"/>
            <w:tab w:val="right" w:pos="9072"/>
          </w:tabs>
          <w:spacing w:before="240"/>
        </w:pPr>
        <w:r>
          <w:tab/>
        </w:r>
        <w:r>
          <w:tab/>
        </w:r>
        <w:r>
          <w:tab/>
        </w:r>
        <w:r>
          <w:tab/>
        </w:r>
        <w:r>
          <w:fldChar w:fldCharType="begin"/>
        </w:r>
        <w:r>
          <w:instrText xml:space="preserve"> PAGE   \* MERGEFORMAT </w:instrText>
        </w:r>
        <w:r>
          <w:fldChar w:fldCharType="separate"/>
        </w:r>
        <w:r w:rsidR="00623D1D">
          <w:rPr>
            <w:noProof/>
          </w:rPr>
          <w:t>1</w:t>
        </w:r>
        <w:r>
          <w:rPr>
            <w:noProof/>
          </w:rPr>
          <w:fldChar w:fldCharType="end"/>
        </w:r>
      </w:p>
    </w:sdtContent>
  </w:sdt>
  <w:p w14:paraId="7DD00DB5" w14:textId="77777777" w:rsidR="00352B78" w:rsidRPr="00B76909" w:rsidRDefault="00352B78" w:rsidP="00352B78">
    <w:pPr>
      <w:pStyle w:val="FooterCoverPage"/>
      <w:rPr>
        <w:rFonts w:ascii="Arial" w:hAnsi="Arial" w:cs="Arial"/>
        <w:b/>
        <w:sz w:val="4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05F1C" w14:textId="77777777" w:rsidR="00352B78" w:rsidRDefault="00352B78" w:rsidP="002C0325">
      <w:pPr>
        <w:spacing w:after="0" w:line="240" w:lineRule="auto"/>
      </w:pPr>
      <w:r>
        <w:separator/>
      </w:r>
    </w:p>
  </w:footnote>
  <w:footnote w:type="continuationSeparator" w:id="0">
    <w:p w14:paraId="10727221" w14:textId="77777777" w:rsidR="00352B78" w:rsidRDefault="00352B78" w:rsidP="002C0325">
      <w:pPr>
        <w:spacing w:after="0" w:line="240" w:lineRule="auto"/>
      </w:pPr>
      <w:r>
        <w:continuationSeparator/>
      </w:r>
    </w:p>
  </w:footnote>
  <w:footnote w:id="1">
    <w:p w14:paraId="164F7F15" w14:textId="77777777" w:rsidR="00352B78" w:rsidRDefault="00352B78" w:rsidP="002C0325">
      <w:pPr>
        <w:pStyle w:val="FootnoteText"/>
        <w:jc w:val="both"/>
      </w:pPr>
      <w:r w:rsidRPr="000B6BFA">
        <w:rPr>
          <w:rStyle w:val="FootnoteReference"/>
          <w:sz w:val="20"/>
        </w:rPr>
        <w:footnoteRef/>
      </w:r>
      <w:r>
        <w:t xml:space="preserve"> Article 6 </w:t>
      </w:r>
      <w:r w:rsidRPr="004A56CB">
        <w:rPr>
          <w:noProof/>
        </w:rPr>
        <w:t>Treaty on European Union (TEU)</w:t>
      </w:r>
      <w:r>
        <w:t>.</w:t>
      </w:r>
    </w:p>
  </w:footnote>
  <w:footnote w:id="2">
    <w:p w14:paraId="02CAF417" w14:textId="77777777" w:rsidR="00352B78" w:rsidRDefault="00352B78" w:rsidP="002C0325">
      <w:pPr>
        <w:pStyle w:val="FootnoteText"/>
        <w:jc w:val="both"/>
      </w:pPr>
      <w:r w:rsidRPr="000B6BFA">
        <w:rPr>
          <w:rStyle w:val="FootnoteReference"/>
          <w:sz w:val="20"/>
        </w:rPr>
        <w:footnoteRef/>
      </w:r>
      <w:r>
        <w:t xml:space="preserve"> Article 51(1) of the Charter.</w:t>
      </w:r>
    </w:p>
  </w:footnote>
  <w:footnote w:id="3">
    <w:p w14:paraId="3F02D752" w14:textId="77777777" w:rsidR="00352B78" w:rsidRDefault="00352B78" w:rsidP="002C0325">
      <w:pPr>
        <w:pStyle w:val="FootnoteText"/>
        <w:jc w:val="both"/>
      </w:pPr>
      <w:r w:rsidRPr="000B6BFA">
        <w:rPr>
          <w:rStyle w:val="FootnoteReference"/>
          <w:sz w:val="20"/>
        </w:rPr>
        <w:footnoteRef/>
      </w:r>
      <w:r>
        <w:t xml:space="preserve"> When Member States adopt laws in an area where the EU has no competence and when no EU law exists, they are not implementing EU law and the Charter is not applicable. However, many fundamental rights enshrined in the Charter are also set out in national constitutions and case law, as well as in the European Convention on Human Rights, to which all Member States are signatories.</w:t>
      </w:r>
    </w:p>
  </w:footnote>
  <w:footnote w:id="4">
    <w:p w14:paraId="6B0B2AC6" w14:textId="77777777" w:rsidR="00352B78" w:rsidRDefault="00352B78" w:rsidP="002C0325">
      <w:pPr>
        <w:pStyle w:val="FootnoteText"/>
        <w:jc w:val="both"/>
      </w:pPr>
      <w:r w:rsidRPr="000B6BFA">
        <w:rPr>
          <w:rStyle w:val="FootnoteReference"/>
          <w:sz w:val="20"/>
        </w:rPr>
        <w:footnoteRef/>
      </w:r>
      <w:r>
        <w:t xml:space="preserve"> </w:t>
      </w:r>
      <w:bookmarkStart w:id="7" w:name="_Hlk110344068"/>
      <w:r>
        <w:t>COM(2020) 711.</w:t>
      </w:r>
      <w:bookmarkEnd w:id="7"/>
    </w:p>
  </w:footnote>
  <w:footnote w:id="5">
    <w:p w14:paraId="2674D170" w14:textId="77777777" w:rsidR="00352B78" w:rsidRPr="00660829" w:rsidRDefault="00352B78" w:rsidP="002C0325">
      <w:pPr>
        <w:pStyle w:val="FootnoteText"/>
      </w:pPr>
      <w:r w:rsidRPr="000B6BFA">
        <w:rPr>
          <w:rStyle w:val="FootnoteReference"/>
          <w:sz w:val="20"/>
        </w:rPr>
        <w:footnoteRef/>
      </w:r>
      <w:r>
        <w:t xml:space="preserve"> </w:t>
      </w:r>
      <w:hyperlink r:id="rId1" w:history="1">
        <w:r w:rsidRPr="002B715D">
          <w:rPr>
            <w:rStyle w:val="Hyperlink"/>
          </w:rPr>
          <w:t>Analysis of the targeted consultations for the Commission's new Charter strategy</w:t>
        </w:r>
      </w:hyperlink>
      <w:r>
        <w:t xml:space="preserve">, p. 24. </w:t>
      </w:r>
    </w:p>
  </w:footnote>
  <w:footnote w:id="6">
    <w:p w14:paraId="6A93718E" w14:textId="77777777" w:rsidR="00352B78" w:rsidRDefault="00352B78" w:rsidP="002C0325">
      <w:pPr>
        <w:pStyle w:val="FootnoteText"/>
        <w:jc w:val="both"/>
      </w:pPr>
      <w:r w:rsidRPr="000B6BFA">
        <w:rPr>
          <w:rStyle w:val="FootnoteReference"/>
          <w:sz w:val="20"/>
        </w:rPr>
        <w:footnoteRef/>
      </w:r>
      <w:r>
        <w:t xml:space="preserve"> </w:t>
      </w:r>
      <w:r w:rsidRPr="004A56CB">
        <w:rPr>
          <w:noProof/>
        </w:rPr>
        <w:t xml:space="preserve">These Charter reports are intended to look more closely at the Charter’s application in a given area of strategic relevance governed by EU law. Together with the annual Rule of Law reports, the Charter reports give an account </w:t>
      </w:r>
      <w:r>
        <w:rPr>
          <w:noProof/>
        </w:rPr>
        <w:t>regarding</w:t>
      </w:r>
      <w:r w:rsidRPr="004A56CB">
        <w:rPr>
          <w:noProof/>
        </w:rPr>
        <w:t xml:space="preserve"> the implementation of some of the EU’s founding values within the meaning of Article 2 TEU. The Charter reports contribut</w:t>
      </w:r>
      <w:r>
        <w:rPr>
          <w:noProof/>
        </w:rPr>
        <w:t>e</w:t>
      </w:r>
      <w:r w:rsidRPr="004A56CB">
        <w:rPr>
          <w:noProof/>
        </w:rPr>
        <w:t xml:space="preserve"> to upholding the fundamental values of the EU, of the rule of law, democracy and respect for fundamental rights</w:t>
      </w:r>
      <w:r w:rsidRPr="000B6BFA">
        <w:t xml:space="preserve">. </w:t>
      </w:r>
      <w:r>
        <w:t xml:space="preserve">See previous reports: </w:t>
      </w:r>
      <w:hyperlink r:id="rId2" w:history="1">
        <w:r w:rsidRPr="00606C52">
          <w:rPr>
            <w:rStyle w:val="Hyperlink"/>
          </w:rPr>
          <w:t>Effective legal protection and access to justice</w:t>
        </w:r>
      </w:hyperlink>
      <w:r>
        <w:t xml:space="preserve"> - 2023 Annual report on the application of the EU Charter of Fundamental Rights, COM(2023) 786; </w:t>
      </w:r>
      <w:hyperlink r:id="rId3" w:history="1">
        <w:r>
          <w:rPr>
            <w:rStyle w:val="Hyperlink"/>
          </w:rPr>
          <w:t>A thriving civic space for upholding fundamental rights in the EU</w:t>
        </w:r>
      </w:hyperlink>
      <w:r>
        <w:t xml:space="preserve"> - 2022 Annual report on the application of the EU Charter of Fundamental Rights, COM/2022/716; </w:t>
      </w:r>
      <w:hyperlink r:id="rId4" w:history="1">
        <w:r>
          <w:rPr>
            <w:rStyle w:val="Hyperlink"/>
          </w:rPr>
          <w:t>Protecting fundamental rights in the digital age</w:t>
        </w:r>
      </w:hyperlink>
      <w:r>
        <w:t xml:space="preserve"> - 2021 Annual report on the application of the EU Charter of Fundamental Rights, COM/2021/819. </w:t>
      </w:r>
    </w:p>
  </w:footnote>
  <w:footnote w:id="7">
    <w:p w14:paraId="35783372" w14:textId="77777777" w:rsidR="00352B78" w:rsidRPr="00486EAB" w:rsidRDefault="00352B78" w:rsidP="002C0325">
      <w:pPr>
        <w:pStyle w:val="FootnoteText"/>
        <w:jc w:val="both"/>
      </w:pPr>
      <w:r w:rsidRPr="000B6BFA">
        <w:rPr>
          <w:rStyle w:val="FootnoteReference"/>
          <w:sz w:val="20"/>
        </w:rPr>
        <w:footnoteRef/>
      </w:r>
      <w:r w:rsidRPr="00486EAB">
        <w:rPr>
          <w:rFonts w:eastAsia="Times New Roman"/>
        </w:rPr>
        <w:t xml:space="preserve"> See, in this regard, </w:t>
      </w:r>
      <w:r w:rsidRPr="002E0233">
        <w:rPr>
          <w:rFonts w:eastAsia="Times New Roman"/>
        </w:rPr>
        <w:t xml:space="preserve">CJEU judgment of 17 September 2014, </w:t>
      </w:r>
      <w:r w:rsidRPr="000B6BFA">
        <w:rPr>
          <w:rFonts w:eastAsia="Times New Roman"/>
          <w:i/>
        </w:rPr>
        <w:t>Liivimaa Lihaveis MTÜ</w:t>
      </w:r>
      <w:r w:rsidRPr="002E0233">
        <w:rPr>
          <w:rFonts w:eastAsia="Times New Roman"/>
        </w:rPr>
        <w:t>, C-562/12, EU:C:2014:2229.</w:t>
      </w:r>
    </w:p>
  </w:footnote>
  <w:footnote w:id="8">
    <w:p w14:paraId="5F5A749A" w14:textId="77777777" w:rsidR="00352B78" w:rsidRPr="0030694A" w:rsidRDefault="00352B78" w:rsidP="002C0325">
      <w:pPr>
        <w:pStyle w:val="FootnoteText"/>
        <w:jc w:val="both"/>
      </w:pPr>
      <w:r w:rsidRPr="000B6BFA">
        <w:rPr>
          <w:rStyle w:val="FootnoteReference"/>
          <w:sz w:val="20"/>
        </w:rPr>
        <w:footnoteRef/>
      </w:r>
      <w:r>
        <w:t xml:space="preserve"> </w:t>
      </w:r>
      <w:r w:rsidRPr="058BA407">
        <w:rPr>
          <w:rFonts w:eastAsia="Times New Roman"/>
          <w:lang w:val="en-US"/>
        </w:rPr>
        <w:t>Commission Notice, Guidance on ensuring the respect for the Charter of Fundamental Rights of the European Union when implementing the European Structural and Investment Funds (‘ESI Funds’), 2016/C 269/01, para 3 and Annex I.</w:t>
      </w:r>
    </w:p>
  </w:footnote>
  <w:footnote w:id="9">
    <w:p w14:paraId="2C383022" w14:textId="77777777" w:rsidR="00352B78" w:rsidRPr="001A2D72" w:rsidRDefault="00352B78" w:rsidP="002C0325">
      <w:pPr>
        <w:pStyle w:val="FootnoteText"/>
        <w:jc w:val="both"/>
      </w:pPr>
      <w:r w:rsidRPr="000B6BFA">
        <w:rPr>
          <w:rStyle w:val="FootnoteReference"/>
          <w:sz w:val="20"/>
        </w:rPr>
        <w:footnoteRef/>
      </w:r>
      <w:r w:rsidRPr="058BA407">
        <w:t xml:space="preserve"> </w:t>
      </w:r>
      <w:r w:rsidRPr="002E0233">
        <w:t xml:space="preserve">This is the case for instance when a Member State makes </w:t>
      </w:r>
      <w:r>
        <w:t xml:space="preserve">funding </w:t>
      </w:r>
      <w:r w:rsidRPr="002E0233">
        <w:t xml:space="preserve">beneficiaries responsible for providing a public service under </w:t>
      </w:r>
      <w:r>
        <w:t>its</w:t>
      </w:r>
      <w:r w:rsidRPr="002E0233">
        <w:t xml:space="preserve"> control, which implies an exceptional role close to the State authority</w:t>
      </w:r>
      <w:r>
        <w:t xml:space="preserve">, see Commission Notice </w:t>
      </w:r>
      <w:r w:rsidRPr="058BA407">
        <w:rPr>
          <w:rFonts w:eastAsia="Times New Roman"/>
          <w:lang w:val="en-US"/>
        </w:rPr>
        <w:t>2016/C 269/01, para 2.2.1.</w:t>
      </w:r>
      <w:r>
        <w:rPr>
          <w:rFonts w:eastAsia="Times New Roman"/>
          <w:lang w:val="en-US"/>
        </w:rPr>
        <w:t xml:space="preserve"> </w:t>
      </w:r>
      <w:r w:rsidRPr="00C03B47">
        <w:t xml:space="preserve">Member States are </w:t>
      </w:r>
      <w:r>
        <w:t xml:space="preserve">however not </w:t>
      </w:r>
      <w:r w:rsidRPr="00C03B47">
        <w:t xml:space="preserve">automatically implementing Union law when they manage and implement programmes supported by EU </w:t>
      </w:r>
      <w:r>
        <w:t>f</w:t>
      </w:r>
      <w:r w:rsidRPr="00C03B47">
        <w:t>unds</w:t>
      </w:r>
      <w:r>
        <w:t xml:space="preserve"> (s</w:t>
      </w:r>
      <w:r w:rsidRPr="00C03B47">
        <w:t xml:space="preserve">ee case C-198/13, </w:t>
      </w:r>
      <w:r w:rsidRPr="000B6BFA">
        <w:rPr>
          <w:i/>
        </w:rPr>
        <w:t>Hernández and others v Spain</w:t>
      </w:r>
      <w:r w:rsidRPr="00C03B47">
        <w:t xml:space="preserve"> (paras</w:t>
      </w:r>
      <w:r>
        <w:t>.</w:t>
      </w:r>
      <w:r w:rsidRPr="00C03B47">
        <w:t xml:space="preserve"> 33-37)</w:t>
      </w:r>
      <w:r>
        <w:t>)</w:t>
      </w:r>
      <w:r w:rsidRPr="00C03B47">
        <w:t>.</w:t>
      </w:r>
      <w:r>
        <w:t xml:space="preserve"> S</w:t>
      </w:r>
      <w:r w:rsidRPr="00C03B47">
        <w:t xml:space="preserve">upport by </w:t>
      </w:r>
      <w:r>
        <w:t>an</w:t>
      </w:r>
      <w:r w:rsidRPr="00C03B47">
        <w:t xml:space="preserve"> EU</w:t>
      </w:r>
      <w:r>
        <w:t xml:space="preserve"> f</w:t>
      </w:r>
      <w:r w:rsidRPr="00C03B47">
        <w:t xml:space="preserve">unds is not sufficient, in itself, to lead to a conclusion that </w:t>
      </w:r>
      <w:r>
        <w:t>a</w:t>
      </w:r>
      <w:r w:rsidRPr="00C03B47">
        <w:t xml:space="preserve"> measure involves the implementation of EU law </w:t>
      </w:r>
      <w:r>
        <w:t>with</w:t>
      </w:r>
      <w:r w:rsidRPr="00C03B47">
        <w:t>in the meaning of Article 51(1) of the Charter. It will be necessary to examine whether in an individual case</w:t>
      </w:r>
      <w:r>
        <w:t>,</w:t>
      </w:r>
      <w:r w:rsidRPr="00C03B47">
        <w:t xml:space="preserve"> </w:t>
      </w:r>
      <w:r>
        <w:t xml:space="preserve">the relevant </w:t>
      </w:r>
      <w:r w:rsidRPr="00C03B47">
        <w:t xml:space="preserve">national measures are intended to implement EU law. </w:t>
      </w:r>
      <w:r w:rsidRPr="00B32DD3">
        <w:t xml:space="preserve">See case C-117/14, </w:t>
      </w:r>
      <w:r w:rsidRPr="00B32DD3">
        <w:rPr>
          <w:i/>
        </w:rPr>
        <w:t>Grima Janet Nisttahuz Poclava v Jose María Ariza Toledano</w:t>
      </w:r>
      <w:r w:rsidRPr="00B32DD3">
        <w:t xml:space="preserve"> (para. </w:t>
      </w:r>
      <w:r w:rsidRPr="00C03B47">
        <w:t>42) and Commission Notice 2016/C 269/01,</w:t>
      </w:r>
      <w:r>
        <w:t xml:space="preserve"> </w:t>
      </w:r>
      <w:r w:rsidRPr="00C03B47">
        <w:t>Section 2.</w:t>
      </w:r>
    </w:p>
  </w:footnote>
  <w:footnote w:id="10">
    <w:p w14:paraId="029B4952" w14:textId="77777777" w:rsidR="00352B78" w:rsidRPr="00BB4046" w:rsidRDefault="00352B78" w:rsidP="002C0325">
      <w:pPr>
        <w:pStyle w:val="FootnoteText"/>
      </w:pPr>
      <w:r w:rsidRPr="000B6BFA">
        <w:rPr>
          <w:rStyle w:val="FootnoteReference"/>
          <w:sz w:val="20"/>
        </w:rPr>
        <w:footnoteRef/>
      </w:r>
      <w:r w:rsidRPr="00BB4046">
        <w:t xml:space="preserve"> Charter strategy, p. 8-9. </w:t>
      </w:r>
    </w:p>
  </w:footnote>
  <w:footnote w:id="11">
    <w:p w14:paraId="1A586E69" w14:textId="77777777" w:rsidR="00352B78" w:rsidRPr="009E1D5C" w:rsidRDefault="00352B78" w:rsidP="002C0325">
      <w:pPr>
        <w:pStyle w:val="FootnoteText"/>
      </w:pPr>
      <w:r w:rsidRPr="000B6BFA">
        <w:rPr>
          <w:rStyle w:val="FootnoteReference"/>
          <w:sz w:val="20"/>
        </w:rPr>
        <w:footnoteRef/>
      </w:r>
      <w:r>
        <w:t xml:space="preserve"> </w:t>
      </w:r>
      <w:hyperlink r:id="rId5" w:history="1">
        <w:r>
          <w:rPr>
            <w:rStyle w:val="Hyperlink"/>
          </w:rPr>
          <w:t>Civil society | European Union Agency for Fundamental Rights (europa.eu)</w:t>
        </w:r>
      </w:hyperlink>
      <w:r>
        <w:t xml:space="preserve">; </w:t>
      </w:r>
      <w:r w:rsidRPr="00DE01A2">
        <w:t>COM(2022)</w:t>
      </w:r>
      <w:r>
        <w:t xml:space="preserve"> </w:t>
      </w:r>
      <w:r w:rsidRPr="00DE01A2">
        <w:t>716</w:t>
      </w:r>
      <w:r>
        <w:t>, p. 16, referring to dissuasive measures such as audits, funding investigations and obstacles to accessing funding.</w:t>
      </w:r>
    </w:p>
  </w:footnote>
  <w:footnote w:id="12">
    <w:p w14:paraId="4D907EA6" w14:textId="77777777" w:rsidR="00352B78" w:rsidRPr="003C5B52" w:rsidRDefault="00352B78" w:rsidP="002C0325">
      <w:pPr>
        <w:pStyle w:val="FootnoteText"/>
        <w:jc w:val="both"/>
      </w:pPr>
      <w:r w:rsidRPr="000B6BFA">
        <w:rPr>
          <w:rStyle w:val="FootnoteReference"/>
          <w:sz w:val="20"/>
        </w:rPr>
        <w:footnoteRef/>
      </w:r>
      <w:r>
        <w:t xml:space="preserve"> </w:t>
      </w:r>
      <w:r w:rsidRPr="00C14D53">
        <w:t>C(2023) 8627.</w:t>
      </w:r>
      <w:r>
        <w:t xml:space="preserve"> Also, </w:t>
      </w:r>
      <w:r w:rsidRPr="00826398">
        <w:t>COM</w:t>
      </w:r>
      <w:r>
        <w:t>(</w:t>
      </w:r>
      <w:r w:rsidRPr="00826398">
        <w:t>2023</w:t>
      </w:r>
      <w:r>
        <w:t xml:space="preserve">) </w:t>
      </w:r>
      <w:r w:rsidRPr="00826398">
        <w:t>630 final</w:t>
      </w:r>
      <w:r>
        <w:t xml:space="preserve">, where the Commission made reference to the </w:t>
      </w:r>
      <w:r w:rsidRPr="001F4213">
        <w:t>wide range of funding opportunities made available to boost citizen participation, civic engagement and trust in democracy</w:t>
      </w:r>
      <w:r>
        <w:t xml:space="preserve">, as well as underlined the need to not curtail the activities of civil society organisations and human rights defenders receiving funding from abroad. </w:t>
      </w:r>
    </w:p>
  </w:footnote>
  <w:footnote w:id="13">
    <w:p w14:paraId="3B57823E" w14:textId="77777777" w:rsidR="00352B78" w:rsidRPr="00713AC1" w:rsidRDefault="00352B78" w:rsidP="002C0325">
      <w:pPr>
        <w:pStyle w:val="FootnoteText"/>
      </w:pPr>
      <w:r w:rsidRPr="000B6BFA">
        <w:rPr>
          <w:rStyle w:val="FootnoteReference"/>
          <w:sz w:val="20"/>
        </w:rPr>
        <w:footnoteRef/>
      </w:r>
      <w:r>
        <w:t xml:space="preserve"> </w:t>
      </w:r>
      <w:r w:rsidRPr="00713AC1">
        <w:t>C(2023) 8627</w:t>
      </w:r>
      <w:r>
        <w:t xml:space="preserve">, recital 23, p. 10 and 19. </w:t>
      </w:r>
    </w:p>
  </w:footnote>
  <w:footnote w:id="14">
    <w:p w14:paraId="272C597E" w14:textId="77777777" w:rsidR="00352B78" w:rsidRPr="0030694A" w:rsidRDefault="00352B78" w:rsidP="002C0325">
      <w:pPr>
        <w:pStyle w:val="FootnoteText"/>
      </w:pPr>
      <w:r w:rsidRPr="000B6BFA">
        <w:rPr>
          <w:rStyle w:val="FootnoteReference"/>
          <w:sz w:val="20"/>
        </w:rPr>
        <w:footnoteRef/>
      </w:r>
      <w:r>
        <w:t xml:space="preserve"> Charter strategy, p. 8-9.</w:t>
      </w:r>
    </w:p>
  </w:footnote>
  <w:footnote w:id="15">
    <w:p w14:paraId="6B720FDC" w14:textId="77777777" w:rsidR="00352B78" w:rsidRPr="00DE01A2" w:rsidRDefault="00352B78" w:rsidP="002C0325">
      <w:pPr>
        <w:pStyle w:val="FootnoteText"/>
      </w:pPr>
      <w:r w:rsidRPr="000B6BFA">
        <w:rPr>
          <w:rStyle w:val="FootnoteReference"/>
          <w:sz w:val="20"/>
        </w:rPr>
        <w:footnoteRef/>
      </w:r>
      <w:r>
        <w:t xml:space="preserve"> </w:t>
      </w:r>
      <w:r w:rsidRPr="00DE01A2">
        <w:t>COM(2022)</w:t>
      </w:r>
      <w:r>
        <w:t xml:space="preserve"> </w:t>
      </w:r>
      <w:r w:rsidRPr="00DE01A2">
        <w:t>716</w:t>
      </w:r>
      <w:r>
        <w:t xml:space="preserve">. </w:t>
      </w:r>
    </w:p>
  </w:footnote>
  <w:footnote w:id="16">
    <w:p w14:paraId="11D76A01" w14:textId="77777777" w:rsidR="00352B78" w:rsidRPr="004C7896" w:rsidRDefault="00352B78" w:rsidP="009C4906">
      <w:pPr>
        <w:pStyle w:val="FootnoteText"/>
        <w:jc w:val="both"/>
      </w:pPr>
      <w:r w:rsidRPr="000B6BFA">
        <w:rPr>
          <w:rStyle w:val="FootnoteReference"/>
          <w:sz w:val="20"/>
        </w:rPr>
        <w:footnoteRef/>
      </w:r>
      <w:r>
        <w:t xml:space="preserve"> European Commission: </w:t>
      </w:r>
      <w:hyperlink r:id="rId6" w:history="1">
        <w:r w:rsidRPr="00F02BB4">
          <w:rPr>
            <w:rStyle w:val="Hyperlink"/>
          </w:rPr>
          <w:t>Final Report - A thriving civic space for upholding fundamental rights in the EU</w:t>
        </w:r>
      </w:hyperlink>
      <w:r>
        <w:t xml:space="preserve">, </w:t>
      </w:r>
      <w:r w:rsidRPr="004C7896">
        <w:t>19 March 2024</w:t>
      </w:r>
      <w:r>
        <w:t>.</w:t>
      </w:r>
    </w:p>
  </w:footnote>
  <w:footnote w:id="17">
    <w:p w14:paraId="100A5E3D" w14:textId="77777777" w:rsidR="00352B78" w:rsidRPr="007236A0" w:rsidRDefault="00352B78" w:rsidP="002C0325">
      <w:pPr>
        <w:pStyle w:val="FootnoteText"/>
        <w:jc w:val="both"/>
      </w:pPr>
      <w:r w:rsidRPr="000B6BFA">
        <w:rPr>
          <w:rStyle w:val="FootnoteReference"/>
          <w:sz w:val="20"/>
        </w:rPr>
        <w:footnoteRef/>
      </w:r>
      <w:r>
        <w:t xml:space="preserve"> </w:t>
      </w:r>
      <w:r w:rsidRPr="007236A0">
        <w:t>Council Regulation No 2020/2093</w:t>
      </w:r>
      <w:r>
        <w:t xml:space="preserve">, </w:t>
      </w:r>
      <w:r w:rsidRPr="00CA2786">
        <w:t>OJ L 433I, 22.12.2020, p. 11</w:t>
      </w:r>
      <w:r>
        <w:t>-</w:t>
      </w:r>
      <w:r w:rsidRPr="00CA2786">
        <w:t>22</w:t>
      </w:r>
      <w:r>
        <w:t xml:space="preserve">. </w:t>
      </w:r>
      <w:hyperlink r:id="rId7" w:history="1">
        <w:r w:rsidRPr="0037367B">
          <w:rPr>
            <w:rStyle w:val="Hyperlink"/>
          </w:rPr>
          <w:t>The Multiannual Financial Framework</w:t>
        </w:r>
      </w:hyperlink>
      <w:r>
        <w:t xml:space="preserve"> </w:t>
      </w:r>
      <w:r w:rsidRPr="00874EB6">
        <w:t>sets out provisions with which the annual budget of the EU must comply</w:t>
      </w:r>
      <w:r>
        <w:t>.</w:t>
      </w:r>
    </w:p>
  </w:footnote>
  <w:footnote w:id="18">
    <w:p w14:paraId="78CE14A3" w14:textId="77777777" w:rsidR="00352B78" w:rsidRPr="00491839" w:rsidRDefault="00352B78" w:rsidP="002C0325">
      <w:pPr>
        <w:pStyle w:val="FootnoteText"/>
        <w:jc w:val="both"/>
      </w:pPr>
      <w:r w:rsidRPr="000B6BFA">
        <w:rPr>
          <w:rStyle w:val="FootnoteReference"/>
          <w:sz w:val="20"/>
        </w:rPr>
        <w:footnoteRef/>
      </w:r>
      <w:r>
        <w:t xml:space="preserve"> Responses were received from Austria, Belgium, Bulgaria, Croatia, Germany, Denmark, Estonia, Finland, France, Hungary, Ireland, Italy, Luxembourg, Latvia, Malta, Romania, Spain, Sweden, Slovakia, and Slovenia, as well as the Charter focal points of Croatia and Romania. </w:t>
      </w:r>
    </w:p>
  </w:footnote>
  <w:footnote w:id="19">
    <w:p w14:paraId="14FAA030" w14:textId="4BEB70F4" w:rsidR="00352B78" w:rsidRPr="00B26B82" w:rsidRDefault="00352B78" w:rsidP="002C0325">
      <w:pPr>
        <w:pStyle w:val="FootnoteText"/>
        <w:jc w:val="both"/>
        <w:rPr>
          <w:lang w:val="en-GB"/>
        </w:rPr>
      </w:pPr>
      <w:r w:rsidRPr="000B6BFA">
        <w:rPr>
          <w:rStyle w:val="FootnoteReference"/>
          <w:sz w:val="20"/>
        </w:rPr>
        <w:footnoteRef/>
      </w:r>
      <w:r>
        <w:t xml:space="preserve"> </w:t>
      </w:r>
      <w:hyperlink r:id="rId8" w:history="1">
        <w:r>
          <w:rPr>
            <w:rStyle w:val="Hyperlink"/>
          </w:rPr>
          <w:t>Civil society and the Fundamental Rights Platform | European Union Agency for Fundamental Rights (europa.eu)</w:t>
        </w:r>
      </w:hyperlink>
      <w:r>
        <w:t xml:space="preserve">. </w:t>
      </w:r>
      <w:r w:rsidRPr="00B26B82">
        <w:rPr>
          <w:lang w:val="en-GB"/>
        </w:rPr>
        <w:t>A total of 109 responses were received between 27 March and 13 May 2024</w:t>
      </w:r>
      <w:r>
        <w:rPr>
          <w:lang w:val="en-GB"/>
        </w:rPr>
        <w:t xml:space="preserve"> </w:t>
      </w:r>
      <w:r w:rsidRPr="00B26B82">
        <w:rPr>
          <w:lang w:val="en-GB"/>
        </w:rPr>
        <w:t xml:space="preserve">(103 complete and 6 partial submissions). </w:t>
      </w:r>
      <w:r>
        <w:rPr>
          <w:lang w:val="en-GB"/>
        </w:rPr>
        <w:t>T</w:t>
      </w:r>
      <w:r w:rsidRPr="00B26B82">
        <w:rPr>
          <w:lang w:val="en-GB"/>
        </w:rPr>
        <w:t xml:space="preserve">he consultation </w:t>
      </w:r>
      <w:r>
        <w:rPr>
          <w:lang w:val="en-GB"/>
        </w:rPr>
        <w:t>was</w:t>
      </w:r>
      <w:r w:rsidRPr="00B26B82">
        <w:rPr>
          <w:lang w:val="en-GB"/>
        </w:rPr>
        <w:t xml:space="preserve"> distributed t</w:t>
      </w:r>
      <w:r>
        <w:rPr>
          <w:lang w:val="en-GB"/>
        </w:rPr>
        <w:t>hrough the</w:t>
      </w:r>
      <w:r w:rsidRPr="00B26B82">
        <w:rPr>
          <w:lang w:val="en-GB"/>
        </w:rPr>
        <w:t xml:space="preserve"> FRA’s Fundamental Rights Platform</w:t>
      </w:r>
      <w:r>
        <w:rPr>
          <w:lang w:val="en-GB"/>
        </w:rPr>
        <w:t xml:space="preserve"> to the</w:t>
      </w:r>
      <w:r w:rsidRPr="00B26B82">
        <w:rPr>
          <w:lang w:val="en-GB"/>
        </w:rPr>
        <w:t xml:space="preserve"> CSOs participating in the Platform. To ensure maximum national-level outreach, the survey was </w:t>
      </w:r>
      <w:r>
        <w:rPr>
          <w:lang w:val="en-GB"/>
        </w:rPr>
        <w:t xml:space="preserve">also </w:t>
      </w:r>
      <w:r w:rsidRPr="00B26B82">
        <w:rPr>
          <w:lang w:val="en-GB"/>
        </w:rPr>
        <w:t xml:space="preserve">circulated within the national networks of the umbrella organisations participating in the Platform. The Platform is composed of over 1,000 civil society organisations, trade unions, faith-based organisations, experts representing academia and research institutions, and individual human rights defenders. </w:t>
      </w:r>
      <w:r>
        <w:rPr>
          <w:lang w:val="en-GB"/>
        </w:rPr>
        <w:t>It</w:t>
      </w:r>
      <w:r w:rsidRPr="00B26B82">
        <w:rPr>
          <w:lang w:val="en-GB"/>
        </w:rPr>
        <w:t xml:space="preserve"> is</w:t>
      </w:r>
      <w:r>
        <w:rPr>
          <w:lang w:val="en-GB"/>
        </w:rPr>
        <w:t xml:space="preserve"> the</w:t>
      </w:r>
      <w:r w:rsidRPr="00B26B82">
        <w:rPr>
          <w:lang w:val="en-GB"/>
        </w:rPr>
        <w:t xml:space="preserve"> FRA’s main cooperation network with civil society in the EU27 and Albania, Serbia and North Macedonia.</w:t>
      </w:r>
    </w:p>
  </w:footnote>
  <w:footnote w:id="20">
    <w:p w14:paraId="6DE0055C" w14:textId="77777777" w:rsidR="00352B78" w:rsidRPr="00491839" w:rsidRDefault="00352B78" w:rsidP="002C0325">
      <w:pPr>
        <w:pStyle w:val="FootnoteText"/>
      </w:pPr>
      <w:r w:rsidRPr="000B6BFA">
        <w:rPr>
          <w:rStyle w:val="FootnoteReference"/>
          <w:sz w:val="20"/>
        </w:rPr>
        <w:footnoteRef/>
      </w:r>
      <w:r>
        <w:t xml:space="preserve"> </w:t>
      </w:r>
      <w:r w:rsidRPr="000B6BFA">
        <w:t xml:space="preserve">Article 15 and </w:t>
      </w:r>
      <w:r w:rsidRPr="00C03848">
        <w:t>Annex III of</w:t>
      </w:r>
      <w:r>
        <w:t xml:space="preserve"> Regulation (EU) 2021/1060 (CPR).</w:t>
      </w:r>
    </w:p>
  </w:footnote>
  <w:footnote w:id="21">
    <w:p w14:paraId="463A95E7" w14:textId="77777777" w:rsidR="00352B78" w:rsidRDefault="00352B78" w:rsidP="0030160F">
      <w:pPr>
        <w:pStyle w:val="FootnoteText"/>
        <w:jc w:val="both"/>
      </w:pPr>
      <w:r w:rsidRPr="000B6BFA">
        <w:rPr>
          <w:rStyle w:val="FootnoteReference"/>
          <w:sz w:val="20"/>
        </w:rPr>
        <w:footnoteRef/>
      </w:r>
      <w:r>
        <w:t xml:space="preserve"> COM(2022) 716 final; COM(2021) 819 final.</w:t>
      </w:r>
    </w:p>
  </w:footnote>
  <w:footnote w:id="22">
    <w:p w14:paraId="5F17072C" w14:textId="77777777" w:rsidR="00352B78" w:rsidRPr="0030160F" w:rsidRDefault="00352B78" w:rsidP="00861418">
      <w:pPr>
        <w:pStyle w:val="FootnoteText"/>
        <w:jc w:val="both"/>
      </w:pPr>
      <w:r w:rsidRPr="0030160F">
        <w:rPr>
          <w:rStyle w:val="FootnoteReference"/>
          <w:sz w:val="20"/>
        </w:rPr>
        <w:footnoteRef/>
      </w:r>
      <w:r w:rsidRPr="0030160F">
        <w:rPr>
          <w:rStyle w:val="FootnoteReference"/>
          <w:sz w:val="20"/>
        </w:rPr>
        <w:t xml:space="preserve"> </w:t>
      </w:r>
      <w:r>
        <w:t>Slovenia is the only Member State not to have done so. Estonia participates in the activities of the focal points, although it has not formally appointed one.</w:t>
      </w:r>
    </w:p>
  </w:footnote>
  <w:footnote w:id="23">
    <w:p w14:paraId="5095A5F2" w14:textId="77777777" w:rsidR="00352B78" w:rsidRPr="003F3A71" w:rsidRDefault="00352B78" w:rsidP="0030160F">
      <w:pPr>
        <w:pStyle w:val="FootnoteText"/>
      </w:pPr>
      <w:r w:rsidRPr="000B6BFA">
        <w:rPr>
          <w:rStyle w:val="FootnoteReference"/>
          <w:sz w:val="20"/>
        </w:rPr>
        <w:footnoteRef/>
      </w:r>
      <w:r>
        <w:t xml:space="preserve"> </w:t>
      </w:r>
      <w:hyperlink r:id="rId9" w:history="1">
        <w:r w:rsidRPr="00933343">
          <w:rPr>
            <w:rStyle w:val="Hyperlink"/>
          </w:rPr>
          <w:t>https://commission.europa.eu/system/files/2017-09/opperational-guidance-fundamental-rights-in-impact-assessments_en.pdf</w:t>
        </w:r>
      </w:hyperlink>
      <w:r>
        <w:t>.</w:t>
      </w:r>
    </w:p>
  </w:footnote>
  <w:footnote w:id="24">
    <w:p w14:paraId="180C0564" w14:textId="77777777" w:rsidR="00352B78" w:rsidRPr="008F2D3C" w:rsidRDefault="00352B78" w:rsidP="0030160F">
      <w:pPr>
        <w:pStyle w:val="FootnoteText"/>
        <w:jc w:val="both"/>
      </w:pPr>
      <w:r w:rsidRPr="000B6BFA">
        <w:rPr>
          <w:rStyle w:val="FootnoteReference"/>
          <w:sz w:val="20"/>
        </w:rPr>
        <w:footnoteRef/>
      </w:r>
      <w:r>
        <w:t xml:space="preserve"> Article 15 and Annex III CPR.</w:t>
      </w:r>
    </w:p>
  </w:footnote>
  <w:footnote w:id="25">
    <w:p w14:paraId="203783F4" w14:textId="77777777" w:rsidR="00352B78" w:rsidRDefault="00352B78" w:rsidP="0030160F">
      <w:pPr>
        <w:pStyle w:val="FootnoteText"/>
        <w:jc w:val="both"/>
      </w:pPr>
      <w:r w:rsidRPr="000B6BFA">
        <w:rPr>
          <w:rStyle w:val="FootnoteReference"/>
          <w:sz w:val="20"/>
        </w:rPr>
        <w:footnoteRef/>
      </w:r>
      <w:r>
        <w:t xml:space="preserve"> Ensuring justice in the EU — A European judicial training strategy for 2021-2024; COM(2020).</w:t>
      </w:r>
    </w:p>
  </w:footnote>
  <w:footnote w:id="26">
    <w:p w14:paraId="0CCDEB14" w14:textId="77777777" w:rsidR="00352B78" w:rsidRDefault="00352B78" w:rsidP="0030160F">
      <w:pPr>
        <w:pStyle w:val="FootnoteText"/>
        <w:jc w:val="both"/>
      </w:pPr>
      <w:r w:rsidRPr="000B6BFA">
        <w:rPr>
          <w:rStyle w:val="FootnoteReference"/>
          <w:sz w:val="20"/>
        </w:rPr>
        <w:footnoteRef/>
      </w:r>
      <w:r>
        <w:t xml:space="preserve"> </w:t>
      </w:r>
      <w:hyperlink r:id="rId10" w:history="1">
        <w:r>
          <w:rPr>
            <w:rStyle w:val="Hyperlink"/>
          </w:rPr>
          <w:t>European e-Justice Portal - Your rights (europa.eu)</w:t>
        </w:r>
      </w:hyperlink>
      <w:r>
        <w:rPr>
          <w:rStyle w:val="Hyperlink"/>
        </w:rPr>
        <w:t>.</w:t>
      </w:r>
    </w:p>
  </w:footnote>
  <w:footnote w:id="27">
    <w:p w14:paraId="52C02406" w14:textId="77777777" w:rsidR="00352B78" w:rsidRDefault="00352B78" w:rsidP="0030160F">
      <w:pPr>
        <w:pStyle w:val="FootnoteText"/>
        <w:jc w:val="both"/>
      </w:pPr>
      <w:r w:rsidRPr="000B6BFA">
        <w:rPr>
          <w:rStyle w:val="FootnoteReference"/>
          <w:sz w:val="20"/>
        </w:rPr>
        <w:footnoteRef/>
      </w:r>
      <w:r>
        <w:t xml:space="preserve"> </w:t>
      </w:r>
      <w:hyperlink r:id="rId11" w:history="1">
        <w:r>
          <w:rPr>
            <w:rStyle w:val="Hyperlink"/>
          </w:rPr>
          <w:t>EU Charter of Fundamental Rights - European Commission (europa.eu)</w:t>
        </w:r>
      </w:hyperlink>
      <w:r>
        <w:rPr>
          <w:rStyle w:val="Hyperlink"/>
        </w:rPr>
        <w:t>.</w:t>
      </w:r>
    </w:p>
  </w:footnote>
  <w:footnote w:id="28">
    <w:p w14:paraId="3032D824" w14:textId="77777777" w:rsidR="00352B78" w:rsidRPr="003C7DD1" w:rsidRDefault="00352B78" w:rsidP="0030160F">
      <w:pPr>
        <w:pStyle w:val="FootnoteText"/>
        <w:jc w:val="both"/>
      </w:pPr>
      <w:r w:rsidRPr="000B6BFA">
        <w:rPr>
          <w:rStyle w:val="FootnoteReference"/>
          <w:sz w:val="20"/>
        </w:rPr>
        <w:footnoteRef/>
      </w:r>
      <w:r w:rsidRPr="003C7DD1">
        <w:t xml:space="preserve"> </w:t>
      </w:r>
      <w:hyperlink r:id="rId12" w:history="1">
        <w:r>
          <w:rPr>
            <w:rStyle w:val="Hyperlink"/>
          </w:rPr>
          <w:t>1st Annual EU CharterXchange | European Union Agency for Fundamental Rights (europa.eu)</w:t>
        </w:r>
      </w:hyperlink>
      <w:r>
        <w:t xml:space="preserve">. </w:t>
      </w:r>
    </w:p>
  </w:footnote>
  <w:footnote w:id="29">
    <w:p w14:paraId="299AAE61" w14:textId="77777777" w:rsidR="00352B78" w:rsidRPr="000B6BFA" w:rsidRDefault="00352B78" w:rsidP="0030160F">
      <w:pPr>
        <w:pStyle w:val="FootnoteText"/>
        <w:jc w:val="both"/>
      </w:pPr>
      <w:r w:rsidRPr="000B6BFA">
        <w:rPr>
          <w:rStyle w:val="FootnoteReference"/>
          <w:sz w:val="20"/>
        </w:rPr>
        <w:footnoteRef/>
      </w:r>
      <w:r w:rsidRPr="000B6BFA">
        <w:t xml:space="preserve"> </w:t>
      </w:r>
      <w:hyperlink r:id="rId13" w:history="1">
        <w:r>
          <w:rPr>
            <w:rStyle w:val="Hyperlink"/>
          </w:rPr>
          <w:t>FRA material and resources on the Charter | European Union Agency for Fundamental Rights (europa.eu)</w:t>
        </w:r>
      </w:hyperlink>
      <w:r w:rsidRPr="000B6BFA">
        <w:t xml:space="preserve">; </w:t>
      </w:r>
      <w:hyperlink r:id="rId14" w:history="1">
        <w:r w:rsidRPr="000B6BFA">
          <w:rPr>
            <w:rStyle w:val="Hyperlink"/>
          </w:rPr>
          <w:t>Home | FRA LMS support (europa.eu)</w:t>
        </w:r>
      </w:hyperlink>
      <w:r w:rsidRPr="000B6BFA">
        <w:t>. The Charter case studies - Trainers manual and the Charter e-courses</w:t>
      </w:r>
      <w:r>
        <w:t xml:space="preserve"> have been made </w:t>
      </w:r>
      <w:r w:rsidRPr="000B6BFA">
        <w:t>available in</w:t>
      </w:r>
    </w:p>
    <w:p w14:paraId="2E2075CA" w14:textId="77777777" w:rsidR="00352B78" w:rsidRPr="000B6BFA" w:rsidRDefault="00352B78" w:rsidP="0030160F">
      <w:pPr>
        <w:pStyle w:val="FootnoteText"/>
        <w:jc w:val="both"/>
      </w:pPr>
      <w:r w:rsidRPr="000B6BFA">
        <w:t>new language versions</w:t>
      </w:r>
      <w:r>
        <w:t xml:space="preserve"> (</w:t>
      </w:r>
      <w:r w:rsidRPr="000B6BFA">
        <w:t>Bulgarian, Croatian, Czech, Italian, Latvian, Polish, Romanian, Slovenian and Slovak</w:t>
      </w:r>
      <w:r>
        <w:t xml:space="preserve">). See </w:t>
      </w:r>
      <w:hyperlink r:id="rId15" w:history="1">
        <w:r>
          <w:rPr>
            <w:rStyle w:val="Hyperlink"/>
          </w:rPr>
          <w:t>Home | FRA LMS support (europa.eu)</w:t>
        </w:r>
      </w:hyperlink>
      <w:r w:rsidRPr="000B6BFA">
        <w:t xml:space="preserve">; </w:t>
      </w:r>
      <w:hyperlink r:id="rId16" w:history="1">
        <w:hyperlink r:id="rId17" w:history="1">
          <w:r>
            <w:rPr>
              <w:rStyle w:val="Hyperlink"/>
            </w:rPr>
            <w:t>Charter case studies - Trainer's manual | European Union Agency for Fundamental Rights (europa.eu)</w:t>
          </w:r>
        </w:hyperlink>
      </w:hyperlink>
      <w:r w:rsidRPr="000B6BFA">
        <w:t>.</w:t>
      </w:r>
    </w:p>
  </w:footnote>
  <w:footnote w:id="30">
    <w:p w14:paraId="2E5382DA" w14:textId="77777777" w:rsidR="00352B78" w:rsidRPr="001E2693" w:rsidRDefault="00352B78" w:rsidP="002C0325">
      <w:pPr>
        <w:pStyle w:val="FootnoteText"/>
        <w:jc w:val="both"/>
      </w:pPr>
      <w:r w:rsidRPr="000B6BFA">
        <w:rPr>
          <w:rStyle w:val="FootnoteReference"/>
          <w:sz w:val="20"/>
        </w:rPr>
        <w:footnoteRef/>
      </w:r>
      <w:r>
        <w:t xml:space="preserve"> </w:t>
      </w:r>
      <w:r w:rsidRPr="001E2693">
        <w:t>Regulation 2021/692</w:t>
      </w:r>
      <w:r>
        <w:t xml:space="preserve">, </w:t>
      </w:r>
      <w:r w:rsidRPr="0033095A">
        <w:t>OJ L 156, 5.5.2021, p. 1-20</w:t>
      </w:r>
      <w:r>
        <w:t xml:space="preserve">. </w:t>
      </w:r>
    </w:p>
  </w:footnote>
  <w:footnote w:id="31">
    <w:p w14:paraId="54CFAF13" w14:textId="36DE93BE" w:rsidR="00352B78" w:rsidRDefault="00352B78" w:rsidP="002C0325">
      <w:pPr>
        <w:pStyle w:val="FootnoteText"/>
        <w:jc w:val="both"/>
      </w:pPr>
      <w:r w:rsidRPr="000B6BFA">
        <w:rPr>
          <w:rStyle w:val="FootnoteReference"/>
          <w:sz w:val="20"/>
        </w:rPr>
        <w:footnoteRef/>
      </w:r>
      <w:r>
        <w:t xml:space="preserve"> Albania, Bosnia and Herzegovina, Kosovo*, Serbia and Ukraine participate in the CERV programme </w:t>
      </w:r>
      <w:r w:rsidRPr="00782E15">
        <w:t>through association agreements</w:t>
      </w:r>
      <w:r>
        <w:t xml:space="preserve">. As of July 2024, negotiations had been completed with Montenegro and Moldova in preparation for their participation, while negotiations were still in progress with North Macedonia for its participation. As stipulated by the European Parliament and the Council in Article 14 of Regulation (EU) 2021/692, third countries may not participate in the Union values strand. </w:t>
      </w:r>
    </w:p>
  </w:footnote>
  <w:footnote w:id="32">
    <w:p w14:paraId="3E7C497D" w14:textId="77777777" w:rsidR="00352B78" w:rsidRPr="00A06D2D" w:rsidRDefault="00352B78" w:rsidP="009C4906">
      <w:pPr>
        <w:pStyle w:val="FootnoteText"/>
        <w:jc w:val="both"/>
      </w:pPr>
      <w:r w:rsidRPr="000B6BFA">
        <w:rPr>
          <w:rStyle w:val="FootnoteReference"/>
          <w:sz w:val="20"/>
        </w:rPr>
        <w:footnoteRef/>
      </w:r>
      <w:r>
        <w:t xml:space="preserve"> Grants </w:t>
      </w:r>
      <w:r w:rsidRPr="00C72E4C">
        <w:t>are financial contributions from the Commission to a beneficiary or beneficiaries to: finance an action to help achieve an EU policy objective (action grants</w:t>
      </w:r>
      <w:r>
        <w:t xml:space="preserve"> – see Article 180(2)(a) of the Financial Regulation); </w:t>
      </w:r>
      <w:r w:rsidRPr="00C72E4C">
        <w:t xml:space="preserve">finance the functioning of a body which supports the implementation of an EU policy (operating grants </w:t>
      </w:r>
      <w:r>
        <w:t xml:space="preserve">- Article </w:t>
      </w:r>
      <w:r w:rsidRPr="00EA1075">
        <w:t>2(33)</w:t>
      </w:r>
      <w:r>
        <w:t xml:space="preserve"> and 180(2)(b) of the Financial Regulation); </w:t>
      </w:r>
      <w:r w:rsidRPr="00C72E4C">
        <w:t>or support to third parties for further granting to grassroots organisations (re-granting scheme</w:t>
      </w:r>
      <w:r>
        <w:t xml:space="preserve"> - see</w:t>
      </w:r>
      <w:r w:rsidRPr="00C72E4C">
        <w:t xml:space="preserve"> </w:t>
      </w:r>
      <w:r>
        <w:t>A</w:t>
      </w:r>
      <w:r w:rsidRPr="00D00E47">
        <w:t>rticle 7</w:t>
      </w:r>
      <w:r>
        <w:t>(</w:t>
      </w:r>
      <w:r w:rsidRPr="00D00E47">
        <w:t>9</w:t>
      </w:r>
      <w:r>
        <w:t>)</w:t>
      </w:r>
      <w:r w:rsidRPr="00D00E47">
        <w:t xml:space="preserve"> of the CERV </w:t>
      </w:r>
      <w:r>
        <w:t>R</w:t>
      </w:r>
      <w:r w:rsidRPr="00D00E47">
        <w:t>egulation</w:t>
      </w:r>
      <w:r w:rsidRPr="00C72E4C">
        <w:t>)</w:t>
      </w:r>
      <w:r>
        <w:t>.</w:t>
      </w:r>
    </w:p>
  </w:footnote>
  <w:footnote w:id="33">
    <w:p w14:paraId="411C153B" w14:textId="5DB0DCF1" w:rsidR="00352B78" w:rsidRPr="00D00E47" w:rsidRDefault="00352B78" w:rsidP="009C4906">
      <w:pPr>
        <w:pStyle w:val="FootnoteText"/>
        <w:jc w:val="both"/>
      </w:pPr>
      <w:r w:rsidRPr="000B6BFA">
        <w:rPr>
          <w:rStyle w:val="FootnoteReference"/>
          <w:sz w:val="20"/>
        </w:rPr>
        <w:footnoteRef/>
      </w:r>
      <w:r>
        <w:t xml:space="preserve"> </w:t>
      </w:r>
      <w:r w:rsidRPr="00D00E47">
        <w:t>The programme also finances technical and organisational support to implement Regulation</w:t>
      </w:r>
      <w:r>
        <w:t xml:space="preserve"> </w:t>
      </w:r>
      <w:r w:rsidRPr="00D00E47">
        <w:t>No 211/2011</w:t>
      </w:r>
      <w:r>
        <w:t xml:space="preserve">, </w:t>
      </w:r>
      <w:r w:rsidRPr="00E03054">
        <w:t>OJ L 65, 11.3.2011, p. 1</w:t>
      </w:r>
      <w:r>
        <w:t>-</w:t>
      </w:r>
      <w:r w:rsidRPr="00E03054">
        <w:t>22</w:t>
      </w:r>
      <w:r w:rsidRPr="00D00E47">
        <w:t>.</w:t>
      </w:r>
      <w:r>
        <w:t xml:space="preserve"> </w:t>
      </w:r>
      <w:r w:rsidRPr="00E369EB">
        <w:t xml:space="preserve">The procurement activities have, for example, included the organisation of a workshop on combating hate speech and hate crime’, mutual learning activities and exchanges of good practices on gender equality, an event on ‘30 years of citizenship rights’, </w:t>
      </w:r>
      <w:r>
        <w:t>or</w:t>
      </w:r>
      <w:r w:rsidRPr="00E369EB">
        <w:t xml:space="preserve"> Eurobarometer surveys.</w:t>
      </w:r>
    </w:p>
  </w:footnote>
  <w:footnote w:id="34">
    <w:p w14:paraId="6D674396" w14:textId="77777777" w:rsidR="00352B78" w:rsidRDefault="00352B78" w:rsidP="009C4906">
      <w:pPr>
        <w:pStyle w:val="FootnoteText"/>
        <w:jc w:val="both"/>
      </w:pPr>
      <w:r w:rsidRPr="000B6BFA">
        <w:rPr>
          <w:rStyle w:val="FootnoteReference"/>
          <w:sz w:val="20"/>
        </w:rPr>
        <w:footnoteRef/>
      </w:r>
      <w:r>
        <w:t xml:space="preserve"> </w:t>
      </w:r>
      <w:hyperlink r:id="rId18" w:history="1">
        <w:r>
          <w:rPr>
            <w:rStyle w:val="Hyperlink"/>
          </w:rPr>
          <w:t>Annex</w:t>
        </w:r>
      </w:hyperlink>
      <w:r>
        <w:t xml:space="preserve"> to the Commission Implementing Decision on the financing of the Citizens, Equality, Rights and Values programme and the adoption of the 2023-2024 work programme. These activities include funding to improve the support available for victims of hate crime, and justice structures’ responses to hate crime. </w:t>
      </w:r>
    </w:p>
  </w:footnote>
  <w:footnote w:id="35">
    <w:p w14:paraId="2D98B273" w14:textId="1FA5DFDB" w:rsidR="00352B78" w:rsidRDefault="00352B78" w:rsidP="009C4906">
      <w:pPr>
        <w:pStyle w:val="FootnoteText"/>
        <w:jc w:val="both"/>
      </w:pPr>
      <w:r w:rsidRPr="000B6BFA">
        <w:rPr>
          <w:rStyle w:val="FootnoteReference"/>
          <w:sz w:val="20"/>
        </w:rPr>
        <w:footnoteRef/>
      </w:r>
      <w:r>
        <w:t xml:space="preserve"> See, for instance, </w:t>
      </w:r>
      <w:r w:rsidRPr="001234CD">
        <w:t>COM(2022) 716 final</w:t>
      </w:r>
      <w:r>
        <w:t xml:space="preserve">, pp. 20-21, referring to </w:t>
      </w:r>
      <w:r w:rsidRPr="00C334AE">
        <w:t>FRA targeted consultation EU umbrella CSOs summary report, p. 22</w:t>
      </w:r>
      <w:r>
        <w:t>;</w:t>
      </w:r>
      <w:r w:rsidRPr="00C334AE">
        <w:t xml:space="preserve"> </w:t>
      </w:r>
      <w:r>
        <w:t>and</w:t>
      </w:r>
      <w:r w:rsidRPr="00C334AE">
        <w:t xml:space="preserve"> European Civic Forum, Towards vibrant European civic and democratic space</w:t>
      </w:r>
      <w:r>
        <w:t xml:space="preserve"> </w:t>
      </w:r>
      <w:r w:rsidRPr="00C334AE">
        <w:t>(2022), p. 37, on the challenges faced by some CSOs in accessing European structural funding.</w:t>
      </w:r>
    </w:p>
  </w:footnote>
  <w:footnote w:id="36">
    <w:p w14:paraId="5602C16A" w14:textId="77777777" w:rsidR="00352B78" w:rsidRPr="00166F31" w:rsidRDefault="00352B78" w:rsidP="009C4906">
      <w:pPr>
        <w:pStyle w:val="FootnoteText"/>
        <w:jc w:val="both"/>
      </w:pPr>
      <w:r w:rsidRPr="000B6BFA">
        <w:rPr>
          <w:rStyle w:val="FootnoteReference"/>
          <w:sz w:val="20"/>
        </w:rPr>
        <w:footnoteRef/>
      </w:r>
      <w:r>
        <w:t xml:space="preserve"> </w:t>
      </w:r>
      <w:r w:rsidRPr="00A2453D">
        <w:t>2022 Union Values call (CERV-2022-CITIZENS-VALUES), 2023 call for proposals to prevent and combat gender-based violence and violence against children: call to intermediaries (giving financial support to third-party civil society organisations) (</w:t>
      </w:r>
      <w:r w:rsidRPr="007747BA">
        <w:t>CERV-2023-DAPHNE</w:t>
      </w:r>
      <w:r>
        <w:t>), calls for operating grants to framework partners active in the area of Union values.</w:t>
      </w:r>
    </w:p>
  </w:footnote>
  <w:footnote w:id="37">
    <w:p w14:paraId="42C2DEF7" w14:textId="6518F6F2" w:rsidR="00352B78" w:rsidRPr="00051CD5" w:rsidRDefault="00352B78" w:rsidP="009C4906">
      <w:pPr>
        <w:pStyle w:val="FootnoteText"/>
        <w:jc w:val="both"/>
      </w:pPr>
      <w:r w:rsidRPr="000B6BFA">
        <w:rPr>
          <w:rStyle w:val="FootnoteReference"/>
          <w:sz w:val="20"/>
        </w:rPr>
        <w:footnoteRef/>
      </w:r>
      <w:r>
        <w:t xml:space="preserve"> </w:t>
      </w:r>
      <w:hyperlink r:id="rId19" w:history="1">
        <w:r>
          <w:rPr>
            <w:rStyle w:val="Hyperlink"/>
          </w:rPr>
          <w:t>Calls for proposals | EU Funding &amp; Tenders Portal (europa.eu)</w:t>
        </w:r>
      </w:hyperlink>
      <w:r>
        <w:rPr>
          <w:rStyle w:val="Hyperlink"/>
        </w:rPr>
        <w:t>.</w:t>
      </w:r>
      <w:r w:rsidDel="00FB544E">
        <w:t xml:space="preserve"> </w:t>
      </w:r>
    </w:p>
  </w:footnote>
  <w:footnote w:id="38">
    <w:p w14:paraId="48F0934E" w14:textId="77777777" w:rsidR="00352B78" w:rsidRPr="00364295" w:rsidRDefault="00352B78" w:rsidP="002C0325">
      <w:pPr>
        <w:pStyle w:val="FootnoteText"/>
        <w:jc w:val="both"/>
      </w:pPr>
      <w:r w:rsidRPr="000B6BFA">
        <w:rPr>
          <w:rStyle w:val="FootnoteReference"/>
          <w:sz w:val="20"/>
        </w:rPr>
        <w:footnoteRef/>
      </w:r>
      <w:r>
        <w:t xml:space="preserve"> </w:t>
      </w:r>
      <w:hyperlink r:id="rId20" w:history="1">
        <w:r w:rsidRPr="00AF42FA">
          <w:rPr>
            <w:rStyle w:val="Hyperlink"/>
          </w:rPr>
          <w:t>https://commission.europa.eu/about-european-commission/departments-and-executive-agencies/justice-and-consumers/justice-and-consumers-funding-tenders/funding-programmes/citizens-equality-rights-and-values-programme/cerv-national-contact-points_en</w:t>
        </w:r>
      </w:hyperlink>
      <w:r>
        <w:rPr>
          <w:rStyle w:val="Hyperlink"/>
        </w:rPr>
        <w:t>.</w:t>
      </w:r>
      <w:r>
        <w:t xml:space="preserve"> </w:t>
      </w:r>
    </w:p>
  </w:footnote>
  <w:footnote w:id="39">
    <w:p w14:paraId="504FEE8D" w14:textId="77777777" w:rsidR="00352B78" w:rsidRPr="001430EA" w:rsidRDefault="00352B78" w:rsidP="002C0325">
      <w:pPr>
        <w:pStyle w:val="FootnoteText"/>
        <w:jc w:val="both"/>
      </w:pPr>
      <w:r w:rsidRPr="000B6BFA">
        <w:rPr>
          <w:rStyle w:val="FootnoteReference"/>
          <w:sz w:val="20"/>
        </w:rPr>
        <w:footnoteRef/>
      </w:r>
      <w:r>
        <w:t xml:space="preserve"> The campaign will rely on </w:t>
      </w:r>
      <w:r w:rsidRPr="001430EA">
        <w:t xml:space="preserve">a </w:t>
      </w:r>
      <w:r>
        <w:t xml:space="preserve">number of communication tools, </w:t>
      </w:r>
      <w:r w:rsidRPr="001430EA">
        <w:t>including</w:t>
      </w:r>
      <w:r>
        <w:t xml:space="preserve"> </w:t>
      </w:r>
      <w:r w:rsidRPr="001430EA">
        <w:t>a website, traditional and social media</w:t>
      </w:r>
      <w:r>
        <w:t xml:space="preserve"> input</w:t>
      </w:r>
      <w:r w:rsidRPr="001430EA">
        <w:t>, videos, articles about successful projects, press releases and a visual branding system. These tools will be available in all 24 official EU languages and accessible in all 27 Member States.</w:t>
      </w:r>
    </w:p>
  </w:footnote>
  <w:footnote w:id="40">
    <w:p w14:paraId="257F818C" w14:textId="77777777" w:rsidR="00352B78" w:rsidRDefault="00352B78" w:rsidP="002C0325">
      <w:pPr>
        <w:pStyle w:val="FootnoteText"/>
        <w:jc w:val="both"/>
      </w:pPr>
      <w:r w:rsidRPr="000B6BFA">
        <w:rPr>
          <w:rStyle w:val="FootnoteReference"/>
          <w:sz w:val="20"/>
        </w:rPr>
        <w:footnoteRef/>
      </w:r>
      <w:r>
        <w:t xml:space="preserve"> </w:t>
      </w:r>
      <w:r w:rsidRPr="008562D3">
        <w:t>O</w:t>
      </w:r>
      <w:r w:rsidRPr="00402912">
        <w:t xml:space="preserve">nline consultation through the Fundamental Rights Platform, Question </w:t>
      </w:r>
      <w:r>
        <w:t>2: “</w:t>
      </w:r>
      <w:r w:rsidRPr="00636C27">
        <w:t>Over the past five years, has your organisation applied for / received funding from EU programmes/funds?</w:t>
      </w:r>
      <w:r>
        <w:t xml:space="preserve">” CERV was the funding programme from which EU funding had most often been received (41% of the responding organisations reported having applied and received funding). </w:t>
      </w:r>
      <w:r w:rsidRPr="004F1B82">
        <w:t xml:space="preserve">It was followed by </w:t>
      </w:r>
      <w:r>
        <w:t xml:space="preserve">Erasmus+ (39%), the former REC and Europe for Citizens programmes (21%) and </w:t>
      </w:r>
      <w:r w:rsidRPr="004F1B82">
        <w:t>the</w:t>
      </w:r>
      <w:r>
        <w:t xml:space="preserve"> Justice programme (11%).</w:t>
      </w:r>
    </w:p>
  </w:footnote>
  <w:footnote w:id="41">
    <w:p w14:paraId="2799A809" w14:textId="77777777" w:rsidR="00352B78" w:rsidRDefault="00352B78" w:rsidP="002C0325">
      <w:pPr>
        <w:pStyle w:val="FootnoteText"/>
        <w:jc w:val="both"/>
      </w:pPr>
      <w:r w:rsidRPr="000B6BFA">
        <w:rPr>
          <w:rStyle w:val="FootnoteReference"/>
          <w:sz w:val="20"/>
        </w:rPr>
        <w:footnoteRef/>
      </w:r>
      <w:r>
        <w:t xml:space="preserve"> CERV-2022-CHAR-LITI; CERV-2023-CHAR-LITI; CERV-2024-CHAR-LITI.</w:t>
      </w:r>
    </w:p>
  </w:footnote>
  <w:footnote w:id="42">
    <w:p w14:paraId="77ED78D4" w14:textId="02B3566A" w:rsidR="00352B78" w:rsidRPr="00F924B7" w:rsidRDefault="00352B78" w:rsidP="00A968BC">
      <w:pPr>
        <w:pStyle w:val="FootnoteText"/>
        <w:jc w:val="both"/>
      </w:pPr>
      <w:r>
        <w:rPr>
          <w:rStyle w:val="FootnoteReference"/>
        </w:rPr>
        <w:footnoteRef/>
      </w:r>
      <w:r>
        <w:t xml:space="preserve"> Projects are aimed at strengthening the ability of CSOs, human rights defenders, legal professionals, and independent human rights bodies to effectively engage in litigation practices at national and European level and to improve access to justice and enforcement of rights under EU law, including the Charter.</w:t>
      </w:r>
    </w:p>
  </w:footnote>
  <w:footnote w:id="43">
    <w:p w14:paraId="4CD02262" w14:textId="77777777" w:rsidR="00352B78" w:rsidRPr="000B6BFA" w:rsidRDefault="00352B78" w:rsidP="002C0325">
      <w:pPr>
        <w:pStyle w:val="FootnoteText"/>
        <w:jc w:val="both"/>
      </w:pPr>
      <w:r w:rsidRPr="000B6BFA">
        <w:rPr>
          <w:rStyle w:val="FootnoteReference"/>
          <w:sz w:val="20"/>
        </w:rPr>
        <w:footnoteRef/>
      </w:r>
      <w:r w:rsidRPr="000B6BFA">
        <w:t xml:space="preserve"> </w:t>
      </w:r>
      <w:hyperlink r:id="rId21" w:history="1">
        <w:r>
          <w:rPr>
            <w:rStyle w:val="Hyperlink"/>
          </w:rPr>
          <w:t>Launching MACS: Monitoring action for civic space | ECNL</w:t>
        </w:r>
      </w:hyperlink>
      <w:r w:rsidRPr="000B6BFA">
        <w:t xml:space="preserve">. </w:t>
      </w:r>
    </w:p>
  </w:footnote>
  <w:footnote w:id="44">
    <w:p w14:paraId="67C3DD85" w14:textId="77777777" w:rsidR="00352B78" w:rsidRPr="000B6BFA" w:rsidRDefault="00352B78" w:rsidP="002C0325">
      <w:pPr>
        <w:pStyle w:val="FootnoteText"/>
        <w:jc w:val="both"/>
      </w:pPr>
      <w:r w:rsidRPr="000B6BFA">
        <w:rPr>
          <w:rStyle w:val="FootnoteReference"/>
          <w:sz w:val="20"/>
        </w:rPr>
        <w:footnoteRef/>
      </w:r>
      <w:r w:rsidRPr="000B6BFA">
        <w:t xml:space="preserve"> </w:t>
      </w:r>
      <w:hyperlink r:id="rId22" w:history="1">
        <w:r>
          <w:rPr>
            <w:rStyle w:val="Hyperlink"/>
          </w:rPr>
          <w:t>European Observatory of Online Hate (eooh.eu)</w:t>
        </w:r>
      </w:hyperlink>
      <w:r w:rsidRPr="000B6BFA">
        <w:t>.</w:t>
      </w:r>
    </w:p>
  </w:footnote>
  <w:footnote w:id="45">
    <w:p w14:paraId="601621F0" w14:textId="77777777" w:rsidR="00352B78" w:rsidRPr="00946A8C" w:rsidRDefault="00352B78" w:rsidP="002C0325">
      <w:pPr>
        <w:pStyle w:val="FootnoteText"/>
        <w:jc w:val="both"/>
      </w:pPr>
      <w:r w:rsidRPr="000B6BFA">
        <w:rPr>
          <w:rStyle w:val="FootnoteReference"/>
          <w:sz w:val="20"/>
        </w:rPr>
        <w:footnoteRef/>
      </w:r>
      <w:r w:rsidRPr="000B6BFA">
        <w:rPr>
          <w:lang w:val="nl-BE"/>
        </w:rPr>
        <w:t xml:space="preserve"> </w:t>
      </w:r>
      <w:hyperlink r:id="rId23" w:history="1">
        <w:r w:rsidRPr="000B6BFA">
          <w:rPr>
            <w:rStyle w:val="Hyperlink"/>
            <w:lang w:val="nl-BE"/>
          </w:rPr>
          <w:t>EU Funding &amp; Tenders Portal (europa.eu)</w:t>
        </w:r>
      </w:hyperlink>
      <w:r w:rsidRPr="000B6BFA">
        <w:rPr>
          <w:lang w:val="nl-BE"/>
        </w:rPr>
        <w:t xml:space="preserve">. </w:t>
      </w:r>
      <w:r w:rsidRPr="009F1EBF">
        <w:t>Th</w:t>
      </w:r>
      <w:r>
        <w:t xml:space="preserve">e participating organisations are from </w:t>
      </w:r>
      <w:r w:rsidRPr="002A6A64">
        <w:t>Germany, Czech</w:t>
      </w:r>
      <w:r>
        <w:t>ia</w:t>
      </w:r>
      <w:r w:rsidRPr="002A6A64">
        <w:t>, France, Ireland, Lithuania, the Netherlands, Portugal</w:t>
      </w:r>
      <w:r>
        <w:t>,</w:t>
      </w:r>
      <w:r w:rsidRPr="002A6A64">
        <w:t xml:space="preserve"> and Slovakia</w:t>
      </w:r>
      <w:r>
        <w:t>.</w:t>
      </w:r>
    </w:p>
  </w:footnote>
  <w:footnote w:id="46">
    <w:p w14:paraId="4C20E03C" w14:textId="77777777" w:rsidR="00352B78" w:rsidRPr="00255CD3" w:rsidRDefault="00352B78" w:rsidP="002C0325">
      <w:pPr>
        <w:pStyle w:val="FootnoteText"/>
        <w:jc w:val="both"/>
      </w:pPr>
      <w:r w:rsidRPr="000B6BFA">
        <w:rPr>
          <w:rStyle w:val="FootnoteReference"/>
          <w:sz w:val="20"/>
        </w:rPr>
        <w:footnoteRef/>
      </w:r>
      <w:r>
        <w:t xml:space="preserve"> </w:t>
      </w:r>
      <w:r w:rsidRPr="00255CD3">
        <w:t>Directive 2019/1937</w:t>
      </w:r>
      <w:r>
        <w:t xml:space="preserve">, </w:t>
      </w:r>
      <w:r w:rsidRPr="00C410D0">
        <w:t>OJ L 305, 26/11/2019, p. 17</w:t>
      </w:r>
      <w:r>
        <w:t>-</w:t>
      </w:r>
      <w:r w:rsidRPr="00C410D0">
        <w:t>56</w:t>
      </w:r>
      <w:r>
        <w:t>.</w:t>
      </w:r>
    </w:p>
  </w:footnote>
  <w:footnote w:id="47">
    <w:p w14:paraId="244734CA" w14:textId="77777777" w:rsidR="00352B78" w:rsidRPr="00946A8C" w:rsidRDefault="00352B78" w:rsidP="002C0325">
      <w:pPr>
        <w:pStyle w:val="FootnoteText"/>
        <w:jc w:val="both"/>
      </w:pPr>
      <w:r w:rsidRPr="000B6BFA">
        <w:rPr>
          <w:rStyle w:val="FootnoteReference"/>
          <w:sz w:val="20"/>
        </w:rPr>
        <w:footnoteRef/>
      </w:r>
      <w:r>
        <w:t xml:space="preserve"> </w:t>
      </w:r>
      <w:hyperlink r:id="rId24" w:history="1">
        <w:r>
          <w:rPr>
            <w:rStyle w:val="Hyperlink"/>
          </w:rPr>
          <w:t>Minorities, Accountability, Rights, Independence and Organizational Development (MARIO) - Minority Rights Group</w:t>
        </w:r>
      </w:hyperlink>
      <w:r>
        <w:t xml:space="preserve">. The participating Member States are </w:t>
      </w:r>
      <w:r w:rsidRPr="00D777B6">
        <w:t xml:space="preserve">Bulgaria, </w:t>
      </w:r>
      <w:r>
        <w:t xml:space="preserve">Croatia, </w:t>
      </w:r>
      <w:r w:rsidRPr="00D777B6">
        <w:t>Czech</w:t>
      </w:r>
      <w:r>
        <w:t>ia</w:t>
      </w:r>
      <w:r w:rsidRPr="00D777B6">
        <w:t>, Estonia,</w:t>
      </w:r>
      <w:r>
        <w:t xml:space="preserve"> </w:t>
      </w:r>
      <w:r w:rsidRPr="00D777B6">
        <w:t>Hungary,</w:t>
      </w:r>
      <w:r>
        <w:t xml:space="preserve"> Latvia, Lithuania,</w:t>
      </w:r>
      <w:r w:rsidRPr="00D777B6">
        <w:t xml:space="preserve"> </w:t>
      </w:r>
      <w:r>
        <w:t xml:space="preserve">Poland, </w:t>
      </w:r>
      <w:r w:rsidRPr="00D777B6">
        <w:t>Romania</w:t>
      </w:r>
      <w:r>
        <w:t>,</w:t>
      </w:r>
      <w:r w:rsidRPr="00D777B6">
        <w:t xml:space="preserve"> </w:t>
      </w:r>
      <w:r>
        <w:t xml:space="preserve">Slovakia, </w:t>
      </w:r>
      <w:r w:rsidRPr="00D777B6">
        <w:t>and Slovenia</w:t>
      </w:r>
      <w:r>
        <w:t>.</w:t>
      </w:r>
    </w:p>
  </w:footnote>
  <w:footnote w:id="48">
    <w:p w14:paraId="5AC0FECD" w14:textId="77777777" w:rsidR="00352B78" w:rsidRPr="00B64694" w:rsidRDefault="00352B78" w:rsidP="002C0325">
      <w:pPr>
        <w:pStyle w:val="FootnoteText"/>
        <w:jc w:val="both"/>
      </w:pPr>
      <w:r w:rsidRPr="000B6BFA">
        <w:rPr>
          <w:rStyle w:val="FootnoteReference"/>
          <w:sz w:val="20"/>
        </w:rPr>
        <w:footnoteRef/>
      </w:r>
      <w:r w:rsidRPr="00B64694">
        <w:t xml:space="preserve"> Rights of the Child and Children’s Participation</w:t>
      </w:r>
      <w:r>
        <w:t xml:space="preserve">; </w:t>
      </w:r>
      <w:r w:rsidRPr="00B64694">
        <w:t>CERV-2024-CHILD</w:t>
      </w:r>
      <w:r>
        <w:t>.</w:t>
      </w:r>
    </w:p>
  </w:footnote>
  <w:footnote w:id="49">
    <w:p w14:paraId="38FBDB03" w14:textId="77777777" w:rsidR="00352B78" w:rsidRPr="00763464" w:rsidRDefault="00352B78" w:rsidP="002C0325">
      <w:pPr>
        <w:pStyle w:val="FootnoteText"/>
      </w:pPr>
      <w:r w:rsidRPr="000B6BFA">
        <w:rPr>
          <w:rStyle w:val="FootnoteReference"/>
          <w:sz w:val="20"/>
        </w:rPr>
        <w:footnoteRef/>
      </w:r>
      <w:r>
        <w:t xml:space="preserve"> </w:t>
      </w:r>
      <w:hyperlink r:id="rId25" w:history="1">
        <w:r>
          <w:rPr>
            <w:rStyle w:val="Hyperlink"/>
          </w:rPr>
          <w:t>Empowering Children's Participation in Malta – Project co-funded by the EU Program for Citizens, Equality, Rights and Values (CERV) (gov.mt)</w:t>
        </w:r>
      </w:hyperlink>
      <w:r>
        <w:t xml:space="preserve">. </w:t>
      </w:r>
    </w:p>
  </w:footnote>
  <w:footnote w:id="50">
    <w:p w14:paraId="310DC214" w14:textId="77777777" w:rsidR="00352B78" w:rsidRPr="00F04F17" w:rsidRDefault="00352B78" w:rsidP="002C0325">
      <w:pPr>
        <w:pStyle w:val="FootnoteText"/>
      </w:pPr>
      <w:r w:rsidRPr="000B6BFA">
        <w:rPr>
          <w:rStyle w:val="FootnoteReference"/>
          <w:sz w:val="20"/>
        </w:rPr>
        <w:footnoteRef/>
      </w:r>
      <w:r>
        <w:t xml:space="preserve"> </w:t>
      </w:r>
      <w:hyperlink r:id="rId26" w:history="1">
        <w:r>
          <w:rPr>
            <w:rStyle w:val="Hyperlink"/>
          </w:rPr>
          <w:t>Rewriting the story: Gender, media and politics - IFJ</w:t>
        </w:r>
      </w:hyperlink>
      <w:r>
        <w:t xml:space="preserve">. </w:t>
      </w:r>
    </w:p>
  </w:footnote>
  <w:footnote w:id="51">
    <w:p w14:paraId="1A96614C" w14:textId="77777777" w:rsidR="00352B78" w:rsidRPr="004E360C" w:rsidRDefault="00352B78" w:rsidP="002C0325">
      <w:pPr>
        <w:pStyle w:val="FootnoteText"/>
        <w:jc w:val="both"/>
      </w:pPr>
      <w:r w:rsidRPr="000B6BFA">
        <w:rPr>
          <w:rStyle w:val="FootnoteReference"/>
          <w:sz w:val="20"/>
        </w:rPr>
        <w:footnoteRef/>
      </w:r>
      <w:r w:rsidRPr="004E360C">
        <w:t xml:space="preserve"> Regulation 2021/1060</w:t>
      </w:r>
      <w:r>
        <w:t xml:space="preserve">, </w:t>
      </w:r>
      <w:r w:rsidRPr="004E360C">
        <w:t>OJ L 231, 30.6.2021, p. 159-706.</w:t>
      </w:r>
    </w:p>
  </w:footnote>
  <w:footnote w:id="52">
    <w:p w14:paraId="161F5FB4" w14:textId="77777777" w:rsidR="00352B78" w:rsidRPr="004E360C" w:rsidRDefault="00352B78" w:rsidP="002C0325">
      <w:pPr>
        <w:pStyle w:val="FootnoteText"/>
        <w:jc w:val="both"/>
      </w:pPr>
      <w:r w:rsidRPr="000B6BFA">
        <w:rPr>
          <w:rStyle w:val="FootnoteReference"/>
          <w:sz w:val="20"/>
        </w:rPr>
        <w:footnoteRef/>
      </w:r>
      <w:r w:rsidRPr="004E360C">
        <w:t xml:space="preserve"> COM(2023) 786 final. </w:t>
      </w:r>
    </w:p>
  </w:footnote>
  <w:footnote w:id="53">
    <w:p w14:paraId="4CA72D9E" w14:textId="77777777" w:rsidR="00352B78" w:rsidRDefault="00352B78" w:rsidP="002C0325">
      <w:pPr>
        <w:pStyle w:val="FootnoteText"/>
        <w:jc w:val="both"/>
      </w:pPr>
      <w:r w:rsidRPr="000B6BFA">
        <w:rPr>
          <w:rStyle w:val="FootnoteReference"/>
          <w:sz w:val="20"/>
        </w:rPr>
        <w:footnoteRef/>
      </w:r>
      <w:r>
        <w:t xml:space="preserve"> </w:t>
      </w:r>
      <w:hyperlink r:id="rId27" w:history="1">
        <w:r>
          <w:rPr>
            <w:rStyle w:val="Hyperlink"/>
          </w:rPr>
          <w:t>Justice Programme - European Commission (europa.eu)</w:t>
        </w:r>
      </w:hyperlink>
      <w:r>
        <w:t xml:space="preserve">. </w:t>
      </w:r>
    </w:p>
  </w:footnote>
  <w:footnote w:id="54">
    <w:p w14:paraId="448DED33" w14:textId="77777777" w:rsidR="00352B78" w:rsidRPr="00014E47" w:rsidRDefault="00352B78" w:rsidP="002C0325">
      <w:pPr>
        <w:pStyle w:val="FootnoteText"/>
      </w:pPr>
      <w:r w:rsidRPr="000B6BFA">
        <w:rPr>
          <w:rStyle w:val="FootnoteReference"/>
          <w:sz w:val="20"/>
        </w:rPr>
        <w:footnoteRef/>
      </w:r>
      <w:r w:rsidRPr="00613906">
        <w:t xml:space="preserve"> JUST-2021-JCOO</w:t>
      </w:r>
      <w:r>
        <w:t xml:space="preserve">; </w:t>
      </w:r>
      <w:r w:rsidRPr="00CD3D6D">
        <w:t>JUST-2022-JCOO</w:t>
      </w:r>
      <w:r>
        <w:t xml:space="preserve">; </w:t>
      </w:r>
      <w:r w:rsidRPr="00CD3D6D">
        <w:t>JUST-2023-JCOO</w:t>
      </w:r>
      <w:r>
        <w:t xml:space="preserve">; </w:t>
      </w:r>
      <w:r w:rsidRPr="00CD3D6D">
        <w:t>JUST-2024-JCOO</w:t>
      </w:r>
      <w:r>
        <w:t>.</w:t>
      </w:r>
    </w:p>
  </w:footnote>
  <w:footnote w:id="55">
    <w:p w14:paraId="13D19F76" w14:textId="77777777" w:rsidR="00352B78" w:rsidRPr="000B6BFA" w:rsidRDefault="00352B78" w:rsidP="002C0325">
      <w:pPr>
        <w:spacing w:after="0"/>
        <w:jc w:val="both"/>
        <w:rPr>
          <w:rFonts w:ascii="Times New Roman" w:eastAsia="Calibri" w:hAnsi="Times New Roman" w:cs="Times New Roman"/>
          <w:sz w:val="20"/>
          <w:szCs w:val="20"/>
          <w:lang w:val="sv-SE"/>
        </w:rPr>
      </w:pPr>
      <w:r w:rsidRPr="004E360C">
        <w:rPr>
          <w:rStyle w:val="FootnoteReference"/>
          <w:sz w:val="20"/>
          <w:szCs w:val="20"/>
        </w:rPr>
        <w:footnoteRef/>
      </w:r>
      <w:r w:rsidRPr="000B6BFA">
        <w:rPr>
          <w:rFonts w:ascii="Times New Roman" w:hAnsi="Times New Roman" w:cs="Times New Roman"/>
          <w:sz w:val="20"/>
          <w:szCs w:val="20"/>
          <w:lang w:val="sv-SE"/>
        </w:rPr>
        <w:t xml:space="preserve"> </w:t>
      </w:r>
      <w:r w:rsidRPr="000B6BFA">
        <w:rPr>
          <w:rFonts w:ascii="Times New Roman" w:eastAsia="Calibri" w:hAnsi="Times New Roman" w:cs="Times New Roman"/>
          <w:sz w:val="20"/>
          <w:szCs w:val="20"/>
          <w:lang w:val="sv-SE"/>
        </w:rPr>
        <w:t xml:space="preserve">COM(2020) 713 final. </w:t>
      </w:r>
    </w:p>
  </w:footnote>
  <w:footnote w:id="56">
    <w:p w14:paraId="6BDF34DA" w14:textId="77777777" w:rsidR="00352B78" w:rsidRPr="000B6BFA" w:rsidRDefault="00352B78" w:rsidP="002C0325">
      <w:pPr>
        <w:pStyle w:val="FootnoteText"/>
        <w:rPr>
          <w:lang w:val="sv-SE"/>
        </w:rPr>
      </w:pPr>
      <w:r w:rsidRPr="000B6BFA">
        <w:rPr>
          <w:rStyle w:val="FootnoteReference"/>
          <w:sz w:val="20"/>
        </w:rPr>
        <w:footnoteRef/>
      </w:r>
      <w:r w:rsidRPr="000B6BFA">
        <w:rPr>
          <w:lang w:val="sv-SE"/>
        </w:rPr>
        <w:t xml:space="preserve"> JUST-2021-JTRA; JUST-2022-JTRA; JUST-2023-JTRA; JUST-2024-JTRA.</w:t>
      </w:r>
    </w:p>
  </w:footnote>
  <w:footnote w:id="57">
    <w:p w14:paraId="6CFB77DE" w14:textId="77777777" w:rsidR="00352B78" w:rsidRPr="0096763E" w:rsidRDefault="00352B78" w:rsidP="002C0325">
      <w:pPr>
        <w:pStyle w:val="FootnoteText"/>
        <w:jc w:val="both"/>
      </w:pPr>
      <w:r w:rsidRPr="000B6BFA">
        <w:rPr>
          <w:rStyle w:val="FootnoteReference"/>
          <w:sz w:val="20"/>
        </w:rPr>
        <w:footnoteRef/>
      </w:r>
      <w:r w:rsidRPr="0096763E">
        <w:t xml:space="preserve"> </w:t>
      </w:r>
      <w:r w:rsidRPr="00D42956">
        <w:t>The EJTN’s</w:t>
      </w:r>
      <w:r w:rsidRPr="0096763E">
        <w:t xml:space="preserve"> members represent </w:t>
      </w:r>
      <w:r>
        <w:t>the</w:t>
      </w:r>
      <w:r w:rsidRPr="0096763E">
        <w:t xml:space="preserve"> Member States’ </w:t>
      </w:r>
      <w:r>
        <w:t>j</w:t>
      </w:r>
      <w:r w:rsidRPr="0096763E">
        <w:t xml:space="preserve">udicial training institutions and international organisations. </w:t>
      </w:r>
      <w:r w:rsidRPr="005D4702">
        <w:rPr>
          <w:lang w:val="en-US"/>
        </w:rPr>
        <w:t>EJTN promotes training programmes with a European dimension for members of the judiciary in Europe.</w:t>
      </w:r>
      <w:r w:rsidRPr="005B6EC8">
        <w:rPr>
          <w:lang w:val="en-US"/>
        </w:rPr>
        <w:t xml:space="preserve"> </w:t>
      </w:r>
      <w:r>
        <w:rPr>
          <w:lang w:val="en-US"/>
        </w:rPr>
        <w:t>Its</w:t>
      </w:r>
      <w:r w:rsidRPr="005B6EC8">
        <w:rPr>
          <w:lang w:val="en-US"/>
        </w:rPr>
        <w:t xml:space="preserve"> training catalogue covers topics such as ‘Human Rights and Access to Justice’, ‘Fundamental Rights of minors in the Criminal Justice System’, ‘Applicability and Effect of the EU Charter on Fundamental Rights in National Proceedings’ and digitalisation (‘Freedom of Speech in the Digital Era’, ‘AI and Data Protection’, ‘Cross Border Exchange of Electronic Evidence’)</w:t>
      </w:r>
      <w:r>
        <w:rPr>
          <w:lang w:val="en-US"/>
        </w:rPr>
        <w:t xml:space="preserve">; </w:t>
      </w:r>
      <w:hyperlink r:id="rId28" w:history="1">
        <w:r w:rsidRPr="00356DF9">
          <w:rPr>
            <w:rStyle w:val="Hyperlink"/>
          </w:rPr>
          <w:t>European Judicial Training Network (EJTN)</w:t>
        </w:r>
      </w:hyperlink>
      <w:r w:rsidRPr="00356DF9">
        <w:t>.</w:t>
      </w:r>
    </w:p>
  </w:footnote>
  <w:footnote w:id="58">
    <w:p w14:paraId="0632766A" w14:textId="77777777" w:rsidR="00352B78" w:rsidRPr="00144AEE" w:rsidRDefault="00352B78" w:rsidP="002C0325">
      <w:pPr>
        <w:pStyle w:val="FootnoteText"/>
        <w:jc w:val="both"/>
      </w:pPr>
      <w:r w:rsidRPr="000B6BFA">
        <w:rPr>
          <w:rStyle w:val="FootnoteReference"/>
          <w:sz w:val="20"/>
        </w:rPr>
        <w:footnoteRef/>
      </w:r>
      <w:r w:rsidRPr="00356DF9">
        <w:t xml:space="preserve"> </w:t>
      </w:r>
      <w:hyperlink r:id="rId29" w:history="1">
        <w:r w:rsidRPr="00356DF9">
          <w:rPr>
            <w:rStyle w:val="Hyperlink"/>
          </w:rPr>
          <w:t>Home | Council of Europe HELP (coe.int)</w:t>
        </w:r>
      </w:hyperlink>
      <w:r w:rsidRPr="00356DF9">
        <w:t>.</w:t>
      </w:r>
    </w:p>
  </w:footnote>
  <w:footnote w:id="59">
    <w:p w14:paraId="58F5703C" w14:textId="77777777" w:rsidR="00352B78" w:rsidRPr="00DB5AF8" w:rsidRDefault="00352B78" w:rsidP="002C0325">
      <w:pPr>
        <w:pStyle w:val="FootnoteText"/>
        <w:rPr>
          <w:lang w:val="fi-FI"/>
        </w:rPr>
      </w:pPr>
      <w:r w:rsidRPr="000B6BFA">
        <w:rPr>
          <w:rStyle w:val="FootnoteReference"/>
          <w:sz w:val="20"/>
        </w:rPr>
        <w:footnoteRef/>
      </w:r>
      <w:r w:rsidRPr="00DB5AF8">
        <w:rPr>
          <w:lang w:val="fi-FI"/>
        </w:rPr>
        <w:t xml:space="preserve"> </w:t>
      </w:r>
      <w:hyperlink r:id="rId30" w:history="1">
        <w:r w:rsidRPr="00DB5AF8">
          <w:rPr>
            <w:rStyle w:val="Hyperlink"/>
            <w:lang w:val="fi-FI"/>
          </w:rPr>
          <w:t>JuLIA Project | JuLIA (julia-project.eu)</w:t>
        </w:r>
      </w:hyperlink>
      <w:r w:rsidRPr="00DB5AF8">
        <w:rPr>
          <w:lang w:val="fi-FI"/>
        </w:rPr>
        <w:t>.</w:t>
      </w:r>
    </w:p>
  </w:footnote>
  <w:footnote w:id="60">
    <w:p w14:paraId="5ADFA2AF" w14:textId="77777777" w:rsidR="00352B78" w:rsidRPr="001169B7" w:rsidRDefault="00352B78" w:rsidP="002C0325">
      <w:pPr>
        <w:pStyle w:val="FootnoteText"/>
      </w:pPr>
      <w:r w:rsidRPr="000B6BFA">
        <w:rPr>
          <w:rStyle w:val="FootnoteReference"/>
          <w:sz w:val="20"/>
        </w:rPr>
        <w:footnoteRef/>
      </w:r>
      <w:r w:rsidRPr="00952B5B">
        <w:t>JUST-2021-JACC</w:t>
      </w:r>
      <w:r>
        <w:t xml:space="preserve">; </w:t>
      </w:r>
      <w:r w:rsidRPr="00952B5B">
        <w:t>JUST-2021-EJUSTICE</w:t>
      </w:r>
      <w:r>
        <w:t xml:space="preserve">; </w:t>
      </w:r>
      <w:r w:rsidRPr="000D13EE">
        <w:t>JUST-2022-EJUSTICE</w:t>
      </w:r>
      <w:r>
        <w:t xml:space="preserve">; </w:t>
      </w:r>
      <w:r w:rsidRPr="000D13EE">
        <w:t>JUST-2023-JACC-EJUSTICE</w:t>
      </w:r>
      <w:r w:rsidRPr="00F72355">
        <w:t xml:space="preserve">. </w:t>
      </w:r>
      <w:r w:rsidRPr="001169B7">
        <w:t>Action grants and operating g</w:t>
      </w:r>
      <w:r>
        <w:t xml:space="preserve">rants are provided under this call. Since 2023, action grants have been awarded biannually. </w:t>
      </w:r>
    </w:p>
  </w:footnote>
  <w:footnote w:id="61">
    <w:p w14:paraId="5070FB33" w14:textId="77777777" w:rsidR="00352B78" w:rsidRPr="00632AFB" w:rsidRDefault="00352B78" w:rsidP="002C0325">
      <w:pPr>
        <w:pStyle w:val="FootnoteText"/>
        <w:jc w:val="both"/>
      </w:pPr>
      <w:r w:rsidRPr="000B6BFA">
        <w:rPr>
          <w:rStyle w:val="FootnoteReference"/>
          <w:sz w:val="20"/>
        </w:rPr>
        <w:footnoteRef/>
      </w:r>
      <w:r>
        <w:t xml:space="preserve"> </w:t>
      </w:r>
      <w:r w:rsidRPr="00632AFB">
        <w:t>One of the specific objectives of the Victims</w:t>
      </w:r>
      <w:r>
        <w:t>’</w:t>
      </w:r>
      <w:r w:rsidRPr="00632AFB">
        <w:t xml:space="preserve"> Rights priority is to contribute to the effective and coherent application of EU </w:t>
      </w:r>
      <w:r>
        <w:t>acquis</w:t>
      </w:r>
      <w:r w:rsidRPr="00632AFB">
        <w:t xml:space="preserve"> in the area of the rights of victims of crime in line with the priorities set up </w:t>
      </w:r>
      <w:r>
        <w:t>in</w:t>
      </w:r>
      <w:r w:rsidRPr="00632AFB">
        <w:t xml:space="preserve"> the EU Strategy on victims’ rights (2020-2025)</w:t>
      </w:r>
      <w:r>
        <w:t>.</w:t>
      </w:r>
    </w:p>
  </w:footnote>
  <w:footnote w:id="62">
    <w:p w14:paraId="1961B563" w14:textId="591D20D8" w:rsidR="00352B78" w:rsidRPr="00F72355" w:rsidRDefault="00352B78" w:rsidP="002C0325">
      <w:pPr>
        <w:pStyle w:val="FootnoteText"/>
        <w:jc w:val="both"/>
      </w:pPr>
      <w:r w:rsidRPr="000B6BFA">
        <w:rPr>
          <w:rStyle w:val="FootnoteReference"/>
          <w:sz w:val="20"/>
        </w:rPr>
        <w:footnoteRef/>
      </w:r>
      <w:r w:rsidRPr="00F72355">
        <w:t xml:space="preserve"> </w:t>
      </w:r>
      <w:hyperlink r:id="rId31" w:history="1">
        <w:r>
          <w:rPr>
            <w:rStyle w:val="Hyperlink"/>
          </w:rPr>
          <w:t>Home | The DigiRIGHTS Project</w:t>
        </w:r>
      </w:hyperlink>
      <w:r w:rsidRPr="00356DF9">
        <w:t>.</w:t>
      </w:r>
      <w:r w:rsidRPr="00F72355">
        <w:t xml:space="preserve"> The project is ongoing from December 2022 to February 2025</w:t>
      </w:r>
      <w:r>
        <w:t xml:space="preserve"> and the participating universities are </w:t>
      </w:r>
      <w:r w:rsidRPr="006F6353">
        <w:t>KU Leuven, Tartu University, University of Göttingen, University of Genoa, University of Zagreb and University of Luxembourg</w:t>
      </w:r>
      <w:r>
        <w:t>.</w:t>
      </w:r>
    </w:p>
  </w:footnote>
  <w:footnote w:id="63">
    <w:p w14:paraId="547852FB" w14:textId="77777777" w:rsidR="00352B78" w:rsidRPr="00664CD0" w:rsidRDefault="00352B78" w:rsidP="002C0325">
      <w:pPr>
        <w:pStyle w:val="FootnoteText"/>
      </w:pPr>
      <w:r w:rsidRPr="000B6BFA">
        <w:rPr>
          <w:rStyle w:val="FootnoteReference"/>
          <w:sz w:val="20"/>
        </w:rPr>
        <w:footnoteRef/>
      </w:r>
      <w:r>
        <w:t xml:space="preserve"> </w:t>
      </w:r>
      <w:hyperlink r:id="rId32" w:history="1">
        <w:r w:rsidRPr="00356DF9">
          <w:rPr>
            <w:rStyle w:val="Hyperlink"/>
          </w:rPr>
          <w:t>Infovictims III – Victim Support Europe (victim-support.eu)</w:t>
        </w:r>
      </w:hyperlink>
      <w:r>
        <w:t xml:space="preserve">. </w:t>
      </w:r>
      <w:r w:rsidRPr="00F72355">
        <w:t xml:space="preserve">The project </w:t>
      </w:r>
      <w:r>
        <w:t>wa</w:t>
      </w:r>
      <w:r w:rsidRPr="00F72355">
        <w:t>s ongoing from</w:t>
      </w:r>
      <w:r w:rsidRPr="00664CD0">
        <w:t xml:space="preserve"> 1 November 2020 to 31 December 2022</w:t>
      </w:r>
      <w:r>
        <w:t>.</w:t>
      </w:r>
    </w:p>
  </w:footnote>
  <w:footnote w:id="64">
    <w:p w14:paraId="271453FB" w14:textId="39D382B1" w:rsidR="00352B78" w:rsidRDefault="00352B78" w:rsidP="002C0325">
      <w:pPr>
        <w:pStyle w:val="FootnoteText"/>
        <w:jc w:val="both"/>
        <w:rPr>
          <w:lang w:val="es-CO"/>
        </w:rPr>
      </w:pPr>
      <w:r w:rsidRPr="000B6BFA">
        <w:rPr>
          <w:rStyle w:val="FootnoteReference"/>
          <w:sz w:val="20"/>
        </w:rPr>
        <w:footnoteRef/>
      </w:r>
      <w:r>
        <w:rPr>
          <w:lang w:val="es-CO"/>
        </w:rPr>
        <w:t xml:space="preserve"> </w:t>
      </w:r>
      <w:hyperlink r:id="rId33" w:history="1">
        <w:r>
          <w:rPr>
            <w:rStyle w:val="Hyperlink"/>
            <w:lang w:val="es-CO"/>
          </w:rPr>
          <w:t>European e-Justice Portal (europa.eu)</w:t>
        </w:r>
      </w:hyperlink>
      <w:r>
        <w:rPr>
          <w:lang w:val="es-CO"/>
        </w:rPr>
        <w:t xml:space="preserve">. </w:t>
      </w:r>
    </w:p>
  </w:footnote>
  <w:footnote w:id="65">
    <w:p w14:paraId="51E69422" w14:textId="77777777" w:rsidR="00352B78" w:rsidRDefault="00352B78" w:rsidP="002C0325">
      <w:pPr>
        <w:pStyle w:val="FootnoteText"/>
        <w:rPr>
          <w:lang w:val="es-CO"/>
        </w:rPr>
      </w:pPr>
      <w:r w:rsidRPr="000B6BFA">
        <w:rPr>
          <w:rStyle w:val="FootnoteReference"/>
          <w:sz w:val="20"/>
        </w:rPr>
        <w:footnoteRef/>
      </w:r>
      <w:r>
        <w:rPr>
          <w:lang w:val="es-CO"/>
        </w:rPr>
        <w:t xml:space="preserve"> </w:t>
      </w:r>
      <w:hyperlink r:id="rId34" w:history="1">
        <w:r>
          <w:rPr>
            <w:rStyle w:val="Hyperlink"/>
            <w:lang w:val="es-CO"/>
          </w:rPr>
          <w:t>European e-Justice Portal - Fundamental rights (europa.eu)</w:t>
        </w:r>
      </w:hyperlink>
      <w:r>
        <w:rPr>
          <w:lang w:val="es-CO"/>
        </w:rPr>
        <w:t xml:space="preserve">. </w:t>
      </w:r>
    </w:p>
  </w:footnote>
  <w:footnote w:id="66">
    <w:p w14:paraId="15CDAEED" w14:textId="77777777" w:rsidR="00352B78" w:rsidRPr="008B1023" w:rsidRDefault="00352B78" w:rsidP="002C0325">
      <w:pPr>
        <w:pStyle w:val="FootnoteText"/>
      </w:pPr>
      <w:r w:rsidRPr="000B6BFA">
        <w:rPr>
          <w:rStyle w:val="FootnoteReference"/>
          <w:sz w:val="20"/>
        </w:rPr>
        <w:footnoteRef/>
      </w:r>
      <w:r>
        <w:t xml:space="preserve"> </w:t>
      </w:r>
      <w:hyperlink r:id="rId35" w:history="1">
        <w:r>
          <w:rPr>
            <w:rStyle w:val="Hyperlink"/>
          </w:rPr>
          <w:t>About the Platform | European Training Platform (europa.eu)</w:t>
        </w:r>
      </w:hyperlink>
      <w:r>
        <w:t xml:space="preserve">. </w:t>
      </w:r>
    </w:p>
  </w:footnote>
  <w:footnote w:id="67">
    <w:p w14:paraId="0EBC7405" w14:textId="77777777" w:rsidR="00352B78" w:rsidRPr="00144AEE" w:rsidRDefault="00352B78" w:rsidP="002C0325">
      <w:pPr>
        <w:pStyle w:val="FootnoteText"/>
        <w:jc w:val="both"/>
      </w:pPr>
      <w:r w:rsidRPr="000B6BFA">
        <w:rPr>
          <w:rStyle w:val="FootnoteReference"/>
          <w:sz w:val="20"/>
        </w:rPr>
        <w:footnoteRef/>
      </w:r>
      <w:r>
        <w:t xml:space="preserve"> </w:t>
      </w:r>
      <w:r w:rsidRPr="00144AEE">
        <w:t xml:space="preserve">The e-CODEX </w:t>
      </w:r>
      <w:r>
        <w:t>(</w:t>
      </w:r>
      <w:r w:rsidRPr="00141960">
        <w:t>Regulation 2022/850</w:t>
      </w:r>
      <w:r>
        <w:t>)</w:t>
      </w:r>
      <w:r w:rsidRPr="00141960">
        <w:t xml:space="preserve"> </w:t>
      </w:r>
      <w:r w:rsidRPr="00144AEE">
        <w:t xml:space="preserve">is a tool to ensure that justice systems can efficiently cooperate in a digital way. It was developed by a consortium of Member States and organisations with funding from DEP. </w:t>
      </w:r>
      <w:r>
        <w:t xml:space="preserve">The DEP has also been used to fund IT development work related to other recent legislative initiatives, namely </w:t>
      </w:r>
      <w:r w:rsidRPr="00144AEE">
        <w:t xml:space="preserve">Regulation 2023/2844, </w:t>
      </w:r>
      <w:r>
        <w:t>the D</w:t>
      </w:r>
      <w:r w:rsidRPr="00144AEE">
        <w:t>igitalisation of Service of Documents</w:t>
      </w:r>
      <w:r>
        <w:t xml:space="preserve"> Regulation</w:t>
      </w:r>
      <w:r w:rsidRPr="00144AEE">
        <w:t xml:space="preserve"> and</w:t>
      </w:r>
      <w:r>
        <w:t xml:space="preserve"> the</w:t>
      </w:r>
      <w:r w:rsidRPr="00144AEE">
        <w:t xml:space="preserve"> Taking of Evidence</w:t>
      </w:r>
      <w:r>
        <w:t xml:space="preserve"> Regulation, </w:t>
      </w:r>
      <w:r w:rsidRPr="00144AEE">
        <w:t>and the Joint Investigation Teams collaboration platform</w:t>
      </w:r>
      <w:r>
        <w:t>.</w:t>
      </w:r>
    </w:p>
  </w:footnote>
  <w:footnote w:id="68">
    <w:p w14:paraId="6EBBA6F3" w14:textId="77777777" w:rsidR="00352B78" w:rsidRPr="006705D7" w:rsidRDefault="00352B78" w:rsidP="002C0325">
      <w:pPr>
        <w:pStyle w:val="FootnoteText"/>
        <w:jc w:val="both"/>
      </w:pPr>
      <w:r w:rsidRPr="000B6BFA">
        <w:rPr>
          <w:rStyle w:val="FootnoteReference"/>
          <w:sz w:val="20"/>
        </w:rPr>
        <w:footnoteRef/>
      </w:r>
      <w:r>
        <w:t xml:space="preserve"> </w:t>
      </w:r>
      <w:hyperlink r:id="rId36" w:history="1">
        <w:r w:rsidRPr="00356DF9">
          <w:rPr>
            <w:rStyle w:val="Hyperlink"/>
          </w:rPr>
          <w:t>The Digital Europe Programme | Shaping Europe’s digital future (europa.eu)</w:t>
        </w:r>
      </w:hyperlink>
      <w:r w:rsidRPr="00356DF9">
        <w:t xml:space="preserve">. </w:t>
      </w:r>
    </w:p>
  </w:footnote>
  <w:footnote w:id="69">
    <w:p w14:paraId="3000AEE4" w14:textId="77777777" w:rsidR="00352B78" w:rsidRPr="00695D26" w:rsidRDefault="00352B78" w:rsidP="002C0325">
      <w:pPr>
        <w:spacing w:after="0"/>
        <w:jc w:val="both"/>
      </w:pPr>
      <w:r w:rsidRPr="000B6BFA">
        <w:rPr>
          <w:rStyle w:val="FootnoteReference"/>
          <w:sz w:val="20"/>
          <w:szCs w:val="20"/>
        </w:rPr>
        <w:footnoteRef/>
      </w:r>
      <w:r w:rsidRPr="000B6BFA">
        <w:rPr>
          <w:rFonts w:ascii="Times New Roman" w:hAnsi="Times New Roman" w:cs="Times New Roman"/>
          <w:sz w:val="20"/>
          <w:szCs w:val="20"/>
        </w:rPr>
        <w:t xml:space="preserve"> Funded actions include actions to help companies, in particular SMEs, to facilitate compliance with the Act, the development of an EU database for the registration of high-risk AI systems, and a pilot action for the establishment of Union Testing Facilities in AI. See R</w:t>
      </w:r>
      <w:r w:rsidRPr="00356DF9">
        <w:rPr>
          <w:rFonts w:ascii="Times New Roman" w:eastAsia="Calibri" w:hAnsi="Times New Roman" w:cs="Times New Roman"/>
          <w:sz w:val="20"/>
          <w:szCs w:val="20"/>
        </w:rPr>
        <w:t xml:space="preserve">egulation 2024/1689, OJ L, 2024/1689, 12.7.2024. </w:t>
      </w:r>
      <w:r w:rsidRPr="000B6BFA">
        <w:rPr>
          <w:rFonts w:ascii="Times New Roman" w:hAnsi="Times New Roman" w:cs="Times New Roman"/>
          <w:sz w:val="20"/>
          <w:szCs w:val="20"/>
        </w:rPr>
        <w:t xml:space="preserve">The Act will ensure a high level of protection of fundamental rights, including by addressing the risk of erroneous or biased AI-assisted decisions. </w:t>
      </w:r>
    </w:p>
  </w:footnote>
  <w:footnote w:id="70">
    <w:p w14:paraId="254228FC" w14:textId="77777777" w:rsidR="00352B78" w:rsidRPr="00063F22" w:rsidRDefault="00352B78" w:rsidP="002C0325">
      <w:pPr>
        <w:pStyle w:val="FootnoteText"/>
      </w:pPr>
      <w:r w:rsidRPr="000B6BFA">
        <w:rPr>
          <w:rStyle w:val="FootnoteReference"/>
          <w:sz w:val="20"/>
        </w:rPr>
        <w:footnoteRef/>
      </w:r>
      <w:r>
        <w:t xml:space="preserve"> </w:t>
      </w:r>
      <w:r w:rsidRPr="00063F22">
        <w:t>COM</w:t>
      </w:r>
      <w:r>
        <w:t>(</w:t>
      </w:r>
      <w:r w:rsidRPr="00063F22">
        <w:t>2022</w:t>
      </w:r>
      <w:r>
        <w:t xml:space="preserve">) </w:t>
      </w:r>
      <w:r w:rsidRPr="00063F22">
        <w:t>212 final</w:t>
      </w:r>
      <w:r>
        <w:t>,</w:t>
      </w:r>
      <w:r w:rsidRPr="00356DF9">
        <w:rPr>
          <w:rStyle w:val="Hyperlink"/>
        </w:rPr>
        <w:t xml:space="preserve"> </w:t>
      </w:r>
      <w:hyperlink r:id="rId37" w:history="1">
        <w:r w:rsidRPr="00356DF9">
          <w:rPr>
            <w:rStyle w:val="Hyperlink"/>
          </w:rPr>
          <w:t>Home - BIK Portal (betterinternetforkids.eu)</w:t>
        </w:r>
      </w:hyperlink>
      <w:r w:rsidRPr="00356DF9">
        <w:t xml:space="preserve">. </w:t>
      </w:r>
    </w:p>
  </w:footnote>
  <w:footnote w:id="71">
    <w:p w14:paraId="762B2250" w14:textId="77777777" w:rsidR="00352B78" w:rsidRPr="000B6BFA" w:rsidRDefault="00352B78" w:rsidP="002C0325">
      <w:pPr>
        <w:pStyle w:val="FootnoteText"/>
      </w:pPr>
      <w:r w:rsidRPr="000B6BFA">
        <w:rPr>
          <w:rStyle w:val="FootnoteReference"/>
          <w:sz w:val="20"/>
        </w:rPr>
        <w:footnoteRef/>
      </w:r>
      <w:r w:rsidRPr="000B6BFA">
        <w:t xml:space="preserve"> Directive 2016/2102</w:t>
      </w:r>
      <w:r w:rsidRPr="00356DF9">
        <w:t>, OJ L 327, 2.12.2016, p. 1</w:t>
      </w:r>
      <w:r w:rsidRPr="000B6BFA">
        <w:t>-</w:t>
      </w:r>
      <w:r w:rsidRPr="00356DF9">
        <w:t>15</w:t>
      </w:r>
      <w:r w:rsidRPr="000B6BFA">
        <w:t>.</w:t>
      </w:r>
    </w:p>
  </w:footnote>
  <w:footnote w:id="72">
    <w:p w14:paraId="6FD03DF0" w14:textId="77777777" w:rsidR="00352B78" w:rsidRPr="00BB4A36" w:rsidRDefault="00352B78" w:rsidP="002C0325">
      <w:pPr>
        <w:pStyle w:val="FootnoteText"/>
      </w:pPr>
      <w:r w:rsidRPr="000B6BFA">
        <w:rPr>
          <w:rStyle w:val="FootnoteReference"/>
          <w:sz w:val="20"/>
        </w:rPr>
        <w:footnoteRef/>
      </w:r>
      <w:r w:rsidRPr="00BB4A36">
        <w:t xml:space="preserve"> </w:t>
      </w:r>
      <w:hyperlink r:id="rId38" w:history="1">
        <w:r w:rsidRPr="00356DF9">
          <w:rPr>
            <w:rStyle w:val="Hyperlink"/>
          </w:rPr>
          <w:t>EDMO – United against disinformation</w:t>
        </w:r>
      </w:hyperlink>
      <w:r w:rsidRPr="000B6BFA">
        <w:t xml:space="preserve">. </w:t>
      </w:r>
    </w:p>
  </w:footnote>
  <w:footnote w:id="73">
    <w:p w14:paraId="22E5092A" w14:textId="77777777" w:rsidR="00352B78" w:rsidRPr="00975E87" w:rsidRDefault="00352B78" w:rsidP="002C0325">
      <w:pPr>
        <w:pStyle w:val="FootnoteText"/>
        <w:jc w:val="both"/>
      </w:pPr>
      <w:r w:rsidRPr="000B6BFA">
        <w:rPr>
          <w:rStyle w:val="FootnoteReference"/>
          <w:sz w:val="20"/>
        </w:rPr>
        <w:footnoteRef/>
      </w:r>
      <w:r>
        <w:t xml:space="preserve"> </w:t>
      </w:r>
      <w:hyperlink r:id="rId39" w:history="1">
        <w:r>
          <w:rPr>
            <w:rStyle w:val="Hyperlink"/>
          </w:rPr>
          <w:t>Creative Europe - Culture and Creativity (europa.eu)</w:t>
        </w:r>
      </w:hyperlink>
      <w:r>
        <w:rPr>
          <w:rStyle w:val="Hyperlink"/>
        </w:rPr>
        <w:t>.</w:t>
      </w:r>
    </w:p>
  </w:footnote>
  <w:footnote w:id="74">
    <w:p w14:paraId="479D562A" w14:textId="77777777" w:rsidR="00352B78" w:rsidRPr="000F08A8" w:rsidRDefault="00352B78" w:rsidP="002C0325">
      <w:pPr>
        <w:pStyle w:val="FootnoteText"/>
        <w:jc w:val="both"/>
      </w:pPr>
      <w:r w:rsidRPr="000B6BFA">
        <w:rPr>
          <w:rStyle w:val="FootnoteReference"/>
          <w:sz w:val="20"/>
        </w:rPr>
        <w:footnoteRef/>
      </w:r>
      <w:r w:rsidRPr="000F08A8">
        <w:t xml:space="preserve"> Regulation 2021/818, </w:t>
      </w:r>
      <w:r w:rsidRPr="00FE5C99">
        <w:t>OJ L 189, 28.5.2021, p. 34</w:t>
      </w:r>
      <w:r>
        <w:t>-</w:t>
      </w:r>
      <w:r w:rsidRPr="00FE5C99">
        <w:t>60</w:t>
      </w:r>
      <w:r>
        <w:t xml:space="preserve">, </w:t>
      </w:r>
      <w:r w:rsidRPr="000F08A8">
        <w:t>Preamble (2) and (61).</w:t>
      </w:r>
    </w:p>
  </w:footnote>
  <w:footnote w:id="75">
    <w:p w14:paraId="79FF7527" w14:textId="77777777" w:rsidR="00352B78" w:rsidRPr="00594AFA" w:rsidRDefault="00352B78" w:rsidP="002C0325">
      <w:pPr>
        <w:pStyle w:val="FootnoteText"/>
      </w:pPr>
      <w:r w:rsidRPr="000B6BFA">
        <w:rPr>
          <w:rStyle w:val="FootnoteReference"/>
          <w:sz w:val="20"/>
        </w:rPr>
        <w:footnoteRef/>
      </w:r>
      <w:r w:rsidRPr="00594AFA">
        <w:t xml:space="preserve"> </w:t>
      </w:r>
      <w:hyperlink r:id="rId40" w:history="1">
        <w:r w:rsidRPr="00356DF9">
          <w:rPr>
            <w:rStyle w:val="Hyperlink"/>
          </w:rPr>
          <w:t>The 'News Initiative' | Shaping Europe’s digital future (europa.eu)</w:t>
        </w:r>
      </w:hyperlink>
      <w:r w:rsidRPr="00356DF9">
        <w:t xml:space="preserve">. </w:t>
      </w:r>
    </w:p>
  </w:footnote>
  <w:footnote w:id="76">
    <w:p w14:paraId="583E4896" w14:textId="77777777" w:rsidR="00352B78" w:rsidRPr="000B6BFA" w:rsidRDefault="00352B78" w:rsidP="002C0325">
      <w:pPr>
        <w:pStyle w:val="FootnoteText"/>
        <w:jc w:val="both"/>
        <w:rPr>
          <w:color w:val="0563C1"/>
          <w:u w:val="single"/>
        </w:rPr>
      </w:pPr>
      <w:r w:rsidRPr="000B6BFA">
        <w:rPr>
          <w:rStyle w:val="FootnoteReference"/>
          <w:sz w:val="20"/>
        </w:rPr>
        <w:footnoteRef/>
      </w:r>
      <w:r w:rsidRPr="007964B5">
        <w:t xml:space="preserve"> </w:t>
      </w:r>
      <w:r>
        <w:t>The European Media Freedom Act aims</w:t>
      </w:r>
      <w:r w:rsidRPr="005337F0">
        <w:t xml:space="preserve"> to make it easier for media services to operate across the EU’s internal borders and to allow journalists and media to exercise their tasks in full independence</w:t>
      </w:r>
      <w:r>
        <w:t xml:space="preserve">; </w:t>
      </w:r>
      <w:r w:rsidRPr="00FE5C99">
        <w:t>Regulation 2024/1083</w:t>
      </w:r>
      <w:r>
        <w:t>,</w:t>
      </w:r>
      <w:r w:rsidRPr="00FE5C99">
        <w:t xml:space="preserve"> OJ L, 2024/1083, 17.4.2024</w:t>
      </w:r>
      <w:r>
        <w:t>.</w:t>
      </w:r>
    </w:p>
  </w:footnote>
  <w:footnote w:id="77">
    <w:p w14:paraId="6873803A" w14:textId="77777777" w:rsidR="00352B78" w:rsidRPr="002F7A6F" w:rsidRDefault="00352B78" w:rsidP="002C0325">
      <w:pPr>
        <w:pStyle w:val="FootnoteText"/>
        <w:jc w:val="both"/>
      </w:pPr>
      <w:r w:rsidRPr="000B6BFA">
        <w:rPr>
          <w:rStyle w:val="FootnoteReference"/>
          <w:sz w:val="20"/>
        </w:rPr>
        <w:footnoteRef/>
      </w:r>
      <w:r>
        <w:t xml:space="preserve"> </w:t>
      </w:r>
      <w:hyperlink r:id="rId41" w:history="1">
        <w:r>
          <w:rPr>
            <w:rStyle w:val="Hyperlink"/>
          </w:rPr>
          <w:t>Third generation of EU-supported Journalism Partnerships ready to help the news sector | Shaping Europe’s digital future (europa.eu)</w:t>
        </w:r>
      </w:hyperlink>
      <w:r>
        <w:t xml:space="preserve">. </w:t>
      </w:r>
    </w:p>
  </w:footnote>
  <w:footnote w:id="78">
    <w:p w14:paraId="320B13D4" w14:textId="77777777" w:rsidR="00352B78" w:rsidRPr="002D243A" w:rsidRDefault="00352B78" w:rsidP="002C0325">
      <w:pPr>
        <w:pStyle w:val="FootnoteText"/>
        <w:jc w:val="both"/>
      </w:pPr>
      <w:r w:rsidRPr="000B6BFA">
        <w:rPr>
          <w:rStyle w:val="FootnoteReference"/>
          <w:sz w:val="20"/>
        </w:rPr>
        <w:footnoteRef/>
      </w:r>
      <w:r>
        <w:t xml:space="preserve"> </w:t>
      </w:r>
      <w:hyperlink r:id="rId42" w:history="1">
        <w:r w:rsidRPr="00356DF9">
          <w:rPr>
            <w:rStyle w:val="Hyperlink"/>
          </w:rPr>
          <w:t>Multimedia Actions | Shaping Europe’s digital future (europa.eu)</w:t>
        </w:r>
      </w:hyperlink>
      <w:r w:rsidRPr="00356DF9">
        <w:t xml:space="preserve">. </w:t>
      </w:r>
    </w:p>
  </w:footnote>
  <w:footnote w:id="79">
    <w:p w14:paraId="6E046EED" w14:textId="77777777" w:rsidR="00352B78" w:rsidRPr="009B7658" w:rsidRDefault="00352B78" w:rsidP="002C0325">
      <w:pPr>
        <w:pStyle w:val="FootnoteText"/>
        <w:jc w:val="both"/>
      </w:pPr>
      <w:r w:rsidRPr="000B6BFA">
        <w:rPr>
          <w:rStyle w:val="FootnoteReference"/>
          <w:sz w:val="20"/>
        </w:rPr>
        <w:footnoteRef/>
      </w:r>
      <w:r>
        <w:t xml:space="preserve"> </w:t>
      </w:r>
      <w:hyperlink r:id="rId43" w:history="1">
        <w:r w:rsidRPr="00356DF9">
          <w:rPr>
            <w:rStyle w:val="Hyperlink"/>
          </w:rPr>
          <w:t>Europe Beyond Access - Disability Arts International</w:t>
        </w:r>
      </w:hyperlink>
      <w:r w:rsidRPr="00356DF9">
        <w:t>.</w:t>
      </w:r>
      <w:r>
        <w:t xml:space="preserve"> The ongoing project </w:t>
      </w:r>
      <w:r w:rsidRPr="00C505D7">
        <w:t>builds on the first generation of Europe Beyond Access, which ran from 2018 to 2023.</w:t>
      </w:r>
    </w:p>
  </w:footnote>
  <w:footnote w:id="80">
    <w:p w14:paraId="3B205BCE" w14:textId="77777777" w:rsidR="00352B78" w:rsidRPr="000F08A8" w:rsidRDefault="00352B78" w:rsidP="002C0325">
      <w:pPr>
        <w:pStyle w:val="FootnoteText"/>
        <w:jc w:val="both"/>
      </w:pPr>
      <w:r w:rsidRPr="000B6BFA">
        <w:rPr>
          <w:rStyle w:val="FootnoteReference"/>
          <w:sz w:val="20"/>
        </w:rPr>
        <w:footnoteRef/>
      </w:r>
      <w:r w:rsidRPr="000F08A8">
        <w:t xml:space="preserve"> R</w:t>
      </w:r>
      <w:r>
        <w:t>egulation</w:t>
      </w:r>
      <w:r w:rsidRPr="000F08A8">
        <w:t xml:space="preserve"> 2021/817, OJ L 189, 28.5.2021, </w:t>
      </w:r>
      <w:r w:rsidRPr="000F08A8">
        <w:rPr>
          <w:lang w:val="en-US"/>
        </w:rPr>
        <w:t>Recital 28.</w:t>
      </w:r>
    </w:p>
  </w:footnote>
  <w:footnote w:id="81">
    <w:p w14:paraId="636EC247" w14:textId="77777777" w:rsidR="00352B78" w:rsidRDefault="00352B78" w:rsidP="002C0325">
      <w:pPr>
        <w:pStyle w:val="FootnoteText"/>
        <w:jc w:val="both"/>
      </w:pPr>
      <w:r w:rsidRPr="000B6BFA">
        <w:rPr>
          <w:rStyle w:val="FootnoteReference"/>
          <w:sz w:val="20"/>
        </w:rPr>
        <w:footnoteRef/>
      </w:r>
      <w:r>
        <w:t xml:space="preserve"> In the FRA online consultation conducted through the Fundamental Rights Platform, under Question 2 (“Over the past five years, has your organisation applied for / received funding from EU programmes/funds?”),</w:t>
      </w:r>
      <w:r w:rsidRPr="00356DF9">
        <w:t xml:space="preserve"> </w:t>
      </w:r>
      <w:r w:rsidRPr="000B6BFA">
        <w:rPr>
          <w:color w:val="000000"/>
          <w:kern w:val="2"/>
          <w14:ligatures w14:val="standardContextual"/>
        </w:rPr>
        <w:t xml:space="preserve">39% of </w:t>
      </w:r>
      <w:r>
        <w:rPr>
          <w:color w:val="000000"/>
          <w:kern w:val="2"/>
          <w14:ligatures w14:val="standardContextual"/>
        </w:rPr>
        <w:t xml:space="preserve">the </w:t>
      </w:r>
      <w:r w:rsidRPr="000B6BFA">
        <w:rPr>
          <w:color w:val="000000"/>
          <w:kern w:val="2"/>
          <w14:ligatures w14:val="standardContextual"/>
        </w:rPr>
        <w:t>respond</w:t>
      </w:r>
      <w:r>
        <w:rPr>
          <w:color w:val="000000"/>
          <w:kern w:val="2"/>
          <w14:ligatures w14:val="standardContextual"/>
        </w:rPr>
        <w:t xml:space="preserve">ing CSOs </w:t>
      </w:r>
      <w:r w:rsidRPr="000B6BFA">
        <w:rPr>
          <w:color w:val="000000"/>
          <w:kern w:val="2"/>
          <w14:ligatures w14:val="standardContextual"/>
        </w:rPr>
        <w:t>indicate</w:t>
      </w:r>
      <w:r>
        <w:rPr>
          <w:color w:val="000000"/>
          <w:kern w:val="2"/>
          <w14:ligatures w14:val="standardContextual"/>
        </w:rPr>
        <w:t>d</w:t>
      </w:r>
      <w:r w:rsidRPr="000B6BFA">
        <w:rPr>
          <w:color w:val="000000"/>
          <w:kern w:val="2"/>
          <w14:ligatures w14:val="standardContextual"/>
        </w:rPr>
        <w:t xml:space="preserve"> having applied </w:t>
      </w:r>
      <w:r>
        <w:rPr>
          <w:color w:val="000000"/>
          <w:kern w:val="2"/>
          <w14:ligatures w14:val="standardContextual"/>
        </w:rPr>
        <w:t xml:space="preserve">for </w:t>
      </w:r>
      <w:r w:rsidRPr="000B6BFA">
        <w:rPr>
          <w:color w:val="000000"/>
          <w:kern w:val="2"/>
          <w14:ligatures w14:val="standardContextual"/>
        </w:rPr>
        <w:t xml:space="preserve">and received </w:t>
      </w:r>
      <w:r>
        <w:rPr>
          <w:color w:val="000000"/>
          <w:kern w:val="2"/>
          <w14:ligatures w14:val="standardContextual"/>
        </w:rPr>
        <w:t xml:space="preserve">Erasmus+ </w:t>
      </w:r>
      <w:r w:rsidRPr="000B6BFA">
        <w:rPr>
          <w:color w:val="000000"/>
          <w:kern w:val="2"/>
          <w14:ligatures w14:val="standardContextual"/>
        </w:rPr>
        <w:t>funding.</w:t>
      </w:r>
    </w:p>
  </w:footnote>
  <w:footnote w:id="82">
    <w:p w14:paraId="2B2012D5" w14:textId="77777777" w:rsidR="00352B78" w:rsidRPr="000F08A8" w:rsidRDefault="00352B78" w:rsidP="002C0325">
      <w:pPr>
        <w:pStyle w:val="FootnoteText"/>
        <w:jc w:val="both"/>
        <w:rPr>
          <w:lang w:val="en-US"/>
        </w:rPr>
      </w:pPr>
      <w:r w:rsidRPr="000B6BFA">
        <w:rPr>
          <w:rStyle w:val="FootnoteReference"/>
          <w:sz w:val="20"/>
        </w:rPr>
        <w:footnoteRef/>
      </w:r>
      <w:r w:rsidRPr="000F08A8">
        <w:t xml:space="preserve"> </w:t>
      </w:r>
      <w:r>
        <w:t>Regulation</w:t>
      </w:r>
      <w:r w:rsidRPr="000F08A8">
        <w:t xml:space="preserve"> 2021/817, OJ L 189, 28.5.2021, </w:t>
      </w:r>
      <w:r w:rsidRPr="000F08A8">
        <w:rPr>
          <w:lang w:val="en-US"/>
        </w:rPr>
        <w:t>Recital 64.</w:t>
      </w:r>
    </w:p>
  </w:footnote>
  <w:footnote w:id="83">
    <w:p w14:paraId="087F4495" w14:textId="77777777" w:rsidR="00352B78" w:rsidRPr="004E354A" w:rsidRDefault="00352B78" w:rsidP="002C0325">
      <w:pPr>
        <w:pStyle w:val="FootnoteText"/>
        <w:jc w:val="both"/>
      </w:pPr>
      <w:r w:rsidRPr="000B6BFA">
        <w:rPr>
          <w:rStyle w:val="FootnoteReference"/>
          <w:sz w:val="20"/>
        </w:rPr>
        <w:footnoteRef/>
      </w:r>
      <w:r>
        <w:t xml:space="preserve"> </w:t>
      </w:r>
      <w:r w:rsidRPr="004E354A">
        <w:t xml:space="preserve">The Erasmus+ projects results platform identifies 605 projects with a focus on the broad area of </w:t>
      </w:r>
      <w:r>
        <w:t xml:space="preserve">fundamental </w:t>
      </w:r>
      <w:r w:rsidRPr="004E354A">
        <w:t>rights and the rule of law since the start of the current Erasmus+ programme in 2021.</w:t>
      </w:r>
    </w:p>
  </w:footnote>
  <w:footnote w:id="84">
    <w:p w14:paraId="1576BB62" w14:textId="77777777" w:rsidR="00352B78" w:rsidRPr="00DB5AF8" w:rsidRDefault="00352B78" w:rsidP="002C0325">
      <w:pPr>
        <w:pStyle w:val="FootnoteText"/>
        <w:jc w:val="both"/>
        <w:rPr>
          <w:lang w:val="fr-BE"/>
        </w:rPr>
      </w:pPr>
      <w:r w:rsidRPr="000B6BFA">
        <w:rPr>
          <w:rStyle w:val="FootnoteReference"/>
          <w:sz w:val="20"/>
        </w:rPr>
        <w:footnoteRef/>
      </w:r>
      <w:r w:rsidRPr="00DB5AF8">
        <w:rPr>
          <w:lang w:val="fr-BE"/>
        </w:rPr>
        <w:t xml:space="preserve"> Erasmus+ Programme Guide 2024, p. 180.</w:t>
      </w:r>
    </w:p>
  </w:footnote>
  <w:footnote w:id="85">
    <w:p w14:paraId="06FF5B5F" w14:textId="77777777" w:rsidR="00352B78" w:rsidRPr="00DB5AF8" w:rsidRDefault="00352B78" w:rsidP="002C0325">
      <w:pPr>
        <w:pStyle w:val="FootnoteText"/>
        <w:jc w:val="both"/>
        <w:rPr>
          <w:lang w:val="fr-BE"/>
        </w:rPr>
      </w:pPr>
      <w:r w:rsidRPr="000B6BFA">
        <w:rPr>
          <w:rStyle w:val="FootnoteReference"/>
          <w:sz w:val="20"/>
        </w:rPr>
        <w:footnoteRef/>
      </w:r>
      <w:r w:rsidRPr="00DB5AF8">
        <w:rPr>
          <w:lang w:val="fr-BE"/>
        </w:rPr>
        <w:t xml:space="preserve"> Erasmus+ Programme Guide 2024, p. 226.</w:t>
      </w:r>
    </w:p>
  </w:footnote>
  <w:footnote w:id="86">
    <w:p w14:paraId="0D610AE8" w14:textId="77777777" w:rsidR="00352B78" w:rsidRDefault="00352B78" w:rsidP="002C0325">
      <w:pPr>
        <w:pStyle w:val="FootnoteText"/>
        <w:rPr>
          <w:lang w:val="fr-FR"/>
        </w:rPr>
      </w:pPr>
      <w:r w:rsidRPr="000B6BFA">
        <w:rPr>
          <w:rStyle w:val="FootnoteReference"/>
          <w:sz w:val="20"/>
        </w:rPr>
        <w:footnoteRef/>
      </w:r>
      <w:r>
        <w:rPr>
          <w:lang w:val="fr-FR"/>
        </w:rPr>
        <w:t xml:space="preserve"> </w:t>
      </w:r>
      <w:hyperlink r:id="rId44" w:history="1">
        <w:r>
          <w:rPr>
            <w:rStyle w:val="Hyperlink"/>
            <w:lang w:val="fr-FR"/>
          </w:rPr>
          <w:t>European universities initiative</w:t>
        </w:r>
      </w:hyperlink>
      <w:r>
        <w:rPr>
          <w:lang w:val="fr-FR"/>
        </w:rPr>
        <w:t>.</w:t>
      </w:r>
    </w:p>
  </w:footnote>
  <w:footnote w:id="87">
    <w:p w14:paraId="5EEC0D05" w14:textId="77777777" w:rsidR="00352B78" w:rsidRPr="003C5487" w:rsidRDefault="00352B78" w:rsidP="002C0325">
      <w:pPr>
        <w:pStyle w:val="FootnoteText"/>
        <w:jc w:val="both"/>
      </w:pPr>
      <w:r w:rsidRPr="000B6BFA">
        <w:rPr>
          <w:rStyle w:val="FootnoteReference"/>
          <w:sz w:val="20"/>
        </w:rPr>
        <w:footnoteRef/>
      </w:r>
      <w:r>
        <w:t xml:space="preserve"> These </w:t>
      </w:r>
      <w:r w:rsidRPr="00D33AA1">
        <w:t>inclu</w:t>
      </w:r>
      <w:r>
        <w:t>de</w:t>
      </w:r>
      <w:r w:rsidRPr="003C5487">
        <w:t xml:space="preserve"> </w:t>
      </w:r>
      <w:r w:rsidRPr="00800B4B">
        <w:t xml:space="preserve">a </w:t>
      </w:r>
      <w:r w:rsidRPr="00D33AA1">
        <w:t xml:space="preserve">Jean Monnet Chair at Spain’s National University of Distance Education on ‘Integration through EU Fundamental Rights’ (2022-2025), and </w:t>
      </w:r>
      <w:r>
        <w:t>several</w:t>
      </w:r>
      <w:r w:rsidRPr="00D33AA1">
        <w:t xml:space="preserve"> Jean Monnet Modules at institutions such as the University of Ljubljana on the ‘Charter of Fundamental Rights of the European Union: An Anthropological Perspective’ (2024-2027), eCampus University in Italy on ‘History of EU Values and the Charter of Fundamental Rights of the European Union’ (2022-2025), the University of Lisbon on ‘Fundamental Rights and Rule of Law as European V</w:t>
      </w:r>
      <w:r>
        <w:t>a</w:t>
      </w:r>
      <w:r w:rsidRPr="00D33AA1">
        <w:t xml:space="preserve">lues in a Global World after the Conference on the Future of Europe’ (2022-2025), the National and Kapodistrian University of Athens on ‘Rule of Law and Fundamental Rights Protection in the EU’ (2023-2026) </w:t>
      </w:r>
      <w:r>
        <w:t>and</w:t>
      </w:r>
      <w:r w:rsidRPr="00D33AA1">
        <w:t xml:space="preserve"> the University of Salerno on ‘Activating EU Rights: Past and Present of Fundamental Human Rights’ (2022-2025)</w:t>
      </w:r>
      <w:r>
        <w:t>.</w:t>
      </w:r>
    </w:p>
  </w:footnote>
  <w:footnote w:id="88">
    <w:p w14:paraId="20BC4F23" w14:textId="77777777" w:rsidR="00352B78" w:rsidRPr="00D00E87" w:rsidRDefault="00352B78" w:rsidP="002C0325">
      <w:pPr>
        <w:pStyle w:val="FootnoteText"/>
        <w:jc w:val="both"/>
      </w:pPr>
      <w:r w:rsidRPr="000B6BFA">
        <w:rPr>
          <w:rStyle w:val="FootnoteReference"/>
          <w:sz w:val="20"/>
        </w:rPr>
        <w:footnoteRef/>
      </w:r>
      <w:r>
        <w:t xml:space="preserve"> J</w:t>
      </w:r>
      <w:r w:rsidRPr="00D00E87">
        <w:t>ean Monnet Modules at the University of Maribor on ‘Fundamental Rights in EU Business Law and Policy’ (2022-2025), the University of Turin on ‘Fundamental Rights in Europe: Enhancing cultural sensitivity for Inclusiveness’ (2023-2026), the Catholic University of Louvain on ‘Clinics on EU Digital Rights, Law, and Design’ (on fundamental rights in the online environment) (2022-2025), and the University of Osijek on ‘European Union and Gender Equality’ (2023-2026), and the Jean Monnet Chair on ‘European Green Rights: Reshaping Fundamental Rights for Next Generations at the University Suor Orsola Benincasa in Naples (2022-2025).</w:t>
      </w:r>
    </w:p>
  </w:footnote>
  <w:footnote w:id="89">
    <w:p w14:paraId="7334AEC7" w14:textId="77777777" w:rsidR="00352B78" w:rsidRPr="00815A49" w:rsidRDefault="00352B78" w:rsidP="002C0325">
      <w:pPr>
        <w:pStyle w:val="FootnoteText"/>
        <w:jc w:val="both"/>
      </w:pPr>
      <w:r w:rsidRPr="000B6BFA">
        <w:rPr>
          <w:rStyle w:val="FootnoteReference"/>
          <w:sz w:val="20"/>
        </w:rPr>
        <w:footnoteRef/>
      </w:r>
      <w:r>
        <w:t xml:space="preserve"> S</w:t>
      </w:r>
      <w:r w:rsidRPr="00815A49">
        <w:t>uch as the Jean Monnet Chair on ‘EU Standards on Freedom of Expression and Information’ at Sumy State University in Ukraine (2023-2026)</w:t>
      </w:r>
      <w:r>
        <w:t>.</w:t>
      </w:r>
    </w:p>
  </w:footnote>
  <w:footnote w:id="90">
    <w:p w14:paraId="472209EB" w14:textId="77777777" w:rsidR="00352B78" w:rsidRPr="00124BBF" w:rsidRDefault="00352B78" w:rsidP="002C0325">
      <w:pPr>
        <w:pStyle w:val="FootnoteText"/>
        <w:jc w:val="both"/>
      </w:pPr>
      <w:r w:rsidRPr="000B6BFA">
        <w:rPr>
          <w:rStyle w:val="FootnoteReference"/>
          <w:sz w:val="20"/>
        </w:rPr>
        <w:footnoteRef/>
      </w:r>
      <w:r>
        <w:t xml:space="preserve"> </w:t>
      </w:r>
      <w:hyperlink r:id="rId45" w:history="1">
        <w:r w:rsidRPr="00356DF9">
          <w:rPr>
            <w:rStyle w:val="Hyperlink"/>
          </w:rPr>
          <w:t>ACT Project (</w:t>
        </w:r>
        <w:r w:rsidRPr="00821589">
          <w:rPr>
            <w:rStyle w:val="Hyperlink"/>
          </w:rPr>
          <w:t>project-act.eu</w:t>
        </w:r>
        <w:r w:rsidRPr="00356DF9">
          <w:rPr>
            <w:rStyle w:val="Hyperlink"/>
          </w:rPr>
          <w:t>)</w:t>
        </w:r>
      </w:hyperlink>
      <w:r w:rsidRPr="00356DF9">
        <w:t xml:space="preserve">. </w:t>
      </w:r>
    </w:p>
  </w:footnote>
  <w:footnote w:id="91">
    <w:p w14:paraId="7FE35F7F" w14:textId="77777777" w:rsidR="00352B78" w:rsidRPr="000F08A8" w:rsidRDefault="00352B78" w:rsidP="002C0325">
      <w:pPr>
        <w:pStyle w:val="FootnoteText"/>
        <w:jc w:val="both"/>
      </w:pPr>
      <w:r w:rsidRPr="000B6BFA">
        <w:rPr>
          <w:rStyle w:val="FootnoteReference"/>
          <w:sz w:val="20"/>
        </w:rPr>
        <w:footnoteRef/>
      </w:r>
      <w:r w:rsidRPr="000F08A8">
        <w:t xml:space="preserve"> Implementation guidelines - Erasmus+ and European Solidarity Corps Inclusion and Diversity Strategy 2021, </w:t>
      </w:r>
      <w:hyperlink r:id="rId46" w:history="1">
        <w:r w:rsidRPr="00356DF9">
          <w:rPr>
            <w:rStyle w:val="Hyperlink"/>
          </w:rPr>
          <w:t>Implementation guidelines - Erasmus+ and European Solidarity Corps Inclusion and Diversity Strategy - Erasmus+ (europa.eu)</w:t>
        </w:r>
      </w:hyperlink>
      <w:r w:rsidRPr="00356DF9">
        <w:t>.</w:t>
      </w:r>
      <w:r w:rsidRPr="000F08A8">
        <w:t xml:space="preserve"> </w:t>
      </w:r>
      <w:r w:rsidRPr="00F036CD">
        <w:t xml:space="preserve">The </w:t>
      </w:r>
      <w:r w:rsidRPr="009F2DCE">
        <w:t>Erasmus+ Programme Guide 2024</w:t>
      </w:r>
      <w:r>
        <w:t xml:space="preserve"> also</w:t>
      </w:r>
      <w:r w:rsidRPr="00F036CD">
        <w:t xml:space="preserve"> highlights that it ‘is at the heart of the Programme to come closer to those with fewer opportunities’</w:t>
      </w:r>
      <w:r>
        <w:t>, referring to</w:t>
      </w:r>
      <w:r w:rsidRPr="00F62A53">
        <w:t xml:space="preserve"> </w:t>
      </w:r>
      <w:r>
        <w:t>“</w:t>
      </w:r>
      <w:r w:rsidRPr="00F62A53">
        <w:t>people who, for economic, social, cultural, geographical or health reasons, due to their migrant background, or for reasons such as disability or educational difficulties or for any other reason, including a reason that could give rise to discrimination under Article 21 of the Charter of Fundamental Rights of the European Union, face obstacles that prevent them from having effective access to opportunities under the Programme</w:t>
      </w:r>
      <w:r>
        <w:t xml:space="preserve">”. </w:t>
      </w:r>
      <w:r w:rsidRPr="009F2DCE">
        <w:t>Erasmus+ Programme Guide 2024, p. 4</w:t>
      </w:r>
      <w:r>
        <w:t>.</w:t>
      </w:r>
    </w:p>
  </w:footnote>
  <w:footnote w:id="92">
    <w:p w14:paraId="50D39740" w14:textId="77777777" w:rsidR="00352B78" w:rsidRPr="00075A8B" w:rsidRDefault="00352B78" w:rsidP="002C0325">
      <w:pPr>
        <w:pStyle w:val="FootnoteText"/>
        <w:jc w:val="both"/>
      </w:pPr>
      <w:r w:rsidRPr="000B6BFA">
        <w:rPr>
          <w:rStyle w:val="FootnoteReference"/>
          <w:sz w:val="20"/>
        </w:rPr>
        <w:footnoteRef/>
      </w:r>
      <w:r>
        <w:t xml:space="preserve"> A budget</w:t>
      </w:r>
      <w:r w:rsidRPr="00075A8B">
        <w:t xml:space="preserve"> cut in 2023 of EUR 2.1 billion</w:t>
      </w:r>
      <w:r>
        <w:t xml:space="preserve"> was made</w:t>
      </w:r>
      <w:r w:rsidRPr="00075A8B">
        <w:t xml:space="preserve"> in the context of the MFF midterm review. Th</w:t>
      </w:r>
      <w:r>
        <w:t>e budget</w:t>
      </w:r>
      <w:r w:rsidRPr="00075A8B">
        <w:t xml:space="preserve"> includes EUR 5.4 billion from the Next Generation Europe instrument to support the green and digital recovery from the COVID crisis</w:t>
      </w:r>
      <w:r>
        <w:t>.</w:t>
      </w:r>
    </w:p>
  </w:footnote>
  <w:footnote w:id="93">
    <w:p w14:paraId="605E65DD" w14:textId="77777777" w:rsidR="00352B78" w:rsidRPr="00C6205E" w:rsidRDefault="00352B78" w:rsidP="002C0325">
      <w:pPr>
        <w:pStyle w:val="FootnoteText"/>
        <w:jc w:val="both"/>
      </w:pPr>
      <w:r w:rsidRPr="000B6BFA">
        <w:rPr>
          <w:rStyle w:val="FootnoteReference"/>
          <w:sz w:val="20"/>
        </w:rPr>
        <w:footnoteRef/>
      </w:r>
      <w:r w:rsidRPr="0040221C">
        <w:t xml:space="preserve"> </w:t>
      </w:r>
      <w:r w:rsidRPr="007D1D53">
        <w:t xml:space="preserve">The programme also contributes to the </w:t>
      </w:r>
      <w:r>
        <w:t>application</w:t>
      </w:r>
      <w:r w:rsidRPr="007D1D53">
        <w:t xml:space="preserve"> of the right to </w:t>
      </w:r>
      <w:r>
        <w:t xml:space="preserve">respect for </w:t>
      </w:r>
      <w:r w:rsidRPr="007D1D53">
        <w:t>priva</w:t>
      </w:r>
      <w:r>
        <w:t>te life</w:t>
      </w:r>
      <w:r w:rsidRPr="007D1D53">
        <w:t>, the protection of personal data, the physical and mental integrity of a person, non-discrimination and to the need to ensure protection of the environment and high levels of human health protection</w:t>
      </w:r>
      <w:r>
        <w:t xml:space="preserve"> </w:t>
      </w:r>
      <w:r w:rsidRPr="003C2872">
        <w:t>as enshrined in the Charter</w:t>
      </w:r>
      <w:r>
        <w:t xml:space="preserve">, see </w:t>
      </w:r>
      <w:r w:rsidRPr="00C6205E">
        <w:t>Article 19</w:t>
      </w:r>
      <w:r>
        <w:t>(</w:t>
      </w:r>
      <w:r w:rsidRPr="00C6205E">
        <w:t>1</w:t>
      </w:r>
      <w:r>
        <w:t xml:space="preserve">) </w:t>
      </w:r>
      <w:r w:rsidRPr="0040221C">
        <w:t>Regulation 2021/695</w:t>
      </w:r>
      <w:r>
        <w:t>,</w:t>
      </w:r>
      <w:r w:rsidRPr="0040221C">
        <w:t xml:space="preserve"> </w:t>
      </w:r>
      <w:r w:rsidRPr="000E0BAC">
        <w:t>OJ L 170, 12.5.2021, p. 1</w:t>
      </w:r>
      <w:r>
        <w:t>-</w:t>
      </w:r>
      <w:r w:rsidRPr="000E0BAC">
        <w:t>68</w:t>
      </w:r>
      <w:r>
        <w:t xml:space="preserve">. </w:t>
      </w:r>
    </w:p>
  </w:footnote>
  <w:footnote w:id="94">
    <w:p w14:paraId="2076B38B" w14:textId="77777777" w:rsidR="00352B78" w:rsidRPr="00815CCB" w:rsidRDefault="00352B78" w:rsidP="002C0325">
      <w:pPr>
        <w:pStyle w:val="FootnoteText"/>
      </w:pPr>
      <w:r w:rsidRPr="000B6BFA">
        <w:rPr>
          <w:rStyle w:val="FootnoteReference"/>
          <w:sz w:val="20"/>
        </w:rPr>
        <w:footnoteRef/>
      </w:r>
      <w:r>
        <w:t xml:space="preserve"> See Annex I of the </w:t>
      </w:r>
      <w:r w:rsidRPr="00C6205E">
        <w:t xml:space="preserve">Council </w:t>
      </w:r>
      <w:r>
        <w:t>D</w:t>
      </w:r>
      <w:r w:rsidRPr="00C6205E">
        <w:t>ecision 2021/764</w:t>
      </w:r>
      <w:r>
        <w:t xml:space="preserve">, </w:t>
      </w:r>
      <w:r w:rsidRPr="00075B76">
        <w:t>OJ L 167I, 12.5.2021, p. 1</w:t>
      </w:r>
      <w:r>
        <w:t>-</w:t>
      </w:r>
      <w:r w:rsidRPr="00075B76">
        <w:t>80</w:t>
      </w:r>
      <w:r w:rsidRPr="00C6205E">
        <w:t>.</w:t>
      </w:r>
    </w:p>
  </w:footnote>
  <w:footnote w:id="95">
    <w:p w14:paraId="04D29053" w14:textId="77777777" w:rsidR="00352B78" w:rsidRPr="000D0EC0" w:rsidRDefault="00352B78" w:rsidP="002C0325">
      <w:pPr>
        <w:pStyle w:val="FootnoteText"/>
      </w:pPr>
      <w:r w:rsidRPr="000B6BFA">
        <w:rPr>
          <w:rStyle w:val="FootnoteReference"/>
          <w:sz w:val="20"/>
        </w:rPr>
        <w:footnoteRef/>
      </w:r>
      <w:r w:rsidRPr="000D0EC0">
        <w:t xml:space="preserve"> </w:t>
      </w:r>
      <w:hyperlink r:id="rId47" w:history="1">
        <w:r w:rsidRPr="00356DF9">
          <w:rPr>
            <w:rStyle w:val="Hyperlink"/>
          </w:rPr>
          <w:t>Flexible Approaches to Support Health through financing | FLASH | Project | Fact sheet | HORIZON | CORDIS | European Commission (europa.eu)</w:t>
        </w:r>
      </w:hyperlink>
      <w:r w:rsidRPr="00356DF9">
        <w:rPr>
          <w:rStyle w:val="Hyperlink"/>
        </w:rPr>
        <w:t>.</w:t>
      </w:r>
      <w:r w:rsidRPr="00356DF9">
        <w:t xml:space="preserve"> </w:t>
      </w:r>
    </w:p>
  </w:footnote>
  <w:footnote w:id="96">
    <w:p w14:paraId="1CF775CE" w14:textId="77777777" w:rsidR="00352B78" w:rsidRPr="00FC1F08" w:rsidRDefault="00352B78" w:rsidP="002C0325">
      <w:pPr>
        <w:pStyle w:val="FootnoteText"/>
      </w:pPr>
      <w:r w:rsidRPr="000B6BFA">
        <w:rPr>
          <w:rStyle w:val="FootnoteReference"/>
          <w:sz w:val="20"/>
        </w:rPr>
        <w:footnoteRef/>
      </w:r>
      <w:r>
        <w:t xml:space="preserve"> </w:t>
      </w:r>
      <w:hyperlink r:id="rId48" w:history="1">
        <w:r w:rsidRPr="00356DF9">
          <w:rPr>
            <w:rStyle w:val="Hyperlink"/>
          </w:rPr>
          <w:t>Creating a safer space for children online - European Commission (europa.eu)</w:t>
        </w:r>
      </w:hyperlink>
      <w:r w:rsidRPr="00356DF9">
        <w:t xml:space="preserve">. </w:t>
      </w:r>
    </w:p>
  </w:footnote>
  <w:footnote w:id="97">
    <w:p w14:paraId="5C6F1569" w14:textId="77777777" w:rsidR="00352B78" w:rsidRDefault="00352B78" w:rsidP="002C0325">
      <w:pPr>
        <w:pStyle w:val="FootnoteText"/>
      </w:pPr>
      <w:r w:rsidRPr="000B6BFA">
        <w:rPr>
          <w:rStyle w:val="FootnoteReference"/>
          <w:sz w:val="20"/>
        </w:rPr>
        <w:footnoteRef/>
      </w:r>
      <w:r>
        <w:t xml:space="preserve"> </w:t>
      </w:r>
      <w:hyperlink r:id="rId49" w:history="1">
        <w:r w:rsidRPr="00356DF9">
          <w:rPr>
            <w:rStyle w:val="Hyperlink"/>
          </w:rPr>
          <w:t>adVANced technoloGical solutions coupled with societal-oriented Understanding and AwaReness for Disrupting trafficking in human beings | VANGUARD | Project | Fact sheet | HORIZON | CORDIS | European Commission (europa.eu)</w:t>
        </w:r>
      </w:hyperlink>
      <w:r w:rsidRPr="00356DF9">
        <w:rPr>
          <w:rStyle w:val="Hyperlink"/>
        </w:rPr>
        <w:t>.</w:t>
      </w:r>
      <w:r w:rsidRPr="00356DF9">
        <w:t xml:space="preserve"> </w:t>
      </w:r>
    </w:p>
  </w:footnote>
  <w:footnote w:id="98">
    <w:p w14:paraId="2C95321D" w14:textId="77777777" w:rsidR="00352B78" w:rsidRDefault="00352B78" w:rsidP="00E21E46">
      <w:pPr>
        <w:pStyle w:val="FootnoteText"/>
        <w:jc w:val="both"/>
      </w:pPr>
      <w:r w:rsidRPr="000B6BFA">
        <w:rPr>
          <w:rStyle w:val="FootnoteReference"/>
          <w:sz w:val="20"/>
        </w:rPr>
        <w:footnoteRef/>
      </w:r>
      <w:r>
        <w:t xml:space="preserve"> </w:t>
      </w:r>
      <w:hyperlink r:id="rId50" w:history="1">
        <w:r w:rsidRPr="00356DF9">
          <w:rPr>
            <w:rStyle w:val="Hyperlink"/>
          </w:rPr>
          <w:t>The European Biodiversity Partnership | Biodiversa-plus | Project | Fact sheet | HORIZON | CORDIS | European Commission (europa.eu)</w:t>
        </w:r>
      </w:hyperlink>
      <w:r w:rsidRPr="00356DF9">
        <w:rPr>
          <w:rStyle w:val="Hyperlink"/>
        </w:rPr>
        <w:t>.</w:t>
      </w:r>
      <w:r w:rsidRPr="00356DF9">
        <w:t xml:space="preserve"> </w:t>
      </w:r>
    </w:p>
  </w:footnote>
  <w:footnote w:id="99">
    <w:p w14:paraId="72B05B9F" w14:textId="77777777" w:rsidR="00352B78" w:rsidRPr="00A91650" w:rsidRDefault="00352B78" w:rsidP="00271548">
      <w:pPr>
        <w:pStyle w:val="FootnoteText"/>
        <w:jc w:val="both"/>
      </w:pPr>
      <w:r w:rsidRPr="000B6BFA">
        <w:rPr>
          <w:rStyle w:val="FootnoteReference"/>
          <w:sz w:val="20"/>
        </w:rPr>
        <w:footnoteRef/>
      </w:r>
      <w:r>
        <w:t xml:space="preserve"> </w:t>
      </w:r>
      <w:hyperlink r:id="rId51" w:history="1">
        <w:r>
          <w:rPr>
            <w:rStyle w:val="Hyperlink"/>
          </w:rPr>
          <w:t>CAP funds - European Commission (europa.eu)</w:t>
        </w:r>
      </w:hyperlink>
      <w:r>
        <w:t>.</w:t>
      </w:r>
    </w:p>
  </w:footnote>
  <w:footnote w:id="100">
    <w:p w14:paraId="72B7E1D6" w14:textId="77777777" w:rsidR="00352B78" w:rsidRPr="004E23C3" w:rsidRDefault="00352B78" w:rsidP="00E21E46">
      <w:pPr>
        <w:pStyle w:val="FootnoteText"/>
        <w:jc w:val="both"/>
      </w:pPr>
      <w:r w:rsidRPr="000B6BFA">
        <w:rPr>
          <w:rStyle w:val="FootnoteReference"/>
          <w:sz w:val="20"/>
        </w:rPr>
        <w:footnoteRef/>
      </w:r>
      <w:r>
        <w:t xml:space="preserve"> </w:t>
      </w:r>
      <w:r w:rsidRPr="004E23C3">
        <w:t>The implementation of CAP 2023-2027 has started only recently</w:t>
      </w:r>
      <w:r>
        <w:t xml:space="preserve"> and f</w:t>
      </w:r>
      <w:r w:rsidRPr="004E23C3">
        <w:t xml:space="preserve">irst results </w:t>
      </w:r>
      <w:r>
        <w:t>can</w:t>
      </w:r>
      <w:r w:rsidRPr="004E23C3">
        <w:t xml:space="preserve"> be expected early 2026.</w:t>
      </w:r>
    </w:p>
  </w:footnote>
  <w:footnote w:id="101">
    <w:p w14:paraId="135FD158" w14:textId="77777777" w:rsidR="00352B78" w:rsidRPr="00A840F6" w:rsidRDefault="00352B78" w:rsidP="00271548">
      <w:pPr>
        <w:pStyle w:val="FootnoteText"/>
        <w:jc w:val="both"/>
      </w:pPr>
      <w:r w:rsidRPr="000B6BFA">
        <w:rPr>
          <w:rStyle w:val="FootnoteReference"/>
          <w:sz w:val="20"/>
        </w:rPr>
        <w:footnoteRef/>
      </w:r>
      <w:r>
        <w:t xml:space="preserve"> </w:t>
      </w:r>
      <w:r w:rsidRPr="00A840F6">
        <w:t>Social conditionality relates to the Transparent and Predictable Working Conditions Directive (EU) 2019/1152, and two occupational safety and health Directives (Framework Directive 89/391/EEC and Directive 2009/104/EC).</w:t>
      </w:r>
      <w:r w:rsidRPr="006516E1">
        <w:t xml:space="preserve"> </w:t>
      </w:r>
      <w:r>
        <w:t>The mechanism</w:t>
      </w:r>
      <w:r w:rsidRPr="006516E1">
        <w:t xml:space="preserve"> will rely on systems in place under the EU</w:t>
      </w:r>
      <w:r>
        <w:t>’s</w:t>
      </w:r>
      <w:r w:rsidRPr="006516E1">
        <w:t xml:space="preserve"> social legislation. National authorities need to report to the national Agricultural Paying Agencies on the result</w:t>
      </w:r>
      <w:r>
        <w:t xml:space="preserve">s </w:t>
      </w:r>
      <w:r w:rsidRPr="006516E1">
        <w:t>and possible sanctions for any follow-up for CAP payments.</w:t>
      </w:r>
      <w:r>
        <w:t xml:space="preserve"> </w:t>
      </w:r>
      <w:r w:rsidRPr="00762D7A">
        <w:t xml:space="preserve">Member States </w:t>
      </w:r>
      <w:r>
        <w:t>need</w:t>
      </w:r>
      <w:r w:rsidRPr="00762D7A">
        <w:t xml:space="preserve"> to ensure that the mechanism is in place from 2025 at the latest</w:t>
      </w:r>
      <w:r>
        <w:t>.</w:t>
      </w:r>
      <w:r w:rsidRPr="00762D7A">
        <w:t xml:space="preserve"> </w:t>
      </w:r>
      <w:r>
        <w:t>Six</w:t>
      </w:r>
      <w:r w:rsidRPr="00762D7A">
        <w:t xml:space="preserve"> Member States already </w:t>
      </w:r>
      <w:r>
        <w:t>implement the mechanism</w:t>
      </w:r>
      <w:r w:rsidRPr="00762D7A">
        <w:t xml:space="preserve"> </w:t>
      </w:r>
      <w:r>
        <w:t>(</w:t>
      </w:r>
      <w:r w:rsidRPr="00762D7A">
        <w:t>France, Austria, Luxembourg, Italy, Spain and Portugal</w:t>
      </w:r>
      <w:r>
        <w:t>)</w:t>
      </w:r>
      <w:r w:rsidRPr="00762D7A">
        <w:t>.</w:t>
      </w:r>
    </w:p>
  </w:footnote>
  <w:footnote w:id="102">
    <w:p w14:paraId="5DEEE785" w14:textId="77777777" w:rsidR="00352B78" w:rsidRDefault="00352B78" w:rsidP="00E21E46">
      <w:pPr>
        <w:pStyle w:val="FootnoteText"/>
        <w:jc w:val="both"/>
      </w:pPr>
      <w:r w:rsidRPr="000B6BFA">
        <w:rPr>
          <w:rStyle w:val="FootnoteReference"/>
          <w:sz w:val="20"/>
        </w:rPr>
        <w:footnoteRef/>
      </w:r>
      <w:r>
        <w:t xml:space="preserve"> </w:t>
      </w:r>
      <w:hyperlink r:id="rId52" w:history="1">
        <w:r w:rsidRPr="00356DF9">
          <w:rPr>
            <w:rStyle w:val="Hyperlink"/>
          </w:rPr>
          <w:t>The European Biodiversity Partnership | Biodiversa-plus | Project | Fact sheet | HORIZON | CORDIS | European Commission (europa.eu)</w:t>
        </w:r>
      </w:hyperlink>
      <w:r w:rsidRPr="00356DF9">
        <w:rPr>
          <w:rStyle w:val="Hyperlink"/>
        </w:rPr>
        <w:t>.</w:t>
      </w:r>
      <w:r w:rsidRPr="00356DF9">
        <w:t xml:space="preserve"> </w:t>
      </w:r>
    </w:p>
  </w:footnote>
  <w:footnote w:id="103">
    <w:p w14:paraId="3134CF41" w14:textId="77777777" w:rsidR="00352B78" w:rsidRDefault="00352B78" w:rsidP="00271548">
      <w:pPr>
        <w:pStyle w:val="FootnoteText"/>
        <w:jc w:val="both"/>
      </w:pPr>
      <w:r w:rsidRPr="000B6BFA">
        <w:rPr>
          <w:rStyle w:val="FootnoteReference"/>
          <w:sz w:val="20"/>
        </w:rPr>
        <w:footnoteRef/>
      </w:r>
      <w:r>
        <w:t xml:space="preserve"> </w:t>
      </w:r>
      <w:r w:rsidRPr="00961EDA">
        <w:t>The RRF</w:t>
      </w:r>
      <w:r>
        <w:t xml:space="preserve"> </w:t>
      </w:r>
      <w:r w:rsidRPr="00961EDA">
        <w:t>is a temporary funding instrument set up in 2021 to mitigate the economic and social impact of the pandemic</w:t>
      </w:r>
      <w:r>
        <w:t xml:space="preserve"> by</w:t>
      </w:r>
      <w:r w:rsidRPr="00961EDA">
        <w:t xml:space="preserve"> financing reforms and investments</w:t>
      </w:r>
      <w:r>
        <w:t>; Regulation 2021/241, OJ L 57, 18.2.2021, p. 17-7.</w:t>
      </w:r>
    </w:p>
  </w:footnote>
  <w:footnote w:id="104">
    <w:p w14:paraId="51FFC6B5" w14:textId="77777777" w:rsidR="00352B78" w:rsidRPr="00F96491" w:rsidRDefault="00352B78" w:rsidP="00271548">
      <w:pPr>
        <w:pStyle w:val="FootnoteText"/>
        <w:jc w:val="both"/>
      </w:pPr>
      <w:r w:rsidRPr="000B6BFA">
        <w:rPr>
          <w:rStyle w:val="FootnoteReference"/>
          <w:sz w:val="20"/>
        </w:rPr>
        <w:footnoteRef/>
      </w:r>
      <w:r>
        <w:t xml:space="preserve"> </w:t>
      </w:r>
      <w:hyperlink r:id="rId53" w:history="1">
        <w:r w:rsidRPr="00356DF9">
          <w:rPr>
            <w:rStyle w:val="Hyperlink"/>
          </w:rPr>
          <w:t>Recovery and Resilience Scoreboard (europa.eu)</w:t>
        </w:r>
      </w:hyperlink>
      <w:r w:rsidRPr="00356DF9">
        <w:t xml:space="preserve">. </w:t>
      </w:r>
    </w:p>
  </w:footnote>
  <w:footnote w:id="105">
    <w:p w14:paraId="5C76DC47" w14:textId="77777777" w:rsidR="00352B78" w:rsidRPr="00074FA8" w:rsidRDefault="00352B78" w:rsidP="00271548">
      <w:pPr>
        <w:pStyle w:val="FootnoteText"/>
        <w:jc w:val="both"/>
      </w:pPr>
      <w:r w:rsidRPr="000B6BFA">
        <w:rPr>
          <w:rStyle w:val="FootnoteReference"/>
          <w:sz w:val="20"/>
        </w:rPr>
        <w:footnoteRef/>
      </w:r>
      <w:r>
        <w:t xml:space="preserve"> The European Commission</w:t>
      </w:r>
      <w:r w:rsidRPr="000B6BFA">
        <w:t xml:space="preserve"> </w:t>
      </w:r>
      <w:r>
        <w:t>provides technical expertise to Member States to design and implement reforms. See</w:t>
      </w:r>
      <w:r w:rsidRPr="002D465A">
        <w:t xml:space="preserve"> </w:t>
      </w:r>
      <w:hyperlink r:id="rId54" w:history="1">
        <w:r w:rsidRPr="002A5EB8">
          <w:rPr>
            <w:rStyle w:val="Hyperlink"/>
          </w:rPr>
          <w:t>Technical Support Instrument (TSI) (europa.eu).</w:t>
        </w:r>
      </w:hyperlink>
    </w:p>
  </w:footnote>
  <w:footnote w:id="106">
    <w:p w14:paraId="56ED776B" w14:textId="77777777" w:rsidR="00352B78" w:rsidRPr="000B6BFA" w:rsidRDefault="00352B78" w:rsidP="002C0325">
      <w:pPr>
        <w:pStyle w:val="FootnoteText"/>
        <w:jc w:val="both"/>
      </w:pPr>
      <w:r w:rsidRPr="000B6BFA">
        <w:rPr>
          <w:rStyle w:val="FootnoteReference"/>
          <w:sz w:val="20"/>
        </w:rPr>
        <w:footnoteRef/>
      </w:r>
      <w:r w:rsidRPr="000B6BFA">
        <w:rPr>
          <w:i/>
        </w:rPr>
        <w:t xml:space="preserve"> </w:t>
      </w:r>
      <w:r w:rsidRPr="000B6BFA">
        <w:t>Commission Delegated Regulation 2021/1078 of 14 April 2021 supplementing Regulation (EU) 2021/523 of the European Parliament and of the Council by setting out the investment guidelines for the InvestEU Fund.</w:t>
      </w:r>
    </w:p>
  </w:footnote>
  <w:footnote w:id="107">
    <w:p w14:paraId="6F0B25BA" w14:textId="77777777" w:rsidR="00352B78" w:rsidRPr="007043D0" w:rsidRDefault="00352B78" w:rsidP="002C0325">
      <w:pPr>
        <w:pStyle w:val="FootnoteText"/>
        <w:jc w:val="both"/>
      </w:pPr>
      <w:r w:rsidRPr="000B6BFA">
        <w:rPr>
          <w:rStyle w:val="FootnoteReference"/>
          <w:sz w:val="20"/>
        </w:rPr>
        <w:footnoteRef/>
      </w:r>
      <w:r w:rsidRPr="007043D0">
        <w:t xml:space="preserve"> At programme level, at least 30% of the aggregate volume of financing and investment operations should contribute to climate objectives and at least 60% of the aggregate volume of financing and investment operations on climate and environmental objectives under the Sustainable Infrastructure window, as set out in Article 8(8) of the InvestEU Regulation for the EU compartment.</w:t>
      </w:r>
    </w:p>
  </w:footnote>
  <w:footnote w:id="108">
    <w:p w14:paraId="19B332F4" w14:textId="77777777" w:rsidR="00352B78" w:rsidRPr="00A37C8D" w:rsidRDefault="00352B78" w:rsidP="002C0325">
      <w:pPr>
        <w:pStyle w:val="FootnoteText"/>
        <w:jc w:val="both"/>
      </w:pPr>
      <w:r w:rsidRPr="000B6BFA">
        <w:rPr>
          <w:rStyle w:val="FootnoteReference"/>
          <w:sz w:val="20"/>
        </w:rPr>
        <w:footnoteRef/>
      </w:r>
      <w:r w:rsidRPr="00A37C8D">
        <w:t xml:space="preserve"> </w:t>
      </w:r>
      <w:r>
        <w:t>In accordance with Article 9 CPR, Member States and the Commission shall ensure respect for fundamental rights and compliance with the Charter in the implementation of the funds.</w:t>
      </w:r>
    </w:p>
  </w:footnote>
  <w:footnote w:id="109">
    <w:p w14:paraId="0AB68127" w14:textId="77777777" w:rsidR="00352B78" w:rsidRPr="00A37C8D" w:rsidRDefault="00352B78" w:rsidP="002C0325">
      <w:pPr>
        <w:pStyle w:val="FootnoteText"/>
        <w:jc w:val="both"/>
      </w:pPr>
      <w:r w:rsidRPr="000B6BFA">
        <w:rPr>
          <w:rStyle w:val="FootnoteReference"/>
          <w:sz w:val="20"/>
        </w:rPr>
        <w:footnoteRef/>
      </w:r>
      <w:r w:rsidRPr="00A37C8D">
        <w:t xml:space="preserve"> AMIF aims to contribute to the efficient management of migration flows, to strengthen and develop the common policy on asylum and the common immigration policy. </w:t>
      </w:r>
      <w:hyperlink r:id="rId55" w:history="1">
        <w:r w:rsidRPr="00A37C8D">
          <w:rPr>
            <w:rStyle w:val="Hyperlink"/>
          </w:rPr>
          <w:t>More details on AMIF – European Commission (Europa.eu).</w:t>
        </w:r>
      </w:hyperlink>
    </w:p>
  </w:footnote>
  <w:footnote w:id="110">
    <w:p w14:paraId="168565B9" w14:textId="77777777" w:rsidR="00352B78" w:rsidRPr="00A37C8D" w:rsidRDefault="00352B78" w:rsidP="002C0325">
      <w:pPr>
        <w:pStyle w:val="FootnoteText"/>
        <w:jc w:val="both"/>
      </w:pPr>
      <w:r w:rsidRPr="000B6BFA">
        <w:rPr>
          <w:rStyle w:val="FootnoteReference"/>
          <w:sz w:val="20"/>
        </w:rPr>
        <w:footnoteRef/>
      </w:r>
      <w:r w:rsidRPr="00A37C8D">
        <w:t xml:space="preserve"> ISF aims to contribute to a high level of security in the Union, in particular by preventing and combating terrorism and radicalisation, serious and organised crime, and cybercrime.</w:t>
      </w:r>
      <w:bookmarkStart w:id="18" w:name="_Hlk172122600"/>
      <w:r w:rsidRPr="00A37C8D">
        <w:t xml:space="preserve"> More details at </w:t>
      </w:r>
      <w:hyperlink r:id="rId56" w:history="1">
        <w:r w:rsidRPr="00A37C8D">
          <w:rPr>
            <w:rStyle w:val="Hyperlink"/>
            <w:color w:val="0000FF"/>
          </w:rPr>
          <w:t>Internal security funds - European Commission (europa.eu)</w:t>
        </w:r>
      </w:hyperlink>
      <w:r w:rsidRPr="000B6BFA">
        <w:t>.</w:t>
      </w:r>
      <w:bookmarkEnd w:id="18"/>
    </w:p>
  </w:footnote>
  <w:footnote w:id="111">
    <w:p w14:paraId="169C38A9" w14:textId="77777777" w:rsidR="00352B78" w:rsidRPr="00A37C8D" w:rsidRDefault="00352B78" w:rsidP="002C0325">
      <w:pPr>
        <w:pStyle w:val="FootnoteText"/>
        <w:jc w:val="both"/>
      </w:pPr>
      <w:r w:rsidRPr="000B6BFA">
        <w:rPr>
          <w:rStyle w:val="FootnoteReference"/>
          <w:sz w:val="20"/>
        </w:rPr>
        <w:footnoteRef/>
      </w:r>
      <w:r w:rsidRPr="00A37C8D">
        <w:t xml:space="preserve"> BMVI aims to ensure effective border management at the Union’s external borders, a high level of internal security within the Union and the free movement of persons. More details at Internal security funds Border Management and Visa Instrument - European Commission (europa.eu).</w:t>
      </w:r>
    </w:p>
  </w:footnote>
  <w:footnote w:id="112">
    <w:p w14:paraId="023665B1" w14:textId="77777777" w:rsidR="00352B78" w:rsidRPr="00A37C8D" w:rsidRDefault="00352B78" w:rsidP="002C0325">
      <w:pPr>
        <w:pStyle w:val="FootnoteText"/>
        <w:jc w:val="both"/>
      </w:pPr>
      <w:r w:rsidRPr="000B6BFA">
        <w:rPr>
          <w:rStyle w:val="FootnoteReference"/>
          <w:sz w:val="20"/>
        </w:rPr>
        <w:footnoteRef/>
      </w:r>
      <w:r w:rsidRPr="00A37C8D">
        <w:t xml:space="preserve"> Under the AMIF, the Commission has supported </w:t>
      </w:r>
      <w:r w:rsidRPr="000B6BFA">
        <w:t xml:space="preserve">projects involving </w:t>
      </w:r>
      <w:r w:rsidRPr="00A37C8D">
        <w:t>about 1,800,000 third country nationals for the 2019-2023 programming period in the framework of the Common European Asylum System, of which almost 200.000 vulnerable persons. Under the BMVI, the Commission supports cooperation for enhancing the European Border and Coast Guard, in</w:t>
      </w:r>
      <w:r>
        <w:t>cluding</w:t>
      </w:r>
      <w:r w:rsidRPr="00A37C8D">
        <w:t xml:space="preserve"> the implementation of their Fundamental Rights Strategy (</w:t>
      </w:r>
      <w:hyperlink r:id="rId57" w:history="1">
        <w:r w:rsidRPr="00A37C8D">
          <w:rPr>
            <w:rStyle w:val="Hyperlink"/>
          </w:rPr>
          <w:t>Fundamental Rights Strategy (latest version) (europa.eu)</w:t>
        </w:r>
      </w:hyperlink>
      <w:r w:rsidRPr="00A37C8D">
        <w:t xml:space="preserve">). </w:t>
      </w:r>
    </w:p>
  </w:footnote>
  <w:footnote w:id="113">
    <w:p w14:paraId="7BE7F6E9" w14:textId="77777777" w:rsidR="00352B78" w:rsidRPr="00A37C8D" w:rsidRDefault="00352B78" w:rsidP="002C0325">
      <w:pPr>
        <w:pStyle w:val="FootnoteText"/>
        <w:jc w:val="both"/>
      </w:pPr>
      <w:r w:rsidRPr="000B6BFA">
        <w:rPr>
          <w:rStyle w:val="FootnoteReference"/>
          <w:sz w:val="20"/>
        </w:rPr>
        <w:footnoteRef/>
      </w:r>
      <w:r w:rsidRPr="00A37C8D">
        <w:t xml:space="preserve"> Funding from the ISF has contributed to safeguarding children’s rights in the context of child sexual abuse, as well as rights of online users, including privacy. </w:t>
      </w:r>
    </w:p>
  </w:footnote>
  <w:footnote w:id="114">
    <w:p w14:paraId="0CF85105" w14:textId="77777777" w:rsidR="00352B78" w:rsidRPr="00A37C8D" w:rsidRDefault="00352B78" w:rsidP="002C0325">
      <w:pPr>
        <w:pStyle w:val="FootnoteText"/>
        <w:jc w:val="both"/>
      </w:pPr>
      <w:r w:rsidRPr="000B6BFA">
        <w:rPr>
          <w:rStyle w:val="FootnoteReference"/>
          <w:sz w:val="20"/>
        </w:rPr>
        <w:footnoteRef/>
      </w:r>
      <w:r w:rsidRPr="00A37C8D">
        <w:t xml:space="preserve"> More details at </w:t>
      </w:r>
      <w:hyperlink r:id="rId58" w:history="1">
        <w:r w:rsidRPr="00A37C8D">
          <w:rPr>
            <w:rStyle w:val="Hyperlink"/>
          </w:rPr>
          <w:t>EU Funding &amp; Tenders Portal (europa.eu)</w:t>
        </w:r>
      </w:hyperlink>
      <w:r w:rsidRPr="00A37C8D">
        <w:t>. See also the 2024 Call for proposals in the field of trafficking in human beings following the EU Strategy on Combatting Trafficking in Human Beings 2021-2025, COM/2021/171.</w:t>
      </w:r>
    </w:p>
  </w:footnote>
  <w:footnote w:id="115">
    <w:p w14:paraId="2D48E77D" w14:textId="77777777" w:rsidR="00352B78" w:rsidRPr="00A37C8D" w:rsidRDefault="00352B78" w:rsidP="002C0325">
      <w:pPr>
        <w:pStyle w:val="FootnoteText"/>
        <w:jc w:val="both"/>
      </w:pPr>
      <w:r w:rsidRPr="000B6BFA">
        <w:rPr>
          <w:rStyle w:val="FootnoteReference"/>
          <w:sz w:val="20"/>
        </w:rPr>
        <w:footnoteRef/>
      </w:r>
      <w:r>
        <w:t xml:space="preserve"> </w:t>
      </w:r>
      <w:r w:rsidRPr="000B6BFA">
        <w:t xml:space="preserve">See </w:t>
      </w:r>
      <w:hyperlink r:id="rId59" w:history="1">
        <w:r w:rsidRPr="000B6BFA">
          <w:rPr>
            <w:rStyle w:val="Hyperlink"/>
          </w:rPr>
          <w:t>IMPROV-EU-project</w:t>
        </w:r>
      </w:hyperlink>
      <w:r w:rsidRPr="000B6BFA">
        <w:t xml:space="preserve"> and </w:t>
      </w:r>
      <w:hyperlink r:id="rId60" w:history="1">
        <w:r w:rsidRPr="000B6BFA">
          <w:rPr>
            <w:rStyle w:val="Hyperlink"/>
          </w:rPr>
          <w:t>Rightlines</w:t>
        </w:r>
      </w:hyperlink>
      <w:r w:rsidRPr="000B6BFA">
        <w:t xml:space="preserve"> project.</w:t>
      </w:r>
    </w:p>
  </w:footnote>
  <w:footnote w:id="116">
    <w:p w14:paraId="60E56280" w14:textId="77777777" w:rsidR="00352B78" w:rsidRDefault="00352B78" w:rsidP="002C0325">
      <w:pPr>
        <w:pStyle w:val="FootnoteText"/>
        <w:jc w:val="both"/>
      </w:pPr>
      <w:r w:rsidRPr="000B6BFA">
        <w:rPr>
          <w:rStyle w:val="FootnoteReference"/>
          <w:sz w:val="20"/>
        </w:rPr>
        <w:footnoteRef/>
      </w:r>
      <w:r>
        <w:t xml:space="preserve"> </w:t>
      </w:r>
      <w:hyperlink r:id="rId61" w:history="1">
        <w:r w:rsidRPr="00356DF9">
          <w:rPr>
            <w:rStyle w:val="Hyperlink"/>
          </w:rPr>
          <w:t>Child Sexual Abuse Prevention and Education, CSAPE 2022–2024 project - Pelastakaa Lapset</w:t>
        </w:r>
      </w:hyperlink>
      <w:r>
        <w:t xml:space="preserve">. </w:t>
      </w:r>
    </w:p>
  </w:footnote>
  <w:footnote w:id="117">
    <w:p w14:paraId="5B00BC43" w14:textId="77777777" w:rsidR="00352B78" w:rsidRPr="00800B4B" w:rsidRDefault="00352B78" w:rsidP="002C0325">
      <w:pPr>
        <w:pStyle w:val="FootnoteText"/>
        <w:jc w:val="both"/>
        <w:rPr>
          <w:lang w:val="en-GB"/>
        </w:rPr>
      </w:pPr>
      <w:r w:rsidRPr="000B6BFA">
        <w:rPr>
          <w:rStyle w:val="FootnoteReference"/>
          <w:sz w:val="20"/>
        </w:rPr>
        <w:footnoteRef/>
      </w:r>
      <w:r>
        <w:t xml:space="preserve"> </w:t>
      </w:r>
      <w:r w:rsidRPr="00CA6B06">
        <w:t>ESF+ support</w:t>
      </w:r>
      <w:r>
        <w:t>s</w:t>
      </w:r>
      <w:r w:rsidRPr="00CA6B06">
        <w:t xml:space="preserve"> the implementation of the European Pillar of Social Rights by contributing to the EU’s employment, social, education and skills policies</w:t>
      </w:r>
      <w:r>
        <w:t xml:space="preserve"> T</w:t>
      </w:r>
      <w:r w:rsidRPr="00CA6B06">
        <w:t>he ESF+ supports economic, territorial and social cohesion in the EU –</w:t>
      </w:r>
      <w:r>
        <w:t xml:space="preserve">by </w:t>
      </w:r>
      <w:r w:rsidRPr="00CA6B06">
        <w:t>reducing disparities between Member States and regions.</w:t>
      </w:r>
    </w:p>
  </w:footnote>
  <w:footnote w:id="118">
    <w:p w14:paraId="46434888" w14:textId="77777777" w:rsidR="00352B78" w:rsidRPr="00CA6B06" w:rsidRDefault="00352B78" w:rsidP="002C0325">
      <w:pPr>
        <w:pStyle w:val="FootnoteText"/>
        <w:jc w:val="both"/>
      </w:pPr>
      <w:r w:rsidRPr="000B6BFA">
        <w:rPr>
          <w:rStyle w:val="FootnoteReference"/>
          <w:sz w:val="20"/>
        </w:rPr>
        <w:footnoteRef/>
      </w:r>
      <w:r>
        <w:t xml:space="preserve"> </w:t>
      </w:r>
      <w:r w:rsidRPr="00CA6B06">
        <w:t xml:space="preserve">ERDF aims to strengthen economic, social and territorial cohesion by correcting imbalances between regions </w:t>
      </w:r>
      <w:r>
        <w:t xml:space="preserve">and </w:t>
      </w:r>
      <w:r w:rsidRPr="00CA6B06">
        <w:t>enabling investments in a smarter, greener, more connected and</w:t>
      </w:r>
      <w:r>
        <w:t xml:space="preserve"> </w:t>
      </w:r>
      <w:r w:rsidRPr="00CA6B06">
        <w:t>social Europe.</w:t>
      </w:r>
    </w:p>
  </w:footnote>
  <w:footnote w:id="119">
    <w:p w14:paraId="1E425C5B" w14:textId="77777777" w:rsidR="00352B78" w:rsidRPr="00D57030" w:rsidRDefault="00352B78" w:rsidP="002C0325">
      <w:pPr>
        <w:pStyle w:val="FootnoteText"/>
      </w:pPr>
      <w:r w:rsidRPr="000B6BFA">
        <w:rPr>
          <w:rStyle w:val="FootnoteReference"/>
          <w:sz w:val="20"/>
        </w:rPr>
        <w:footnoteRef/>
      </w:r>
      <w:r>
        <w:t xml:space="preserve"> </w:t>
      </w:r>
      <w:hyperlink r:id="rId62" w:history="1">
        <w:r>
          <w:rPr>
            <w:rStyle w:val="Hyperlink"/>
          </w:rPr>
          <w:t>Inforegio - The e-Schools project moves Croatian children and teachers towards digital education (europa.eu)</w:t>
        </w:r>
      </w:hyperlink>
      <w:r w:rsidRPr="00356DF9">
        <w:t xml:space="preserve">. </w:t>
      </w:r>
    </w:p>
  </w:footnote>
  <w:footnote w:id="120">
    <w:p w14:paraId="72DDC574" w14:textId="77777777" w:rsidR="00352B78" w:rsidRPr="00BA77DF" w:rsidRDefault="00352B78" w:rsidP="002C0325">
      <w:pPr>
        <w:pStyle w:val="FootnoteText"/>
      </w:pPr>
      <w:r w:rsidRPr="000B6BFA">
        <w:rPr>
          <w:rStyle w:val="FootnoteReference"/>
          <w:sz w:val="20"/>
        </w:rPr>
        <w:footnoteRef/>
      </w:r>
      <w:r>
        <w:t xml:space="preserve"> </w:t>
      </w:r>
      <w:hyperlink r:id="rId63" w:history="1">
        <w:r>
          <w:rPr>
            <w:rStyle w:val="Hyperlink"/>
          </w:rPr>
          <w:t>ARS | Algarve (min-saude.pt)</w:t>
        </w:r>
      </w:hyperlink>
      <w:r w:rsidRPr="00356DF9">
        <w:t xml:space="preserve">. </w:t>
      </w:r>
    </w:p>
  </w:footnote>
  <w:footnote w:id="121">
    <w:p w14:paraId="40ECEE66" w14:textId="77777777" w:rsidR="00352B78" w:rsidRPr="00190E5D" w:rsidRDefault="00352B78" w:rsidP="002C0325">
      <w:pPr>
        <w:pStyle w:val="FootnoteText"/>
        <w:jc w:val="both"/>
      </w:pPr>
      <w:r w:rsidRPr="000B6BFA">
        <w:rPr>
          <w:rStyle w:val="FootnoteReference"/>
          <w:sz w:val="20"/>
        </w:rPr>
        <w:footnoteRef/>
      </w:r>
      <w:r>
        <w:t xml:space="preserve"> </w:t>
      </w:r>
      <w:r w:rsidRPr="000B6BFA">
        <w:t xml:space="preserve">The hearings with Roma and pro-Roma CSOs </w:t>
      </w:r>
      <w:r>
        <w:t xml:space="preserve">were </w:t>
      </w:r>
      <w:r w:rsidRPr="00AF4CA9">
        <w:t>organised in February 2023</w:t>
      </w:r>
      <w:r>
        <w:t xml:space="preserve"> and included </w:t>
      </w:r>
      <w:r w:rsidRPr="000B6BFA">
        <w:t xml:space="preserve">CSOs from </w:t>
      </w:r>
      <w:r>
        <w:t>Bulgaria, Czechia, Hungary, Romania and Slovakia.</w:t>
      </w:r>
    </w:p>
  </w:footnote>
  <w:footnote w:id="122">
    <w:p w14:paraId="5C829140" w14:textId="77777777" w:rsidR="00352B78" w:rsidRPr="00331396" w:rsidRDefault="00352B78" w:rsidP="00E97D9D">
      <w:pPr>
        <w:pStyle w:val="FootnoteText"/>
        <w:jc w:val="both"/>
      </w:pPr>
      <w:r w:rsidRPr="000B6BFA">
        <w:rPr>
          <w:rStyle w:val="FootnoteReference"/>
          <w:sz w:val="20"/>
        </w:rPr>
        <w:footnoteRef/>
      </w:r>
      <w:r>
        <w:t xml:space="preserve"> Regulation No 1303/2013, OJ L 347, 20.12.2013, 320-469. See in particular Article 19 2014-2020 CPR.</w:t>
      </w:r>
    </w:p>
  </w:footnote>
  <w:footnote w:id="123">
    <w:p w14:paraId="180B280F" w14:textId="77777777" w:rsidR="00352B78" w:rsidRPr="00331396" w:rsidRDefault="00352B78" w:rsidP="00E97D9D">
      <w:pPr>
        <w:pStyle w:val="FootnoteText"/>
        <w:jc w:val="both"/>
      </w:pPr>
      <w:r w:rsidRPr="000B6BFA">
        <w:rPr>
          <w:rStyle w:val="FootnoteReference"/>
          <w:sz w:val="20"/>
        </w:rPr>
        <w:footnoteRef/>
      </w:r>
      <w:r>
        <w:t xml:space="preserve"> See Annex III CPR for an overview of the HECs.</w:t>
      </w:r>
    </w:p>
  </w:footnote>
  <w:footnote w:id="124">
    <w:p w14:paraId="7F0C78D3" w14:textId="77777777" w:rsidR="00352B78" w:rsidRPr="00331396" w:rsidRDefault="00352B78" w:rsidP="00E97D9D">
      <w:pPr>
        <w:pStyle w:val="FootnoteText"/>
        <w:jc w:val="both"/>
      </w:pPr>
      <w:r w:rsidRPr="000B6BFA">
        <w:rPr>
          <w:rStyle w:val="FootnoteReference"/>
          <w:sz w:val="20"/>
        </w:rPr>
        <w:footnoteRef/>
      </w:r>
      <w:r>
        <w:t xml:space="preserve"> </w:t>
      </w:r>
      <w:r w:rsidRPr="00331396">
        <w:t>See Annex IV CPR for a</w:t>
      </w:r>
      <w:r>
        <w:t>n overview of the TECs.</w:t>
      </w:r>
    </w:p>
  </w:footnote>
  <w:footnote w:id="125">
    <w:p w14:paraId="1C842B65" w14:textId="77777777" w:rsidR="00352B78" w:rsidRPr="000B6BFA" w:rsidRDefault="00352B78" w:rsidP="00E97D9D">
      <w:pPr>
        <w:pStyle w:val="FootnoteText"/>
        <w:jc w:val="both"/>
        <w:rPr>
          <w:lang w:val="fr-FR"/>
        </w:rPr>
      </w:pPr>
      <w:r w:rsidRPr="000B6BFA">
        <w:rPr>
          <w:rStyle w:val="FootnoteReference"/>
          <w:sz w:val="20"/>
        </w:rPr>
        <w:footnoteRef/>
      </w:r>
      <w:r w:rsidRPr="000B6BFA">
        <w:rPr>
          <w:lang w:val="fr-FR"/>
        </w:rPr>
        <w:t xml:space="preserve"> Article 15(4) and (5) CPR.</w:t>
      </w:r>
    </w:p>
  </w:footnote>
  <w:footnote w:id="126">
    <w:p w14:paraId="1581752C" w14:textId="77777777" w:rsidR="00352B78" w:rsidRPr="000B6BFA" w:rsidRDefault="00352B78" w:rsidP="00E97D9D">
      <w:pPr>
        <w:pStyle w:val="FootnoteText"/>
        <w:jc w:val="both"/>
        <w:rPr>
          <w:lang w:val="fr-FR"/>
        </w:rPr>
      </w:pPr>
      <w:r w:rsidRPr="000B6BFA">
        <w:rPr>
          <w:rStyle w:val="FootnoteReference"/>
          <w:sz w:val="20"/>
        </w:rPr>
        <w:footnoteRef/>
      </w:r>
      <w:r w:rsidRPr="000B6BFA">
        <w:rPr>
          <w:lang w:val="fr-FR"/>
        </w:rPr>
        <w:t xml:space="preserve"> Article 8 CPR.</w:t>
      </w:r>
    </w:p>
  </w:footnote>
  <w:footnote w:id="127">
    <w:p w14:paraId="2278C44C" w14:textId="77777777" w:rsidR="00352B78" w:rsidRPr="00F206C1" w:rsidRDefault="00352B78" w:rsidP="00E97D9D">
      <w:pPr>
        <w:pStyle w:val="FootnoteText"/>
        <w:jc w:val="both"/>
      </w:pPr>
      <w:r w:rsidRPr="000B6BFA">
        <w:rPr>
          <w:rStyle w:val="FootnoteReference"/>
          <w:sz w:val="20"/>
        </w:rPr>
        <w:footnoteRef/>
      </w:r>
      <w:r>
        <w:t xml:space="preserve"> Online consultation through the Fundamental Rights Platform, Questions 8 and 9: “Are you aware of the fundamental rights obligations in EU funding?” and “Does you organisation work on ensuring the fundamental rights compliance of the use of EU funds?”.</w:t>
      </w:r>
    </w:p>
  </w:footnote>
  <w:footnote w:id="128">
    <w:p w14:paraId="0E0F4AA4" w14:textId="77777777" w:rsidR="00352B78" w:rsidRPr="002D3771" w:rsidRDefault="00352B78" w:rsidP="00E97D9D">
      <w:pPr>
        <w:pStyle w:val="FootnoteText"/>
        <w:jc w:val="both"/>
      </w:pPr>
      <w:r w:rsidRPr="000B6BFA">
        <w:rPr>
          <w:rStyle w:val="FootnoteReference"/>
          <w:sz w:val="20"/>
        </w:rPr>
        <w:footnoteRef/>
      </w:r>
      <w:r>
        <w:t xml:space="preserve"> </w:t>
      </w:r>
      <w:r w:rsidRPr="00240E7F">
        <w:t xml:space="preserve">In </w:t>
      </w:r>
      <w:r>
        <w:rPr>
          <w:b/>
          <w:bCs/>
        </w:rPr>
        <w:t>Belgium</w:t>
      </w:r>
      <w:r w:rsidRPr="00240E7F">
        <w:t xml:space="preserve">, </w:t>
      </w:r>
      <w:r>
        <w:rPr>
          <w:b/>
          <w:bCs/>
        </w:rPr>
        <w:t>Germany</w:t>
      </w:r>
      <w:r w:rsidRPr="00240E7F">
        <w:t xml:space="preserve">, </w:t>
      </w:r>
      <w:r w:rsidRPr="000B6BFA">
        <w:rPr>
          <w:b/>
          <w:bCs/>
        </w:rPr>
        <w:t>M</w:t>
      </w:r>
      <w:r>
        <w:rPr>
          <w:b/>
          <w:bCs/>
        </w:rPr>
        <w:t>alta</w:t>
      </w:r>
      <w:r w:rsidRPr="00240E7F">
        <w:t xml:space="preserve"> and </w:t>
      </w:r>
      <w:r>
        <w:rPr>
          <w:b/>
          <w:bCs/>
        </w:rPr>
        <w:t>the Netherlands</w:t>
      </w:r>
      <w:r w:rsidRPr="00240E7F">
        <w:t xml:space="preserve">, the equality body is invited to observe various monitoring committees; in </w:t>
      </w:r>
      <w:r>
        <w:rPr>
          <w:b/>
          <w:bCs/>
        </w:rPr>
        <w:t>Cyprus</w:t>
      </w:r>
      <w:r w:rsidRPr="00240E7F">
        <w:t xml:space="preserve">, the Ombudsperson is included in the monitoring committee in an advisory and independent role without voting rights; in </w:t>
      </w:r>
      <w:r>
        <w:rPr>
          <w:b/>
          <w:bCs/>
        </w:rPr>
        <w:t>Greece</w:t>
      </w:r>
      <w:r w:rsidRPr="00240E7F">
        <w:t xml:space="preserve">, the Greek National Commission for Human Rights participates with voting rights in the monitoring committees; in </w:t>
      </w:r>
      <w:r>
        <w:rPr>
          <w:b/>
          <w:bCs/>
        </w:rPr>
        <w:t>Croatia</w:t>
      </w:r>
      <w:r w:rsidRPr="00240E7F">
        <w:t xml:space="preserve"> and </w:t>
      </w:r>
      <w:r w:rsidRPr="000B6BFA">
        <w:rPr>
          <w:b/>
          <w:bCs/>
        </w:rPr>
        <w:t>P</w:t>
      </w:r>
      <w:r>
        <w:rPr>
          <w:b/>
          <w:bCs/>
        </w:rPr>
        <w:t>ortugal</w:t>
      </w:r>
      <w:r w:rsidRPr="00240E7F">
        <w:t xml:space="preserve">, the Ombudsperson is involved in various monitoring committees; in </w:t>
      </w:r>
      <w:r>
        <w:rPr>
          <w:b/>
          <w:bCs/>
        </w:rPr>
        <w:t>Ireland</w:t>
      </w:r>
      <w:r w:rsidRPr="00240E7F">
        <w:t>, the Irish Human Rights and Equality Commission is invited in the Ireland’s Partnership Agreement monitoring committee and is the monitoring committees to monitor the adherence to the Charter.</w:t>
      </w:r>
    </w:p>
  </w:footnote>
  <w:footnote w:id="129">
    <w:p w14:paraId="7BAF1D70" w14:textId="77777777" w:rsidR="00352B78" w:rsidRPr="002A0465" w:rsidRDefault="00352B78" w:rsidP="00E97D9D">
      <w:pPr>
        <w:pStyle w:val="FootnoteText"/>
        <w:jc w:val="both"/>
      </w:pPr>
      <w:r w:rsidRPr="000B6BFA">
        <w:rPr>
          <w:rStyle w:val="FootnoteReference"/>
          <w:sz w:val="20"/>
        </w:rPr>
        <w:footnoteRef/>
      </w:r>
      <w:r>
        <w:t xml:space="preserve"> </w:t>
      </w:r>
      <w:r w:rsidRPr="002A0465">
        <w:t xml:space="preserve">In </w:t>
      </w:r>
      <w:r>
        <w:rPr>
          <w:b/>
          <w:bCs/>
        </w:rPr>
        <w:t>Bulgaria</w:t>
      </w:r>
      <w:r w:rsidRPr="002A0465">
        <w:t xml:space="preserve">, the Commission for Protection against Discrimination is represented in all the bodies of the EU funds that advise and take decisions on the preparation and implementation of all operational programmes; in </w:t>
      </w:r>
      <w:r>
        <w:rPr>
          <w:b/>
          <w:bCs/>
        </w:rPr>
        <w:t>Czechia</w:t>
      </w:r>
      <w:r w:rsidRPr="002A0465">
        <w:t xml:space="preserve">, the Ombudsperson is invited to the Council for European Union Funds, which is a permanent super-ministerial expert and advisory body of the government providing substantial coordination of all EU funds; in </w:t>
      </w:r>
      <w:r>
        <w:rPr>
          <w:b/>
          <w:bCs/>
        </w:rPr>
        <w:t>Greece</w:t>
      </w:r>
      <w:r w:rsidRPr="002A0465">
        <w:t xml:space="preserve">, the Greek National Commission for Human Rights is selected as the competent body to ensure the fulfilment of the Charter HEC, provides assistance to the involved authorities, and monitors and assures the compatibilities of the procedures and individual actions with the Charter; in </w:t>
      </w:r>
      <w:r>
        <w:rPr>
          <w:b/>
          <w:bCs/>
        </w:rPr>
        <w:t>Croatia</w:t>
      </w:r>
      <w:r w:rsidRPr="002A0465">
        <w:t xml:space="preserve">, the Ombudsperson, amongst other things, organised a national diagnostic workshop, gathering representatives of the managing authorities, coordinating authority, CSOs, ombuds institutions in Croatia as well as other governmental bodies with human rights remit, including a national Charter focal point to discuss challenges and way forward in relation to the EU funds and the Charter; in </w:t>
      </w:r>
      <w:r>
        <w:rPr>
          <w:b/>
          <w:bCs/>
        </w:rPr>
        <w:t>Ireland</w:t>
      </w:r>
      <w:r w:rsidRPr="002A0465">
        <w:t>, the Irish Human Rights and Equality Commission worked closely with the managing authorities to develop a ‘guidance tool’, an ‘EU funds checklist’, a ‘reporting template’, and a ‘reporting checklist’ and delivers trainings.</w:t>
      </w:r>
    </w:p>
  </w:footnote>
  <w:footnote w:id="130">
    <w:p w14:paraId="080943CF" w14:textId="77777777" w:rsidR="00352B78" w:rsidRPr="00870147" w:rsidRDefault="00352B78" w:rsidP="00E97D9D">
      <w:pPr>
        <w:pStyle w:val="FootnoteText"/>
        <w:jc w:val="both"/>
      </w:pPr>
      <w:r w:rsidRPr="000B6BFA">
        <w:rPr>
          <w:rStyle w:val="FootnoteReference"/>
          <w:sz w:val="20"/>
        </w:rPr>
        <w:footnoteRef/>
      </w:r>
      <w:r>
        <w:t xml:space="preserve"> The Commission and the Member State jointly manage the funding, </w:t>
      </w:r>
      <w:hyperlink r:id="rId64" w:anchor=":~:text=shared%20management%3A%20the%20European%20Commission,inside%20or%20outside%20the%20EU" w:history="1">
        <w:r>
          <w:rPr>
            <w:rStyle w:val="Hyperlink"/>
          </w:rPr>
          <w:t>EU funding by management mode (europa.eu)</w:t>
        </w:r>
      </w:hyperlink>
      <w:r>
        <w:t>.</w:t>
      </w:r>
    </w:p>
  </w:footnote>
  <w:footnote w:id="131">
    <w:p w14:paraId="667B01E3" w14:textId="77777777" w:rsidR="00352B78" w:rsidRPr="004D7D16" w:rsidRDefault="00352B78" w:rsidP="00E97D9D">
      <w:pPr>
        <w:pStyle w:val="FootnoteText"/>
        <w:jc w:val="both"/>
      </w:pPr>
      <w:r w:rsidRPr="000B6BFA">
        <w:rPr>
          <w:rStyle w:val="FootnoteReference"/>
          <w:sz w:val="20"/>
        </w:rPr>
        <w:footnoteRef/>
      </w:r>
      <w:r>
        <w:t xml:space="preserve"> Online consultation through the Fundamental Rights Platform, Questions 11: “</w:t>
      </w:r>
      <w:r w:rsidRPr="009834FB">
        <w:t>What are your challenges in working on the issue of fundamental rights compliance of EU funds?</w:t>
      </w:r>
      <w:r>
        <w:t xml:space="preserve">”. See also FRA Report, </w:t>
      </w:r>
      <w:hyperlink r:id="rId65" w:history="1">
        <w:r>
          <w:rPr>
            <w:rStyle w:val="Hyperlink"/>
          </w:rPr>
          <w:t>EU funds: Ensuring compliance with fundamental rights | European Union Agency for Fundamental Rights (europa.eu)</w:t>
        </w:r>
      </w:hyperlink>
      <w:r>
        <w:t>, 19 December 2023.</w:t>
      </w:r>
    </w:p>
  </w:footnote>
  <w:footnote w:id="132">
    <w:p w14:paraId="18044951" w14:textId="77777777" w:rsidR="00352B78" w:rsidRPr="00B730F5" w:rsidRDefault="00352B78" w:rsidP="00E97D9D">
      <w:pPr>
        <w:pStyle w:val="FootnoteText"/>
        <w:jc w:val="both"/>
      </w:pPr>
      <w:r w:rsidRPr="000B6BFA">
        <w:rPr>
          <w:rStyle w:val="FootnoteReference"/>
          <w:sz w:val="20"/>
        </w:rPr>
        <w:footnoteRef/>
      </w:r>
      <w:r>
        <w:t xml:space="preserve"> </w:t>
      </w:r>
      <w:r w:rsidRPr="00FB60A2">
        <w:t>Belgian equality body, Cypriot ombudsperson, Croat ombudsperson, German NHRI, Maltese equality body, Portuguese NHRI, Slovak NHRI</w:t>
      </w:r>
      <w:r>
        <w:t>.</w:t>
      </w:r>
    </w:p>
  </w:footnote>
  <w:footnote w:id="133">
    <w:p w14:paraId="777D78D2" w14:textId="77777777" w:rsidR="00352B78" w:rsidRPr="00B730F5" w:rsidRDefault="00352B78" w:rsidP="00E97D9D">
      <w:pPr>
        <w:pStyle w:val="FootnoteText"/>
        <w:jc w:val="both"/>
      </w:pPr>
      <w:r w:rsidRPr="000B6BFA">
        <w:rPr>
          <w:rStyle w:val="FootnoteReference"/>
          <w:sz w:val="20"/>
        </w:rPr>
        <w:footnoteRef/>
      </w:r>
      <w:r>
        <w:t xml:space="preserve"> See FRA Report, </w:t>
      </w:r>
      <w:hyperlink r:id="rId66" w:history="1">
        <w:r>
          <w:rPr>
            <w:rStyle w:val="Hyperlink"/>
          </w:rPr>
          <w:t>EU funds: Ensuring compliance with fundamental rights | European Union Agency for Fundamental Rights (europa.eu)</w:t>
        </w:r>
      </w:hyperlink>
      <w:r>
        <w:t>, 19 December 2023.</w:t>
      </w:r>
    </w:p>
  </w:footnote>
  <w:footnote w:id="134">
    <w:p w14:paraId="23910CAC" w14:textId="77777777" w:rsidR="00352B78" w:rsidRPr="00FB5FCA" w:rsidRDefault="00352B78" w:rsidP="002C0325">
      <w:pPr>
        <w:pStyle w:val="FootnoteText"/>
      </w:pPr>
      <w:r w:rsidRPr="000B6BFA">
        <w:rPr>
          <w:rStyle w:val="FootnoteReference"/>
          <w:sz w:val="20"/>
        </w:rPr>
        <w:footnoteRef/>
      </w:r>
      <w:r>
        <w:t xml:space="preserve"> Contributions by ENNHRI.</w:t>
      </w:r>
    </w:p>
  </w:footnote>
  <w:footnote w:id="135">
    <w:p w14:paraId="0E9FEA0B" w14:textId="77777777" w:rsidR="00352B78" w:rsidRPr="00AF2DC3" w:rsidRDefault="00352B78" w:rsidP="002C0325">
      <w:pPr>
        <w:pStyle w:val="FootnoteText"/>
      </w:pPr>
      <w:r w:rsidRPr="000B6BFA">
        <w:rPr>
          <w:rStyle w:val="FootnoteReference"/>
          <w:sz w:val="20"/>
        </w:rPr>
        <w:footnoteRef/>
      </w:r>
      <w:r>
        <w:t xml:space="preserve"> F</w:t>
      </w:r>
      <w:r w:rsidRPr="00CD3E4A">
        <w:t xml:space="preserve">or instance, </w:t>
      </w:r>
      <w:r w:rsidRPr="00800B4B">
        <w:t>Cypriot ombudsperson</w:t>
      </w:r>
      <w:r w:rsidRPr="00CD3E4A">
        <w:t>.</w:t>
      </w:r>
    </w:p>
  </w:footnote>
  <w:footnote w:id="136">
    <w:p w14:paraId="27E26D62" w14:textId="77777777" w:rsidR="00352B78" w:rsidRPr="001F3848" w:rsidRDefault="00352B78" w:rsidP="002C0325">
      <w:pPr>
        <w:pStyle w:val="FootnoteText"/>
      </w:pPr>
      <w:r w:rsidRPr="000B6BFA">
        <w:rPr>
          <w:rStyle w:val="FootnoteReference"/>
          <w:sz w:val="20"/>
        </w:rPr>
        <w:footnoteRef/>
      </w:r>
      <w:r>
        <w:t xml:space="preserve"> F</w:t>
      </w:r>
      <w:r w:rsidRPr="002D16B5">
        <w:t xml:space="preserve">or instance, </w:t>
      </w:r>
      <w:r w:rsidRPr="00800B4B">
        <w:t xml:space="preserve">Maltese </w:t>
      </w:r>
      <w:r>
        <w:t>e</w:t>
      </w:r>
      <w:r w:rsidRPr="00800B4B">
        <w:t xml:space="preserve">quality </w:t>
      </w:r>
      <w:r>
        <w:t>b</w:t>
      </w:r>
      <w:r w:rsidRPr="00800B4B">
        <w:t>ody</w:t>
      </w:r>
      <w:r w:rsidRPr="002D16B5">
        <w:t>.</w:t>
      </w:r>
    </w:p>
  </w:footnote>
  <w:footnote w:id="137">
    <w:p w14:paraId="348B03B9" w14:textId="77777777" w:rsidR="00352B78" w:rsidRPr="00D259B7" w:rsidRDefault="00352B78" w:rsidP="002C0325">
      <w:pPr>
        <w:pStyle w:val="FootnoteText"/>
      </w:pPr>
      <w:r w:rsidRPr="000B6BFA">
        <w:rPr>
          <w:rStyle w:val="FootnoteReference"/>
          <w:sz w:val="20"/>
        </w:rPr>
        <w:footnoteRef/>
      </w:r>
      <w:r>
        <w:t xml:space="preserve"> </w:t>
      </w:r>
      <w:r w:rsidRPr="00E7114F">
        <w:t xml:space="preserve">Article 8(2), second subparagraph </w:t>
      </w:r>
      <w:r>
        <w:t>CPR</w:t>
      </w:r>
      <w:r w:rsidRPr="00E7114F">
        <w:t>.</w:t>
      </w:r>
    </w:p>
  </w:footnote>
  <w:footnote w:id="138">
    <w:p w14:paraId="541A8FBF" w14:textId="77777777" w:rsidR="00352B78" w:rsidRPr="00D259B7" w:rsidRDefault="00352B78" w:rsidP="002C0325">
      <w:pPr>
        <w:pStyle w:val="FootnoteText"/>
      </w:pPr>
      <w:r w:rsidRPr="000B6BFA">
        <w:rPr>
          <w:rStyle w:val="FootnoteReference"/>
          <w:sz w:val="20"/>
        </w:rPr>
        <w:footnoteRef/>
      </w:r>
      <w:r>
        <w:t xml:space="preserve"> </w:t>
      </w:r>
      <w:r>
        <w:rPr>
          <w:noProof/>
          <w:lang w:val="en-GB"/>
        </w:rPr>
        <w:t>Examples of the actions are networking, strenghtening the social dialogue and activities undertaken by social partners</w:t>
      </w:r>
      <w:r>
        <w:t>.</w:t>
      </w:r>
    </w:p>
  </w:footnote>
  <w:footnote w:id="139">
    <w:p w14:paraId="1A096D6D" w14:textId="77777777" w:rsidR="00352B78" w:rsidRPr="00D259B7" w:rsidRDefault="00352B78" w:rsidP="002C0325">
      <w:pPr>
        <w:pStyle w:val="FootnoteText"/>
      </w:pPr>
      <w:r w:rsidRPr="000B6BFA">
        <w:rPr>
          <w:rStyle w:val="FootnoteReference"/>
          <w:sz w:val="20"/>
        </w:rPr>
        <w:footnoteRef/>
      </w:r>
      <w:r>
        <w:t xml:space="preserve"> Article 9 </w:t>
      </w:r>
      <w:r w:rsidRPr="00874E61">
        <w:t>Regulation 2021/1057</w:t>
      </w:r>
      <w:r>
        <w:t>,</w:t>
      </w:r>
      <w:r w:rsidRPr="00FF32DD">
        <w:t xml:space="preserve"> OJ L 231, 30.6.2021, p. 21</w:t>
      </w:r>
      <w:r>
        <w:t>-</w:t>
      </w:r>
      <w:r w:rsidRPr="00FF32DD">
        <w:t>59</w:t>
      </w:r>
      <w:r>
        <w:t>.</w:t>
      </w:r>
    </w:p>
  </w:footnote>
  <w:footnote w:id="140">
    <w:p w14:paraId="76B7BCAC" w14:textId="77777777" w:rsidR="00352B78" w:rsidRPr="00F15033" w:rsidRDefault="00352B78" w:rsidP="002C0325">
      <w:pPr>
        <w:pStyle w:val="FootnoteText"/>
      </w:pPr>
      <w:r w:rsidRPr="000B6BFA">
        <w:rPr>
          <w:rStyle w:val="FootnoteReference"/>
          <w:sz w:val="20"/>
        </w:rPr>
        <w:footnoteRef/>
      </w:r>
      <w:r>
        <w:t xml:space="preserve"> </w:t>
      </w:r>
      <w:r w:rsidRPr="006F12B2">
        <w:t xml:space="preserve">Portuguese NHRI, Czech </w:t>
      </w:r>
      <w:r>
        <w:t>O</w:t>
      </w:r>
      <w:r w:rsidRPr="006F12B2">
        <w:t>mbudsperson</w:t>
      </w:r>
      <w:r>
        <w:t>.</w:t>
      </w:r>
    </w:p>
  </w:footnote>
  <w:footnote w:id="141">
    <w:p w14:paraId="01CDF6AB" w14:textId="77777777" w:rsidR="00352B78" w:rsidRPr="008B7B56" w:rsidRDefault="00352B78" w:rsidP="002C0325">
      <w:pPr>
        <w:pStyle w:val="FootnoteText"/>
      </w:pPr>
      <w:r w:rsidRPr="000B6BFA">
        <w:rPr>
          <w:rStyle w:val="FootnoteReference"/>
          <w:sz w:val="20"/>
        </w:rPr>
        <w:footnoteRef/>
      </w:r>
      <w:r>
        <w:t xml:space="preserve"> </w:t>
      </w:r>
      <w:r w:rsidRPr="00BF5AC3">
        <w:t>Belgian equality body, Croat ombudsperson, Portuguese NHRI, Slovak NHRI, ENNHRI</w:t>
      </w:r>
      <w:r>
        <w:t>.</w:t>
      </w:r>
    </w:p>
  </w:footnote>
  <w:footnote w:id="142">
    <w:p w14:paraId="557CAC0D" w14:textId="77777777" w:rsidR="00352B78" w:rsidRPr="00CF6040" w:rsidRDefault="00352B78" w:rsidP="002C0325">
      <w:pPr>
        <w:pStyle w:val="FootnoteText"/>
      </w:pPr>
      <w:r w:rsidRPr="000B6BFA">
        <w:rPr>
          <w:rStyle w:val="FootnoteReference"/>
          <w:sz w:val="20"/>
        </w:rPr>
        <w:footnoteRef/>
      </w:r>
      <w:r>
        <w:t xml:space="preserve"> </w:t>
      </w:r>
      <w:r w:rsidRPr="0098326F">
        <w:t xml:space="preserve">Slovak National Centre for Human Rights: </w:t>
      </w:r>
      <w:hyperlink r:id="rId67" w:history="1">
        <w:r w:rsidRPr="00364638">
          <w:rPr>
            <w:rStyle w:val="Hyperlink"/>
          </w:rPr>
          <w:t>The role of national bodies with a human rights remit in ensuring fundamental rights compliance of EU funds – Slovakia</w:t>
        </w:r>
      </w:hyperlink>
      <w:r w:rsidRPr="0098326F">
        <w:t>.</w:t>
      </w:r>
    </w:p>
  </w:footnote>
  <w:footnote w:id="143">
    <w:p w14:paraId="2AE155D4" w14:textId="77777777" w:rsidR="00352B78" w:rsidRPr="007F7A58" w:rsidRDefault="00352B78" w:rsidP="002C0325">
      <w:pPr>
        <w:pStyle w:val="FootnoteText"/>
      </w:pPr>
      <w:r w:rsidRPr="000B6BFA">
        <w:rPr>
          <w:rStyle w:val="FootnoteReference"/>
          <w:sz w:val="20"/>
        </w:rPr>
        <w:footnoteRef/>
      </w:r>
      <w:r>
        <w:t xml:space="preserve"> </w:t>
      </w:r>
      <w:hyperlink r:id="rId68" w:history="1">
        <w:r>
          <w:rPr>
            <w:rStyle w:val="Hyperlink"/>
          </w:rPr>
          <w:t>Application of the Charter of Fundamental Rights in the course of implementation of projects financed by EU funds (brpo.gov.pl)</w:t>
        </w:r>
      </w:hyperlink>
      <w:r>
        <w:t>.</w:t>
      </w:r>
    </w:p>
  </w:footnote>
  <w:footnote w:id="144">
    <w:p w14:paraId="21A66E19" w14:textId="77777777" w:rsidR="00352B78" w:rsidRPr="00D364B1" w:rsidRDefault="00352B78" w:rsidP="00E21E46">
      <w:pPr>
        <w:pStyle w:val="FootnoteText"/>
        <w:jc w:val="both"/>
        <w:rPr>
          <w:lang w:val="de-DE"/>
        </w:rPr>
      </w:pPr>
      <w:r w:rsidRPr="000B6BFA">
        <w:rPr>
          <w:rStyle w:val="FootnoteReference"/>
          <w:sz w:val="20"/>
        </w:rPr>
        <w:footnoteRef/>
      </w:r>
      <w:r w:rsidRPr="00D364B1">
        <w:rPr>
          <w:lang w:val="de-DE"/>
        </w:rPr>
        <w:t xml:space="preserve"> </w:t>
      </w:r>
      <w:hyperlink r:id="rId69" w:history="1">
        <w:r w:rsidRPr="00D364B1">
          <w:rPr>
            <w:rStyle w:val="Hyperlink"/>
            <w:lang w:val="de-DE"/>
          </w:rPr>
          <w:t>ECHOFunds – Enhancing Charter Compliance of EU Funds – LBI für Grund- und Menschenrechte (lbg.ac.at)</w:t>
        </w:r>
      </w:hyperlink>
      <w:r w:rsidRPr="00D364B1">
        <w:rPr>
          <w:lang w:val="de-DE"/>
        </w:rPr>
        <w:t>.</w:t>
      </w:r>
    </w:p>
  </w:footnote>
  <w:footnote w:id="145">
    <w:p w14:paraId="08DA84E2" w14:textId="77777777" w:rsidR="00352B78" w:rsidRPr="00694A5D" w:rsidRDefault="00352B78" w:rsidP="00271548">
      <w:pPr>
        <w:pStyle w:val="FootnoteText"/>
        <w:jc w:val="both"/>
      </w:pPr>
      <w:r w:rsidRPr="000B6BFA">
        <w:rPr>
          <w:rStyle w:val="FootnoteReference"/>
          <w:sz w:val="20"/>
        </w:rPr>
        <w:footnoteRef/>
      </w:r>
      <w:r>
        <w:t xml:space="preserve"> W</w:t>
      </w:r>
      <w:r w:rsidRPr="002C2E00">
        <w:t>hen submitting</w:t>
      </w:r>
      <w:r>
        <w:t xml:space="preserve"> the programmes</w:t>
      </w:r>
      <w:r w:rsidRPr="002C2E00">
        <w:t xml:space="preserve"> to the Commission for</w:t>
      </w:r>
      <w:r>
        <w:t xml:space="preserve"> approval, </w:t>
      </w:r>
      <w:r>
        <w:rPr>
          <w:b/>
          <w:bCs/>
        </w:rPr>
        <w:t>Poland</w:t>
      </w:r>
      <w:r>
        <w:t xml:space="preserve"> and </w:t>
      </w:r>
      <w:r w:rsidRPr="00706DF9">
        <w:rPr>
          <w:b/>
          <w:bCs/>
        </w:rPr>
        <w:t>C</w:t>
      </w:r>
      <w:r>
        <w:rPr>
          <w:b/>
          <w:bCs/>
        </w:rPr>
        <w:t>yprus</w:t>
      </w:r>
      <w:r w:rsidRPr="00706DF9">
        <w:rPr>
          <w:b/>
          <w:bCs/>
        </w:rPr>
        <w:t xml:space="preserve"> </w:t>
      </w:r>
      <w:r w:rsidRPr="002C2E00">
        <w:t xml:space="preserve">indicated that </w:t>
      </w:r>
      <w:r>
        <w:t>they</w:t>
      </w:r>
      <w:r w:rsidRPr="002C2E00">
        <w:t xml:space="preserve"> did not comply with the Charter HEC</w:t>
      </w:r>
      <w:r>
        <w:t xml:space="preserve"> and the </w:t>
      </w:r>
      <w:r w:rsidRPr="00E53E4B">
        <w:t xml:space="preserve">programmes were adopted with </w:t>
      </w:r>
      <w:r>
        <w:t>the Charter HEC</w:t>
      </w:r>
      <w:r w:rsidRPr="00E53E4B">
        <w:t xml:space="preserve"> marked as unfulfilled</w:t>
      </w:r>
      <w:r>
        <w:t xml:space="preserve">. Poland and Cyprus respectively </w:t>
      </w:r>
      <w:r w:rsidRPr="00E53E4B">
        <w:t>submitted on 17</w:t>
      </w:r>
      <w:r>
        <w:t xml:space="preserve"> and 25</w:t>
      </w:r>
      <w:r w:rsidRPr="00E53E4B">
        <w:t xml:space="preserve"> January 2024 an official request to consider the Charter HEC as fulfilled, including a revised self-assessment and a justification for </w:t>
      </w:r>
      <w:r>
        <w:t>its</w:t>
      </w:r>
      <w:r w:rsidRPr="00E53E4B">
        <w:t xml:space="preserve"> fulfilment. The Commission confirmed that the Charter HEC was fulfilled on 29 February 2024</w:t>
      </w:r>
      <w:r>
        <w:t xml:space="preserve"> for Poland and on 19 April 2024 for Cyprus (AMIF and BMVI), enabling the reimbursement of related expenditure from that moment on</w:t>
      </w:r>
      <w:r w:rsidRPr="00E53E4B">
        <w:t>.</w:t>
      </w:r>
    </w:p>
  </w:footnote>
  <w:footnote w:id="146">
    <w:p w14:paraId="2A2B92D3" w14:textId="12B6D39E" w:rsidR="00352B78" w:rsidRPr="001E7478" w:rsidRDefault="00352B78" w:rsidP="00271548">
      <w:pPr>
        <w:pStyle w:val="FootnoteText"/>
        <w:jc w:val="both"/>
      </w:pPr>
      <w:r w:rsidRPr="000B6BFA">
        <w:rPr>
          <w:rStyle w:val="FootnoteReference"/>
          <w:sz w:val="20"/>
        </w:rPr>
        <w:footnoteRef/>
      </w:r>
      <w:r>
        <w:t xml:space="preserve"> In particular, regarding </w:t>
      </w:r>
      <w:r w:rsidRPr="00A62993">
        <w:t xml:space="preserve">the implementation </w:t>
      </w:r>
      <w:r>
        <w:t xml:space="preserve">in </w:t>
      </w:r>
      <w:r w:rsidRPr="00651119">
        <w:rPr>
          <w:b/>
          <w:bCs/>
        </w:rPr>
        <w:t>Hungary</w:t>
      </w:r>
      <w:r>
        <w:t xml:space="preserve"> </w:t>
      </w:r>
      <w:r w:rsidRPr="00A62993">
        <w:t>of certain specific objectives of three Cohesion programmes and of the Asylum Migration and Integration Fund respectively</w:t>
      </w:r>
      <w:r>
        <w:t>. While progr</w:t>
      </w:r>
      <w:r w:rsidRPr="008862A2">
        <w:t xml:space="preserve">ess </w:t>
      </w:r>
      <w:r>
        <w:t xml:space="preserve">was </w:t>
      </w:r>
      <w:r w:rsidRPr="008862A2">
        <w:t>made in the area of judicial independence</w:t>
      </w:r>
      <w:r>
        <w:t xml:space="preserve"> and other </w:t>
      </w:r>
      <w:r w:rsidRPr="00021E2C">
        <w:rPr>
          <w:lang w:val="en-GB"/>
        </w:rPr>
        <w:t>institutional and procedural arrangements</w:t>
      </w:r>
      <w:r>
        <w:t xml:space="preserve">, </w:t>
      </w:r>
      <w:r w:rsidRPr="008862A2">
        <w:t>serious risks with a concrete and direct impact on the compliance with the Charter in the implementation of certain specific objectives remain unresolved</w:t>
      </w:r>
      <w:r>
        <w:t xml:space="preserve"> in particular, r</w:t>
      </w:r>
      <w:r w:rsidRPr="008862A2">
        <w:t>egarding the inviolability of human dignity (Article 1), the right to private and family life (Article 7), the right to freedom of expression and information (Article 11), the right to non-discrimination (Article 21), as well as academic freedom (Article 13) and to the right to asylum (Article 18)</w:t>
      </w:r>
      <w:r>
        <w:t xml:space="preserve"> </w:t>
      </w:r>
      <w:r w:rsidRPr="00990FBB">
        <w:t>(s</w:t>
      </w:r>
      <w:r w:rsidRPr="00E97D9D">
        <w:t>tate of play August 2024</w:t>
      </w:r>
      <w:r w:rsidRPr="00990FBB">
        <w:t>).</w:t>
      </w:r>
    </w:p>
  </w:footnote>
  <w:footnote w:id="147">
    <w:p w14:paraId="64AC6B09" w14:textId="77777777" w:rsidR="00352B78" w:rsidRPr="00A61A94" w:rsidRDefault="00352B78" w:rsidP="00271548">
      <w:pPr>
        <w:pStyle w:val="FootnoteText"/>
        <w:jc w:val="both"/>
      </w:pPr>
      <w:r w:rsidRPr="000B6BFA">
        <w:rPr>
          <w:rStyle w:val="FootnoteReference"/>
          <w:sz w:val="20"/>
        </w:rPr>
        <w:footnoteRef/>
      </w:r>
      <w:r>
        <w:t xml:space="preserve"> In accordance with Article 41 CPR.</w:t>
      </w:r>
    </w:p>
  </w:footnote>
  <w:footnote w:id="148">
    <w:p w14:paraId="459335ED" w14:textId="77777777" w:rsidR="00352B78" w:rsidRPr="007C08A2" w:rsidRDefault="00352B78" w:rsidP="00271548">
      <w:pPr>
        <w:pStyle w:val="FootnoteText"/>
        <w:jc w:val="both"/>
      </w:pPr>
      <w:r w:rsidRPr="000B6BFA">
        <w:rPr>
          <w:rStyle w:val="FootnoteReference"/>
          <w:sz w:val="20"/>
        </w:rPr>
        <w:footnoteRef/>
      </w:r>
      <w:r>
        <w:t xml:space="preserve"> In accordance with Article 38 CPR.</w:t>
      </w:r>
    </w:p>
  </w:footnote>
  <w:footnote w:id="149">
    <w:p w14:paraId="3B889007" w14:textId="77777777" w:rsidR="00352B78" w:rsidRPr="00F02090" w:rsidRDefault="00352B78" w:rsidP="00271548">
      <w:pPr>
        <w:pStyle w:val="FootnoteText"/>
        <w:jc w:val="both"/>
      </w:pPr>
      <w:r w:rsidRPr="000B6BFA">
        <w:rPr>
          <w:rStyle w:val="FootnoteReference"/>
          <w:sz w:val="20"/>
        </w:rPr>
        <w:footnoteRef/>
      </w:r>
      <w:r>
        <w:t xml:space="preserve"> </w:t>
      </w:r>
      <w:r w:rsidRPr="00F02090">
        <w:t>Regulation 2018/1046</w:t>
      </w:r>
      <w:r>
        <w:t>,</w:t>
      </w:r>
      <w:r w:rsidRPr="00F02090">
        <w:t xml:space="preserve"> OJ L 193, 30.7.2018, p. 1</w:t>
      </w:r>
      <w:r>
        <w:t>-</w:t>
      </w:r>
      <w:r w:rsidRPr="00F02090">
        <w:t>222</w:t>
      </w:r>
      <w:r>
        <w:t>.</w:t>
      </w:r>
    </w:p>
  </w:footnote>
  <w:footnote w:id="150">
    <w:p w14:paraId="010A2899" w14:textId="61683E31" w:rsidR="00352B78" w:rsidRPr="00C44F5E" w:rsidRDefault="00352B78" w:rsidP="00271548">
      <w:pPr>
        <w:pStyle w:val="FootnoteText"/>
        <w:jc w:val="both"/>
      </w:pPr>
      <w:r w:rsidRPr="000B6BFA">
        <w:rPr>
          <w:rStyle w:val="FootnoteReference"/>
          <w:sz w:val="20"/>
        </w:rPr>
        <w:footnoteRef/>
      </w:r>
      <w:r>
        <w:t xml:space="preserve"> </w:t>
      </w:r>
      <w:r>
        <w:rPr>
          <w:noProof/>
        </w:rPr>
        <w:t xml:space="preserve">Authorising officers can take measures when a </w:t>
      </w:r>
      <w:r w:rsidRPr="00D57DC4">
        <w:rPr>
          <w:noProof/>
        </w:rPr>
        <w:t xml:space="preserve">breach of EU values is identified which can be qualified as grave professional misconduct or a breach of the beneficiary’s contractual obligations. The Financial Regulation </w:t>
      </w:r>
      <w:r>
        <w:rPr>
          <w:noProof/>
        </w:rPr>
        <w:t xml:space="preserve">has been </w:t>
      </w:r>
      <w:r w:rsidRPr="00E21E46">
        <w:rPr>
          <w:noProof/>
        </w:rPr>
        <w:t xml:space="preserve">amended with further provisions, see </w:t>
      </w:r>
      <w:r w:rsidRPr="002A7AD5">
        <w:rPr>
          <w:noProof/>
        </w:rPr>
        <w:t>Regulation (EU, Euratom) 2024/2509 of 23 September 2024 on the financial rules applicable to the general budget of the Union (recast)</w:t>
      </w:r>
      <w:r w:rsidRPr="002A7AD5" w:rsidDel="002A7AD5">
        <w:rPr>
          <w:noProof/>
        </w:rPr>
        <w:t xml:space="preserve"> </w:t>
      </w:r>
      <w:r w:rsidRPr="00E21E46">
        <w:rPr>
          <w:noProof/>
        </w:rPr>
        <w:t xml:space="preserve">. </w:t>
      </w:r>
      <w:r w:rsidRPr="00D57DC4">
        <w:rPr>
          <w:noProof/>
        </w:rPr>
        <w:t>The recast includes a general reference to the obligation for the Commission and Member States to respect EU values and the Charter when implementing the EU budget, and a ground of exclusion referring to incitement</w:t>
      </w:r>
      <w:r w:rsidRPr="00C135B9">
        <w:rPr>
          <w:noProof/>
        </w:rPr>
        <w:t xml:space="preserve"> to discrimination, hatred or violence against a group of persons or a member of a group or similar activities that are contrary to the values enshrined in Article 2 TEU.</w:t>
      </w:r>
    </w:p>
  </w:footnote>
  <w:footnote w:id="151">
    <w:p w14:paraId="7DC43711" w14:textId="77777777" w:rsidR="00352B78" w:rsidRDefault="00352B78" w:rsidP="002C0325">
      <w:pPr>
        <w:pStyle w:val="FootnoteText"/>
      </w:pPr>
      <w:r w:rsidRPr="000B6BFA">
        <w:rPr>
          <w:rStyle w:val="FootnoteReference"/>
          <w:sz w:val="20"/>
        </w:rPr>
        <w:footnoteRef/>
      </w:r>
      <w:r>
        <w:t xml:space="preserve"> </w:t>
      </w:r>
      <w:hyperlink r:id="rId70" w:history="1">
        <w:r>
          <w:rPr>
            <w:rStyle w:val="Hyperlink"/>
          </w:rPr>
          <w:t>EDES - European Commission (europa.eu)</w:t>
        </w:r>
      </w:hyperlink>
      <w:r>
        <w:t xml:space="preserve">. </w:t>
      </w:r>
    </w:p>
  </w:footnote>
  <w:footnote w:id="152">
    <w:p w14:paraId="6B817DF0" w14:textId="77777777" w:rsidR="00352B78" w:rsidRPr="00062E9E" w:rsidRDefault="00352B78" w:rsidP="002C0325">
      <w:pPr>
        <w:pStyle w:val="FootnoteText"/>
        <w:jc w:val="both"/>
      </w:pPr>
      <w:r w:rsidRPr="000B6BFA">
        <w:rPr>
          <w:rStyle w:val="FootnoteReference"/>
          <w:sz w:val="20"/>
        </w:rPr>
        <w:footnoteRef/>
      </w:r>
      <w:r>
        <w:t xml:space="preserve"> See, for instance, the </w:t>
      </w:r>
      <w:hyperlink r:id="rId71" w:history="1">
        <w:r w:rsidRPr="00062E9E">
          <w:rPr>
            <w:rStyle w:val="Hyperlink"/>
          </w:rPr>
          <w:t>Horizon Europe model grant agreement</w:t>
        </w:r>
      </w:hyperlink>
      <w:r>
        <w:t>.</w:t>
      </w:r>
    </w:p>
  </w:footnote>
  <w:footnote w:id="153">
    <w:p w14:paraId="61C941D1" w14:textId="77777777" w:rsidR="00352B78" w:rsidRPr="00E9661E" w:rsidRDefault="00352B78" w:rsidP="002C0325">
      <w:pPr>
        <w:pStyle w:val="FootnoteText"/>
        <w:jc w:val="both"/>
      </w:pPr>
      <w:r w:rsidRPr="000B6BFA">
        <w:rPr>
          <w:rStyle w:val="FootnoteReference"/>
          <w:sz w:val="20"/>
        </w:rPr>
        <w:footnoteRef/>
      </w:r>
      <w:r>
        <w:t xml:space="preserve"> </w:t>
      </w:r>
      <w:r w:rsidRPr="00A27180">
        <w:t>The authorising officer can reduce the final grant if irregularities, fraud or breach of an obligation are identified</w:t>
      </w:r>
      <w:r>
        <w:t xml:space="preserve">. See </w:t>
      </w:r>
      <w:r w:rsidRPr="00E9661E">
        <w:t>Article 131 of the Financial Regulation</w:t>
      </w:r>
      <w:r>
        <w:t>.</w:t>
      </w:r>
      <w:r w:rsidRPr="00E9661E">
        <w:t xml:space="preserve"> </w:t>
      </w:r>
    </w:p>
  </w:footnote>
  <w:footnote w:id="154">
    <w:p w14:paraId="00EEE2D8" w14:textId="77777777" w:rsidR="00352B78" w:rsidRPr="001E5A75" w:rsidRDefault="00352B78" w:rsidP="002C0325">
      <w:pPr>
        <w:pStyle w:val="FootnoteText"/>
        <w:jc w:val="both"/>
      </w:pPr>
      <w:r w:rsidRPr="000B6BFA">
        <w:rPr>
          <w:rStyle w:val="FootnoteReference"/>
          <w:sz w:val="20"/>
        </w:rPr>
        <w:footnoteRef/>
      </w:r>
      <w:r>
        <w:t xml:space="preserve"> The budget of the programme for the current MFF is EUR 181 million; </w:t>
      </w:r>
      <w:hyperlink r:id="rId72" w:history="1">
        <w:r>
          <w:rPr>
            <w:rStyle w:val="Hyperlink"/>
          </w:rPr>
          <w:t>Union Anti-Fraud Programme (UAFP) - European Commission (europa.eu)</w:t>
        </w:r>
      </w:hyperlink>
      <w:r w:rsidRPr="001B1713">
        <w:t xml:space="preserve">. </w:t>
      </w:r>
    </w:p>
  </w:footnote>
  <w:footnote w:id="155">
    <w:p w14:paraId="67812BDE" w14:textId="77777777" w:rsidR="00352B78" w:rsidRPr="001E5A75" w:rsidRDefault="00352B78" w:rsidP="002C0325">
      <w:pPr>
        <w:pStyle w:val="FootnoteText"/>
        <w:jc w:val="both"/>
      </w:pPr>
      <w:r w:rsidRPr="000B6BFA">
        <w:rPr>
          <w:rStyle w:val="FootnoteReference"/>
          <w:sz w:val="20"/>
        </w:rPr>
        <w:footnoteRef/>
      </w:r>
      <w:r>
        <w:t xml:space="preserve"> </w:t>
      </w:r>
      <w:hyperlink r:id="rId73" w:history="1">
        <w:r>
          <w:rPr>
            <w:rStyle w:val="Hyperlink"/>
          </w:rPr>
          <w:t>Home | Nonincrimina</w:t>
        </w:r>
      </w:hyperlink>
      <w:r w:rsidRPr="001B1713">
        <w:t xml:space="preserve">. </w:t>
      </w:r>
    </w:p>
  </w:footnote>
  <w:footnote w:id="156">
    <w:p w14:paraId="617CD4B7" w14:textId="77777777" w:rsidR="00352B78" w:rsidRPr="00D94841" w:rsidRDefault="00352B78" w:rsidP="002C0325">
      <w:pPr>
        <w:pStyle w:val="FootnoteText"/>
      </w:pPr>
      <w:r w:rsidRPr="000B6BFA">
        <w:rPr>
          <w:rStyle w:val="FootnoteReference"/>
          <w:sz w:val="20"/>
        </w:rPr>
        <w:footnoteRef/>
      </w:r>
      <w:r w:rsidRPr="00D94841">
        <w:t xml:space="preserve"> Regulation 2021/692</w:t>
      </w:r>
      <w:r>
        <w:t xml:space="preserve">, </w:t>
      </w:r>
      <w:r w:rsidRPr="00E35799">
        <w:t>OJ L 156, 5.5.2021, p. 1</w:t>
      </w:r>
      <w:r>
        <w:t>-</w:t>
      </w:r>
      <w:r w:rsidRPr="00E35799">
        <w:t>20</w:t>
      </w:r>
      <w:r w:rsidRPr="00D94841">
        <w:t xml:space="preserve">. </w:t>
      </w:r>
    </w:p>
  </w:footnote>
  <w:footnote w:id="157">
    <w:p w14:paraId="0CF95975" w14:textId="77777777" w:rsidR="00352B78" w:rsidRPr="00D94841" w:rsidRDefault="00352B78" w:rsidP="002C0325">
      <w:pPr>
        <w:pStyle w:val="FootnoteText"/>
      </w:pPr>
      <w:r w:rsidRPr="000B6BFA">
        <w:rPr>
          <w:rStyle w:val="FootnoteReference"/>
          <w:sz w:val="20"/>
        </w:rPr>
        <w:footnoteRef/>
      </w:r>
      <w:r>
        <w:t xml:space="preserve"> </w:t>
      </w:r>
      <w:r w:rsidRPr="00D94841">
        <w:t xml:space="preserve">CERV Application Form, </w:t>
      </w:r>
      <w:r>
        <w:t xml:space="preserve">2022, </w:t>
      </w:r>
      <w:r w:rsidRPr="00D94841">
        <w:t>e</w:t>
      </w:r>
      <w:r>
        <w:t>thics and values.</w:t>
      </w:r>
    </w:p>
  </w:footnote>
  <w:footnote w:id="158">
    <w:p w14:paraId="54E9A356" w14:textId="77777777" w:rsidR="00352B78" w:rsidRPr="009F2DCE" w:rsidRDefault="00352B78" w:rsidP="002C0325">
      <w:pPr>
        <w:pStyle w:val="FootnoteText"/>
        <w:jc w:val="both"/>
      </w:pPr>
      <w:r w:rsidRPr="000B6BFA">
        <w:rPr>
          <w:rStyle w:val="FootnoteReference"/>
          <w:sz w:val="20"/>
        </w:rPr>
        <w:footnoteRef/>
      </w:r>
      <w:r>
        <w:t xml:space="preserve"> </w:t>
      </w:r>
      <w:r w:rsidRPr="009F2DCE">
        <w:t>Specific rules are set out in the Guide for National Agencies (Annex VI to the Contribution Agreement).</w:t>
      </w:r>
    </w:p>
  </w:footnote>
  <w:footnote w:id="159">
    <w:p w14:paraId="222BFF2C" w14:textId="77777777" w:rsidR="00352B78" w:rsidRPr="00D94841" w:rsidRDefault="00352B78" w:rsidP="002C0325">
      <w:pPr>
        <w:pStyle w:val="FootnoteText"/>
        <w:jc w:val="both"/>
      </w:pPr>
      <w:r w:rsidRPr="000B6BFA">
        <w:rPr>
          <w:rStyle w:val="FootnoteReference"/>
          <w:sz w:val="20"/>
        </w:rPr>
        <w:footnoteRef/>
      </w:r>
      <w:r w:rsidRPr="00D94841">
        <w:t xml:space="preserve"> Erasmus+ Programme Guide 2024, p. 11.</w:t>
      </w:r>
    </w:p>
  </w:footnote>
  <w:footnote w:id="160">
    <w:p w14:paraId="0CE9082A" w14:textId="77777777" w:rsidR="00352B78" w:rsidRPr="00C6205E" w:rsidRDefault="00352B78" w:rsidP="002C0325">
      <w:pPr>
        <w:pStyle w:val="FootnoteText"/>
        <w:jc w:val="both"/>
      </w:pPr>
      <w:r w:rsidRPr="000B6BFA">
        <w:rPr>
          <w:rStyle w:val="FootnoteReference"/>
          <w:sz w:val="20"/>
        </w:rPr>
        <w:footnoteRef/>
      </w:r>
      <w:r w:rsidRPr="00C6205E">
        <w:t xml:space="preserve"> Regulation 2021/695</w:t>
      </w:r>
      <w:r>
        <w:t xml:space="preserve">, </w:t>
      </w:r>
      <w:r w:rsidRPr="003E4548">
        <w:t>OJ L 170, 12.5.2021, p. 1</w:t>
      </w:r>
      <w:r>
        <w:t>-</w:t>
      </w:r>
      <w:r w:rsidRPr="003E4548">
        <w:t>68</w:t>
      </w:r>
      <w:r w:rsidRPr="00C6205E">
        <w:t>.</w:t>
      </w:r>
    </w:p>
  </w:footnote>
  <w:footnote w:id="161">
    <w:p w14:paraId="62EAEA2E" w14:textId="77777777" w:rsidR="00352B78" w:rsidRPr="00BA2C72" w:rsidRDefault="00352B78" w:rsidP="002C0325">
      <w:pPr>
        <w:pStyle w:val="FootnoteText"/>
        <w:jc w:val="both"/>
      </w:pPr>
      <w:r w:rsidRPr="000B6BFA">
        <w:rPr>
          <w:rStyle w:val="FootnoteReference"/>
          <w:sz w:val="20"/>
        </w:rPr>
        <w:footnoteRef/>
      </w:r>
      <w:r w:rsidRPr="00BA2C72">
        <w:t xml:space="preserve"> </w:t>
      </w:r>
      <w:hyperlink r:id="rId74" w:history="1">
        <w:r>
          <w:rPr>
            <w:rStyle w:val="Hyperlink"/>
          </w:rPr>
          <w:t>Horizon Europe General Model Grant Agreement</w:t>
        </w:r>
      </w:hyperlink>
      <w:r>
        <w:rPr>
          <w:rStyle w:val="Hyperlink"/>
        </w:rPr>
        <w:t>.</w:t>
      </w:r>
      <w:r w:rsidRPr="00BA2C72">
        <w:t xml:space="preserve"> </w:t>
      </w:r>
    </w:p>
  </w:footnote>
  <w:footnote w:id="162">
    <w:p w14:paraId="6926C604" w14:textId="77777777" w:rsidR="00352B78" w:rsidRDefault="00352B78" w:rsidP="002C0325">
      <w:pPr>
        <w:pStyle w:val="FootnoteText"/>
        <w:jc w:val="both"/>
      </w:pPr>
      <w:r w:rsidRPr="000B6BFA">
        <w:rPr>
          <w:rStyle w:val="FootnoteReference"/>
          <w:sz w:val="20"/>
        </w:rPr>
        <w:footnoteRef/>
      </w:r>
      <w:r>
        <w:t xml:space="preserve"> </w:t>
      </w:r>
      <w:r w:rsidRPr="001511DC">
        <w:t xml:space="preserve">It includes the </w:t>
      </w:r>
      <w:r>
        <w:t>e</w:t>
      </w:r>
      <w:r w:rsidRPr="001511DC">
        <w:t xml:space="preserve">thics </w:t>
      </w:r>
      <w:r>
        <w:t>r</w:t>
      </w:r>
      <w:r w:rsidRPr="001511DC">
        <w:t xml:space="preserve">eview </w:t>
      </w:r>
      <w:r>
        <w:t>p</w:t>
      </w:r>
      <w:r w:rsidRPr="001511DC">
        <w:t xml:space="preserve">rocedure, conducted before the start of the project, as well as </w:t>
      </w:r>
      <w:r>
        <w:t>e</w:t>
      </w:r>
      <w:r w:rsidRPr="001511DC">
        <w:t xml:space="preserve">thics </w:t>
      </w:r>
      <w:r>
        <w:t>c</w:t>
      </w:r>
      <w:r w:rsidRPr="001511DC">
        <w:t xml:space="preserve">hecks, </w:t>
      </w:r>
      <w:r>
        <w:t>r</w:t>
      </w:r>
      <w:r w:rsidRPr="001511DC">
        <w:t xml:space="preserve">eviews and </w:t>
      </w:r>
      <w:r>
        <w:t>a</w:t>
      </w:r>
      <w:r w:rsidRPr="001511DC">
        <w:t xml:space="preserve">udits during the project. </w:t>
      </w:r>
      <w:r>
        <w:t>P</w:t>
      </w:r>
      <w:r w:rsidRPr="001511DC">
        <w:t>roposal</w:t>
      </w:r>
      <w:r>
        <w:t>s are</w:t>
      </w:r>
      <w:r w:rsidRPr="001511DC">
        <w:t xml:space="preserve"> required to conduct </w:t>
      </w:r>
      <w:r>
        <w:t>e</w:t>
      </w:r>
      <w:r w:rsidRPr="001511DC">
        <w:t xml:space="preserve">thics </w:t>
      </w:r>
      <w:r>
        <w:t>s</w:t>
      </w:r>
      <w:r w:rsidRPr="001511DC">
        <w:t>elf-assessment</w:t>
      </w:r>
      <w:r>
        <w:t>s</w:t>
      </w:r>
      <w:r w:rsidRPr="001511DC">
        <w:t xml:space="preserve"> starting with the completion of an </w:t>
      </w:r>
      <w:r>
        <w:t>e</w:t>
      </w:r>
      <w:r w:rsidRPr="001511DC">
        <w:t xml:space="preserve">thics </w:t>
      </w:r>
      <w:r>
        <w:t>i</w:t>
      </w:r>
      <w:r w:rsidRPr="001511DC">
        <w:t xml:space="preserve">ssues </w:t>
      </w:r>
      <w:r>
        <w:t>t</w:t>
      </w:r>
      <w:r w:rsidRPr="001511DC">
        <w:t>able.</w:t>
      </w:r>
    </w:p>
  </w:footnote>
  <w:footnote w:id="163">
    <w:p w14:paraId="0F878975" w14:textId="77777777" w:rsidR="00352B78" w:rsidRDefault="00352B78" w:rsidP="002C0325">
      <w:pPr>
        <w:pStyle w:val="FootnoteText"/>
        <w:jc w:val="both"/>
      </w:pPr>
      <w:r w:rsidRPr="000B6BFA">
        <w:rPr>
          <w:rStyle w:val="FootnoteReference"/>
          <w:sz w:val="20"/>
        </w:rPr>
        <w:footnoteRef/>
      </w:r>
      <w:r>
        <w:t xml:space="preserve"> See the online document: “</w:t>
      </w:r>
      <w:hyperlink r:id="rId75" w:history="1">
        <w:r w:rsidRPr="00175B65">
          <w:rPr>
            <w:rStyle w:val="Hyperlink"/>
          </w:rPr>
          <w:t>How to complete your ethics self-assessment</w:t>
        </w:r>
      </w:hyperlink>
      <w:r>
        <w:t>”. Also: “</w:t>
      </w:r>
      <w:hyperlink r:id="rId76" w:history="1">
        <w:r w:rsidRPr="009E4699">
          <w:rPr>
            <w:rStyle w:val="Hyperlink"/>
          </w:rPr>
          <w:t>Identifying serious and complex ethics issues in EU-funded research</w:t>
        </w:r>
      </w:hyperlink>
      <w:r>
        <w:t>”; “</w:t>
      </w:r>
      <w:hyperlink r:id="rId77" w:history="1">
        <w:r w:rsidRPr="009E4699">
          <w:rPr>
            <w:rStyle w:val="Hyperlink"/>
          </w:rPr>
          <w:t>Ethics and data protection</w:t>
        </w:r>
      </w:hyperlink>
      <w:r>
        <w:t>” and “</w:t>
      </w:r>
      <w:hyperlink r:id="rId78" w:history="1">
        <w:r w:rsidRPr="00290A40">
          <w:rPr>
            <w:rStyle w:val="Hyperlink"/>
          </w:rPr>
          <w:t>Ethics in Social Sciences and Humanities</w:t>
        </w:r>
      </w:hyperlink>
      <w:r>
        <w:t>”.</w:t>
      </w:r>
    </w:p>
  </w:footnote>
  <w:footnote w:id="164">
    <w:p w14:paraId="5DB10699" w14:textId="77777777" w:rsidR="00352B78" w:rsidRPr="004D5508" w:rsidRDefault="00352B78" w:rsidP="002C0325">
      <w:pPr>
        <w:pStyle w:val="FootnoteText"/>
        <w:jc w:val="both"/>
      </w:pPr>
      <w:r w:rsidRPr="000B6BFA">
        <w:rPr>
          <w:rStyle w:val="FootnoteReference"/>
          <w:sz w:val="20"/>
        </w:rPr>
        <w:footnoteRef/>
      </w:r>
      <w:r>
        <w:t xml:space="preserve"> G</w:t>
      </w:r>
      <w:r w:rsidRPr="00D33AA1">
        <w:t>rant applications are assessed by a panel composed of staff members and external independent experts. Shortlisted applicants must submit financial documents and complete a financial declaration detailing how the funds will be spent.</w:t>
      </w:r>
    </w:p>
  </w:footnote>
  <w:footnote w:id="165">
    <w:p w14:paraId="6B570527" w14:textId="77777777" w:rsidR="00352B78" w:rsidRPr="008562D3" w:rsidRDefault="00352B78" w:rsidP="007F470D">
      <w:pPr>
        <w:spacing w:after="0"/>
        <w:jc w:val="both"/>
        <w:rPr>
          <w:rFonts w:ascii="Times New Roman" w:eastAsia="Calibri" w:hAnsi="Times New Roman" w:cs="Times New Roman"/>
          <w:sz w:val="20"/>
          <w:szCs w:val="20"/>
        </w:rPr>
      </w:pPr>
      <w:r w:rsidRPr="008562D3">
        <w:rPr>
          <w:rStyle w:val="FootnoteReference"/>
          <w:rFonts w:eastAsia="Calibri"/>
          <w:sz w:val="20"/>
          <w:szCs w:val="20"/>
        </w:rPr>
        <w:footnoteRef/>
      </w:r>
      <w:r w:rsidRPr="008562D3">
        <w:rPr>
          <w:rStyle w:val="FootnoteReference"/>
          <w:rFonts w:eastAsia="Calibri"/>
          <w:sz w:val="20"/>
          <w:szCs w:val="20"/>
        </w:rPr>
        <w:t xml:space="preserve"> </w:t>
      </w:r>
      <w:r w:rsidRPr="008562D3">
        <w:rPr>
          <w:rFonts w:ascii="Times New Roman" w:eastAsia="Calibri" w:hAnsi="Times New Roman" w:cs="Times New Roman"/>
          <w:sz w:val="20"/>
          <w:szCs w:val="20"/>
        </w:rPr>
        <w:t>O</w:t>
      </w:r>
      <w:r w:rsidRPr="00B70E2E">
        <w:rPr>
          <w:rFonts w:ascii="Times New Roman" w:eastAsia="Calibri" w:hAnsi="Times New Roman" w:cs="Times New Roman"/>
          <w:sz w:val="20"/>
          <w:szCs w:val="20"/>
        </w:rPr>
        <w:t>nline consultation through the Fundamental Rights Platform, Question 1</w:t>
      </w:r>
      <w:r w:rsidRPr="008562D3">
        <w:rPr>
          <w:rFonts w:ascii="Times New Roman" w:eastAsia="Calibri" w:hAnsi="Times New Roman" w:cs="Times New Roman"/>
          <w:sz w:val="20"/>
          <w:szCs w:val="20"/>
        </w:rPr>
        <w:t>” What</w:t>
      </w:r>
      <w:r w:rsidRPr="00B70E2E">
        <w:rPr>
          <w:rFonts w:ascii="Times New Roman" w:eastAsia="Calibri" w:hAnsi="Times New Roman" w:cs="Times New Roman"/>
          <w:sz w:val="20"/>
          <w:szCs w:val="20"/>
        </w:rPr>
        <w:t xml:space="preserve"> were the three most important funding sources for your organisation’s fundamental rights work in 2019-2024?</w:t>
      </w:r>
      <w:r w:rsidRPr="008562D3">
        <w:rPr>
          <w:rFonts w:ascii="Times New Roman" w:eastAsia="Calibri" w:hAnsi="Times New Roman" w:cs="Times New Roman"/>
          <w:sz w:val="20"/>
          <w:szCs w:val="20"/>
        </w:rPr>
        <w:t>”</w:t>
      </w:r>
      <w:r>
        <w:rPr>
          <w:rFonts w:ascii="Times New Roman" w:eastAsia="Calibri" w:hAnsi="Times New Roman" w:cs="Times New Roman"/>
          <w:sz w:val="20"/>
          <w:szCs w:val="20"/>
        </w:rPr>
        <w:t xml:space="preserve"> Other sources were funding from private foundations (13%) and membership fees (11%). 25% of respondents provided no answer.</w:t>
      </w:r>
    </w:p>
  </w:footnote>
  <w:footnote w:id="166">
    <w:p w14:paraId="046DA6C0" w14:textId="77777777" w:rsidR="00352B78" w:rsidRDefault="00352B78" w:rsidP="00E21E46">
      <w:pPr>
        <w:pStyle w:val="FootnoteText"/>
        <w:jc w:val="both"/>
      </w:pPr>
      <w:r w:rsidRPr="000B6BFA">
        <w:rPr>
          <w:rStyle w:val="FootnoteReference"/>
          <w:sz w:val="20"/>
        </w:rPr>
        <w:footnoteRef/>
      </w:r>
      <w:r>
        <w:t xml:space="preserve">Report on key findings from FRA's civic space consultation covering 2023, figure 18, p. 17, see </w:t>
      </w:r>
      <w:hyperlink r:id="rId79" w:history="1">
        <w:r w:rsidRPr="00457302">
          <w:rPr>
            <w:rStyle w:val="Hyperlink"/>
          </w:rPr>
          <w:t>report-key-findings-fra-civic-space-consultation-covering-2023.pdf</w:t>
        </w:r>
        <w:r>
          <w:rPr>
            <w:rStyle w:val="Hyperlink"/>
          </w:rPr>
          <w:t xml:space="preserve"> (europa.eu)</w:t>
        </w:r>
      </w:hyperlink>
      <w:r w:rsidRPr="001B1713">
        <w:t>.</w:t>
      </w:r>
    </w:p>
  </w:footnote>
  <w:footnote w:id="167">
    <w:p w14:paraId="7CDB29DF" w14:textId="77777777" w:rsidR="00352B78" w:rsidRDefault="00352B78" w:rsidP="007F470D">
      <w:pPr>
        <w:pStyle w:val="FootnoteText"/>
        <w:jc w:val="both"/>
      </w:pPr>
      <w:r w:rsidRPr="000B6BFA">
        <w:rPr>
          <w:rStyle w:val="FootnoteReference"/>
          <w:sz w:val="20"/>
        </w:rPr>
        <w:footnoteRef/>
      </w:r>
      <w:r>
        <w:t xml:space="preserve"> Online consultation through the Fundamental Rights Platform, Question 3: “</w:t>
      </w:r>
      <w:r w:rsidRPr="00784D7B">
        <w:t>What do you consider</w:t>
      </w:r>
      <w:r>
        <w:t xml:space="preserve"> the </w:t>
      </w:r>
      <w:r w:rsidRPr="00784D7B">
        <w:t>main added value of the European Union’s</w:t>
      </w:r>
      <w:r>
        <w:t xml:space="preserve"> funding </w:t>
      </w:r>
      <w:r w:rsidRPr="00784D7B">
        <w:t>for fundamental rights</w:t>
      </w:r>
      <w:r>
        <w:t>?”</w:t>
      </w:r>
    </w:p>
  </w:footnote>
  <w:footnote w:id="168">
    <w:p w14:paraId="7EE2418F" w14:textId="77777777" w:rsidR="00352B78" w:rsidRDefault="00352B78" w:rsidP="007F470D">
      <w:pPr>
        <w:pStyle w:val="FootnoteText"/>
        <w:jc w:val="both"/>
      </w:pPr>
      <w:r w:rsidRPr="000B6BFA">
        <w:rPr>
          <w:rStyle w:val="FootnoteReference"/>
          <w:sz w:val="20"/>
        </w:rPr>
        <w:footnoteRef/>
      </w:r>
      <w:r>
        <w:t>Report on key findings from FRA’s civic space consultation covering 2023, f</w:t>
      </w:r>
      <w:r w:rsidRPr="005105A1">
        <w:t>igure 2</w:t>
      </w:r>
      <w:r>
        <w:t>4</w:t>
      </w:r>
      <w:r w:rsidRPr="005105A1">
        <w:t>, p</w:t>
      </w:r>
      <w:r>
        <w:t>p</w:t>
      </w:r>
      <w:r w:rsidRPr="005105A1">
        <w:t>. 21</w:t>
      </w:r>
      <w:r>
        <w:t>-22</w:t>
      </w:r>
      <w:r w:rsidRPr="005105A1">
        <w:t xml:space="preserve">, </w:t>
      </w:r>
      <w:hyperlink r:id="rId80" w:history="1">
        <w:r w:rsidRPr="008E2311">
          <w:rPr>
            <w:rStyle w:val="Hyperlink"/>
          </w:rPr>
          <w:t>report-key-findings-fra-civic-space-consultation-covering-2023.pdf</w:t>
        </w:r>
        <w:r w:rsidRPr="00356DF9">
          <w:rPr>
            <w:rStyle w:val="Hyperlink"/>
          </w:rPr>
          <w:t xml:space="preserve"> (europa.eu)</w:t>
        </w:r>
      </w:hyperlink>
      <w:r w:rsidRPr="00356DF9">
        <w:t>.</w:t>
      </w:r>
    </w:p>
  </w:footnote>
  <w:footnote w:id="169">
    <w:p w14:paraId="7DA2D7B5" w14:textId="77777777" w:rsidR="00352B78" w:rsidRPr="00811F95" w:rsidRDefault="00352B78" w:rsidP="00E21E46">
      <w:pPr>
        <w:pStyle w:val="FootnoteText"/>
        <w:jc w:val="both"/>
      </w:pPr>
      <w:r w:rsidRPr="000B6BFA">
        <w:rPr>
          <w:rStyle w:val="FootnoteReference"/>
          <w:sz w:val="20"/>
        </w:rPr>
        <w:footnoteRef/>
      </w:r>
      <w:r w:rsidRPr="00811F95">
        <w:t xml:space="preserve"> </w:t>
      </w:r>
      <w:r>
        <w:t xml:space="preserve">See </w:t>
      </w:r>
      <w:hyperlink r:id="rId81" w:history="1">
        <w:r>
          <w:rPr>
            <w:rStyle w:val="Hyperlink"/>
          </w:rPr>
          <w:t>Frauenprojektförderungen - Bundeskanzleramt Österreich</w:t>
        </w:r>
      </w:hyperlink>
      <w:r w:rsidRPr="00811F95">
        <w:t xml:space="preserve">. </w:t>
      </w:r>
    </w:p>
  </w:footnote>
  <w:footnote w:id="170">
    <w:p w14:paraId="6B3A314A" w14:textId="77777777" w:rsidR="00352B78" w:rsidRPr="00BC204F" w:rsidRDefault="00352B78" w:rsidP="007F470D">
      <w:pPr>
        <w:pStyle w:val="FootnoteText"/>
        <w:jc w:val="both"/>
      </w:pPr>
      <w:r w:rsidRPr="000B6BFA">
        <w:rPr>
          <w:rStyle w:val="FootnoteReference"/>
          <w:sz w:val="20"/>
        </w:rPr>
        <w:footnoteRef/>
      </w:r>
      <w:r>
        <w:t xml:space="preserve"> </w:t>
      </w:r>
      <w:r w:rsidRPr="00BC204F">
        <w:t>Funding is also made available for projects on environmental protection, including on environmental damage prevention and national and regional environmental education projects promoting sustainable development.</w:t>
      </w:r>
      <w:r>
        <w:t xml:space="preserve"> Projects on the promotion of</w:t>
      </w:r>
      <w:r w:rsidRPr="00013604">
        <w:t xml:space="preserve"> health and social welfare</w:t>
      </w:r>
      <w:r>
        <w:t xml:space="preserve"> can benefit </w:t>
      </w:r>
      <w:r w:rsidRPr="00013604">
        <w:t>from the Funding Centre for Social Welfare and Health Organisations (STEA)</w:t>
      </w:r>
      <w:r>
        <w:t xml:space="preserve"> grants.</w:t>
      </w:r>
    </w:p>
  </w:footnote>
  <w:footnote w:id="171">
    <w:p w14:paraId="3281CB83" w14:textId="77777777" w:rsidR="00352B78" w:rsidRPr="005D0572" w:rsidRDefault="00352B78" w:rsidP="002C0325">
      <w:pPr>
        <w:pStyle w:val="FootnoteText"/>
        <w:jc w:val="both"/>
      </w:pPr>
      <w:r w:rsidRPr="000B6BFA">
        <w:rPr>
          <w:rStyle w:val="FootnoteReference"/>
          <w:sz w:val="20"/>
        </w:rPr>
        <w:footnoteRef/>
      </w:r>
      <w:r>
        <w:t xml:space="preserve"> </w:t>
      </w:r>
      <w:hyperlink r:id="rId82" w:history="1">
        <w:r w:rsidRPr="00B32F39">
          <w:rPr>
            <w:rStyle w:val="Hyperlink"/>
          </w:rPr>
          <w:t>gov - Minister Joe O’Brien announces Ireland Against Racism funding call (www.gov.ie)</w:t>
        </w:r>
      </w:hyperlink>
      <w:r>
        <w:t>. Similarly, i</w:t>
      </w:r>
      <w:r w:rsidRPr="00257447">
        <w:t xml:space="preserve">n </w:t>
      </w:r>
      <w:r>
        <w:rPr>
          <w:b/>
          <w:bCs/>
        </w:rPr>
        <w:t>Spain</w:t>
      </w:r>
      <w:r w:rsidRPr="00257447">
        <w:t>, fundamental rights relevant subsidies are granted by the Ministry of Equality, which supports initiatives linked to the rights of LGBTIQ+ people and tackling gender-based violence and human trafficking.</w:t>
      </w:r>
      <w:r>
        <w:t xml:space="preserve"> E</w:t>
      </w:r>
      <w:r w:rsidRPr="00257447">
        <w:t>ach ministry is required to approve a plan detailing the subsidies to be granted by the ministry</w:t>
      </w:r>
      <w:r>
        <w:t xml:space="preserve"> (</w:t>
      </w:r>
      <w:hyperlink r:id="rId83" w:history="1">
        <w:r w:rsidRPr="00933343">
          <w:rPr>
            <w:rStyle w:val="Hyperlink"/>
          </w:rPr>
          <w:t>https://transparencia.gob.es/transparencia/transparencia_Home/index/PublicidadActiva/Contratos/PlanesSubvenciones.html?imprimir=1</w:t>
        </w:r>
      </w:hyperlink>
      <w:r>
        <w:t>)</w:t>
      </w:r>
      <w:r w:rsidRPr="00257447">
        <w:t>.</w:t>
      </w:r>
      <w:r>
        <w:t xml:space="preserve"> </w:t>
      </w:r>
      <w:r w:rsidRPr="00257447">
        <w:t xml:space="preserve">In </w:t>
      </w:r>
      <w:r>
        <w:rPr>
          <w:b/>
          <w:bCs/>
        </w:rPr>
        <w:t>Bulgaria</w:t>
      </w:r>
      <w:r w:rsidRPr="00257447">
        <w:t xml:space="preserve">, the Agency for Persons with Disabilities issues funding </w:t>
      </w:r>
      <w:r>
        <w:t xml:space="preserve">carried out on the basis of a special methodology </w:t>
      </w:r>
      <w:r w:rsidRPr="00257447">
        <w:t>for projects to rehabilitate and integrate pe</w:t>
      </w:r>
      <w:r>
        <w:t>ople</w:t>
      </w:r>
      <w:r w:rsidRPr="00257447">
        <w:t xml:space="preserve"> with disabilities</w:t>
      </w:r>
      <w:r>
        <w:t xml:space="preserve"> (</w:t>
      </w:r>
      <w:hyperlink r:id="rId84" w:history="1">
        <w:r w:rsidRPr="00933343">
          <w:rPr>
            <w:rStyle w:val="Hyperlink"/>
          </w:rPr>
          <w:t>https://ahu.mlsp.government.bg/portal/page/86</w:t>
        </w:r>
      </w:hyperlink>
      <w:r>
        <w:t>)</w:t>
      </w:r>
      <w:r w:rsidRPr="00257447">
        <w:t>.</w:t>
      </w:r>
    </w:p>
  </w:footnote>
  <w:footnote w:id="172">
    <w:p w14:paraId="38691C29" w14:textId="113AFFE2" w:rsidR="00352B78" w:rsidRPr="00EC6CBE" w:rsidRDefault="00352B78" w:rsidP="002C0325">
      <w:pPr>
        <w:pStyle w:val="FootnoteText"/>
        <w:jc w:val="both"/>
        <w:rPr>
          <w:lang w:val="de-DE"/>
        </w:rPr>
      </w:pPr>
      <w:r w:rsidRPr="000B6BFA">
        <w:rPr>
          <w:rStyle w:val="FootnoteReference"/>
          <w:sz w:val="20"/>
        </w:rPr>
        <w:footnoteRef/>
      </w:r>
      <w:r w:rsidRPr="001B1713">
        <w:rPr>
          <w:lang w:val="de-DE"/>
        </w:rPr>
        <w:t xml:space="preserve"> </w:t>
      </w:r>
      <w:hyperlink r:id="rId85" w:history="1">
        <w:r w:rsidRPr="000B6BFA">
          <w:rPr>
            <w:rStyle w:val="Hyperlink"/>
            <w:lang w:val="nl-BE"/>
          </w:rPr>
          <w:t>Likrat: Israelitische Kultusgemeinde Wien (ikg-wien.at)</w:t>
        </w:r>
      </w:hyperlink>
      <w:r w:rsidRPr="00EC6CBE">
        <w:rPr>
          <w:lang w:val="de-DE"/>
        </w:rPr>
        <w:t xml:space="preserve">; </w:t>
      </w:r>
      <w:hyperlink r:id="rId86" w:history="1">
        <w:r w:rsidRPr="00EC6CBE">
          <w:rPr>
            <w:rStyle w:val="Hyperlink"/>
            <w:lang w:val="de-DE"/>
          </w:rPr>
          <w:t>Home - Simon Wiesenthal Prize (wiesenthalpreis.at)</w:t>
        </w:r>
      </w:hyperlink>
      <w:r w:rsidRPr="00EC6CBE">
        <w:rPr>
          <w:lang w:val="de-DE"/>
        </w:rPr>
        <w:t xml:space="preserve">. </w:t>
      </w:r>
    </w:p>
  </w:footnote>
  <w:footnote w:id="173">
    <w:p w14:paraId="336A13E2" w14:textId="77777777" w:rsidR="00352B78" w:rsidRPr="00BE0977" w:rsidRDefault="00352B78" w:rsidP="002C0325">
      <w:pPr>
        <w:pStyle w:val="FootnoteText"/>
        <w:jc w:val="both"/>
      </w:pPr>
      <w:r w:rsidRPr="000B6BFA">
        <w:rPr>
          <w:rStyle w:val="FootnoteReference"/>
          <w:sz w:val="20"/>
        </w:rPr>
        <w:footnoteRef/>
      </w:r>
      <w:r>
        <w:t xml:space="preserve"> </w:t>
      </w:r>
      <w:r>
        <w:rPr>
          <w:b/>
          <w:bCs/>
          <w:noProof/>
          <w:lang w:val="en-GB"/>
        </w:rPr>
        <w:t>Sweden</w:t>
      </w:r>
      <w:r w:rsidRPr="000B6BFA">
        <w:rPr>
          <w:b/>
          <w:bCs/>
          <w:noProof/>
          <w:lang w:val="en-GB"/>
        </w:rPr>
        <w:t xml:space="preserve"> </w:t>
      </w:r>
      <w:r w:rsidRPr="00232936">
        <w:rPr>
          <w:noProof/>
          <w:lang w:val="en-GB"/>
        </w:rPr>
        <w:t>also supports the work of anti-dicrimination agencies at the local level. The services’ geographical spread across the country needs to be taken into account as a granting criteria</w:t>
      </w:r>
      <w:r>
        <w:rPr>
          <w:noProof/>
          <w:lang w:val="en-GB"/>
        </w:rPr>
        <w:t>.</w:t>
      </w:r>
      <w:r w:rsidRPr="00BE0977">
        <w:t xml:space="preserve"> </w:t>
      </w:r>
      <w:r>
        <w:t>G</w:t>
      </w:r>
      <w:r w:rsidRPr="009B2E6F">
        <w:t xml:space="preserve">overnment ordinances mandate the funding of projects on promoting and protecting fundamental rights. </w:t>
      </w:r>
      <w:r>
        <w:t xml:space="preserve">See e.g. </w:t>
      </w:r>
      <w:r w:rsidRPr="00BE0977">
        <w:t>Ordinance (2002:989)</w:t>
      </w:r>
      <w:r w:rsidRPr="000B6BFA">
        <w:t xml:space="preserve"> (</w:t>
      </w:r>
      <w:hyperlink r:id="rId87" w:history="1">
        <w:r>
          <w:rPr>
            <w:rStyle w:val="Hyperlink"/>
          </w:rPr>
          <w:t>Regeringskansliets rättsdatabaser (gov.se)</w:t>
        </w:r>
      </w:hyperlink>
      <w:r w:rsidRPr="000B6BFA">
        <w:t>).</w:t>
      </w:r>
    </w:p>
  </w:footnote>
  <w:footnote w:id="174">
    <w:p w14:paraId="0789876B" w14:textId="77777777" w:rsidR="00352B78" w:rsidRDefault="00352B78" w:rsidP="002C0325">
      <w:pPr>
        <w:pStyle w:val="FootnoteText"/>
      </w:pPr>
      <w:r w:rsidRPr="000B6BFA">
        <w:rPr>
          <w:rStyle w:val="FootnoteReference"/>
          <w:sz w:val="20"/>
        </w:rPr>
        <w:footnoteRef/>
      </w:r>
      <w:r>
        <w:t xml:space="preserve"> </w:t>
      </w:r>
      <w:r w:rsidRPr="0063138B">
        <w:t>Grants awarded at regional and local level are also included</w:t>
      </w:r>
      <w:r>
        <w:t xml:space="preserve"> in the </w:t>
      </w:r>
      <w:r w:rsidRPr="009B5F4B">
        <w:t>National Subsidies Database contain</w:t>
      </w:r>
      <w:r>
        <w:t>ing</w:t>
      </w:r>
      <w:r w:rsidRPr="009B5F4B">
        <w:t xml:space="preserve"> all calls for proposals</w:t>
      </w:r>
      <w:r>
        <w:t xml:space="preserve"> (</w:t>
      </w:r>
      <w:hyperlink r:id="rId88" w:history="1">
        <w:r>
          <w:rPr>
            <w:rStyle w:val="Hyperlink"/>
          </w:rPr>
          <w:t>SNPSAP (hacienda.gob.es)</w:t>
        </w:r>
      </w:hyperlink>
      <w:r>
        <w:t>).</w:t>
      </w:r>
    </w:p>
  </w:footnote>
  <w:footnote w:id="175">
    <w:p w14:paraId="421CBDD5" w14:textId="77777777" w:rsidR="00352B78" w:rsidRPr="000B6BFA" w:rsidRDefault="00352B78" w:rsidP="002C0325">
      <w:pPr>
        <w:pStyle w:val="FootnoteText"/>
        <w:jc w:val="both"/>
        <w:rPr>
          <w:b/>
          <w:bCs/>
        </w:rPr>
      </w:pPr>
      <w:r w:rsidRPr="000B6BFA">
        <w:rPr>
          <w:rStyle w:val="FootnoteReference"/>
          <w:sz w:val="20"/>
        </w:rPr>
        <w:footnoteRef/>
      </w:r>
      <w:r>
        <w:t xml:space="preserve"> As reported by</w:t>
      </w:r>
      <w:r w:rsidRPr="000A62A3">
        <w:t xml:space="preserve"> </w:t>
      </w:r>
      <w:r w:rsidRPr="000B6BFA">
        <w:rPr>
          <w:b/>
          <w:bCs/>
        </w:rPr>
        <w:t>D</w:t>
      </w:r>
      <w:r>
        <w:rPr>
          <w:b/>
          <w:bCs/>
        </w:rPr>
        <w:t>enmark</w:t>
      </w:r>
      <w:r w:rsidRPr="000A62A3">
        <w:t xml:space="preserve">, </w:t>
      </w:r>
      <w:r>
        <w:rPr>
          <w:b/>
          <w:bCs/>
        </w:rPr>
        <w:t>Croatia</w:t>
      </w:r>
      <w:r w:rsidRPr="000A62A3">
        <w:t xml:space="preserve"> and </w:t>
      </w:r>
      <w:r w:rsidRPr="000B6BFA">
        <w:rPr>
          <w:b/>
          <w:bCs/>
        </w:rPr>
        <w:t>F</w:t>
      </w:r>
      <w:r>
        <w:rPr>
          <w:b/>
          <w:bCs/>
        </w:rPr>
        <w:t>rance</w:t>
      </w:r>
      <w:r w:rsidRPr="002C0130">
        <w:t xml:space="preserve">. </w:t>
      </w:r>
    </w:p>
  </w:footnote>
  <w:footnote w:id="176">
    <w:p w14:paraId="63AB636D" w14:textId="77777777" w:rsidR="00352B78" w:rsidRPr="000B6BFA" w:rsidRDefault="00352B78" w:rsidP="00E97D9D">
      <w:pPr>
        <w:pStyle w:val="FootnoteText"/>
        <w:jc w:val="both"/>
        <w:rPr>
          <w:lang w:val="fr-BE"/>
        </w:rPr>
      </w:pPr>
      <w:r w:rsidRPr="000B6BFA">
        <w:rPr>
          <w:rStyle w:val="FootnoteReference"/>
          <w:sz w:val="20"/>
        </w:rPr>
        <w:footnoteRef/>
      </w:r>
      <w:r>
        <w:t xml:space="preserve"> A</w:t>
      </w:r>
      <w:r w:rsidRPr="00AD71AB">
        <w:t xml:space="preserve"> new article was introduced through the law of 23 December 2022 concerning the State revenue and expenditure budget for the financial year 2023</w:t>
      </w:r>
      <w:r>
        <w:t xml:space="preserve"> to facilitate funding for</w:t>
      </w:r>
      <w:r w:rsidRPr="00AD71AB">
        <w:t xml:space="preserve"> projects in the field of human rights in </w:t>
      </w:r>
      <w:r>
        <w:t>Luxembourg</w:t>
      </w:r>
      <w:r w:rsidRPr="00AD71AB">
        <w:t>.</w:t>
      </w:r>
      <w:r>
        <w:t xml:space="preserve"> </w:t>
      </w:r>
      <w:r w:rsidRPr="000B6BFA">
        <w:rPr>
          <w:lang w:val="fr-BE"/>
        </w:rPr>
        <w:t>Seven projects were selected for the call for projects 2023 (</w:t>
      </w:r>
      <w:hyperlink r:id="rId89" w:history="1">
        <w:r w:rsidRPr="000B6BFA">
          <w:rPr>
            <w:rStyle w:val="Hyperlink"/>
            <w:lang w:val="fr-BE"/>
          </w:rPr>
          <w:t>Appel à projets 2023 - Promouvoir les droits humains - Projets sélectionnés - Ministère de la Justice // Le gouvernement luxembourgeois</w:t>
        </w:r>
      </w:hyperlink>
      <w:r w:rsidRPr="000B6BFA">
        <w:rPr>
          <w:lang w:val="fr-BE"/>
        </w:rPr>
        <w:t>).</w:t>
      </w:r>
    </w:p>
  </w:footnote>
  <w:footnote w:id="177">
    <w:p w14:paraId="41123EA4" w14:textId="77777777" w:rsidR="00352B78" w:rsidRPr="00D673CE" w:rsidRDefault="00352B78" w:rsidP="002C0325">
      <w:pPr>
        <w:pStyle w:val="FootnoteText"/>
        <w:jc w:val="both"/>
      </w:pPr>
      <w:r w:rsidRPr="000B6BFA">
        <w:rPr>
          <w:rStyle w:val="FootnoteReference"/>
          <w:sz w:val="20"/>
        </w:rPr>
        <w:footnoteRef/>
      </w:r>
      <w:r>
        <w:t xml:space="preserve"> Similarly, i</w:t>
      </w:r>
      <w:r w:rsidRPr="00D673CE">
        <w:t xml:space="preserve">n </w:t>
      </w:r>
      <w:r>
        <w:rPr>
          <w:b/>
          <w:bCs/>
        </w:rPr>
        <w:t>Austria</w:t>
      </w:r>
      <w:r w:rsidRPr="00D673CE">
        <w:t>, projects on facilitating access to the labour market by the Roma are implemented by Roma NGOs.</w:t>
      </w:r>
      <w:r>
        <w:t xml:space="preserve"> </w:t>
      </w:r>
      <w:r>
        <w:rPr>
          <w:b/>
          <w:bCs/>
          <w:noProof/>
          <w:lang w:val="en-GB"/>
        </w:rPr>
        <w:t xml:space="preserve">Denmark </w:t>
      </w:r>
      <w:r>
        <w:rPr>
          <w:noProof/>
          <w:lang w:val="en-GB"/>
        </w:rPr>
        <w:t xml:space="preserve">funds CSOs to implement action plans, strategies and policy initiatives at national, regional and local levels. </w:t>
      </w:r>
      <w:r w:rsidRPr="00232936">
        <w:rPr>
          <w:noProof/>
          <w:lang w:val="en-GB"/>
        </w:rPr>
        <w:t xml:space="preserve">In </w:t>
      </w:r>
      <w:r>
        <w:rPr>
          <w:b/>
          <w:bCs/>
          <w:noProof/>
          <w:lang w:val="en-GB"/>
        </w:rPr>
        <w:t>Croatia</w:t>
      </w:r>
      <w:r w:rsidRPr="00232936">
        <w:rPr>
          <w:noProof/>
          <w:lang w:val="en-GB"/>
        </w:rPr>
        <w:t>, funding is provided to associations of persons with disabilities and cultural institutions for making cultural content more accessible</w:t>
      </w:r>
      <w:r>
        <w:rPr>
          <w:noProof/>
          <w:lang w:val="en-GB"/>
        </w:rPr>
        <w:t xml:space="preserve">. </w:t>
      </w:r>
      <w:r w:rsidRPr="00BB3B27">
        <w:rPr>
          <w:noProof/>
          <w:lang w:val="en-GB"/>
        </w:rPr>
        <w:t xml:space="preserve">In </w:t>
      </w:r>
      <w:r>
        <w:rPr>
          <w:b/>
          <w:bCs/>
          <w:noProof/>
          <w:lang w:val="en-GB"/>
        </w:rPr>
        <w:t>Sweden</w:t>
      </w:r>
      <w:r w:rsidRPr="00BB3B27">
        <w:rPr>
          <w:noProof/>
          <w:lang w:val="en-GB"/>
        </w:rPr>
        <w:t>, the government provides grants explicitly aimed at supporting civil society</w:t>
      </w:r>
      <w:r>
        <w:rPr>
          <w:noProof/>
          <w:lang w:val="en-GB"/>
        </w:rPr>
        <w:t xml:space="preserve"> (see </w:t>
      </w:r>
      <w:r w:rsidRPr="00633884">
        <w:t>Ordinance (20</w:t>
      </w:r>
      <w:r>
        <w:t>21</w:t>
      </w:r>
      <w:r w:rsidRPr="00633884">
        <w:t>:</w:t>
      </w:r>
      <w:r>
        <w:t>227</w:t>
      </w:r>
      <w:r w:rsidRPr="00633884">
        <w:t>)</w:t>
      </w:r>
      <w:r>
        <w:t xml:space="preserve">), and </w:t>
      </w:r>
      <w:r>
        <w:rPr>
          <w:noProof/>
          <w:lang w:val="en-GB"/>
        </w:rPr>
        <w:t>grants funding to pensioners’ organisations, who support their members in several areas (</w:t>
      </w:r>
      <w:r>
        <w:t>O</w:t>
      </w:r>
      <w:r w:rsidRPr="00461B88">
        <w:t>rdinance (2003:752)</w:t>
      </w:r>
      <w:r>
        <w:t>)</w:t>
      </w:r>
      <w:r w:rsidRPr="00461B88">
        <w:t>.</w:t>
      </w:r>
    </w:p>
  </w:footnote>
  <w:footnote w:id="178">
    <w:p w14:paraId="73F9DE96" w14:textId="77777777" w:rsidR="00352B78" w:rsidRPr="00F01EB1" w:rsidRDefault="00352B78" w:rsidP="002C0325">
      <w:pPr>
        <w:pStyle w:val="FootnoteText"/>
        <w:jc w:val="both"/>
      </w:pPr>
      <w:r w:rsidRPr="000B6BFA">
        <w:rPr>
          <w:rStyle w:val="FootnoteReference"/>
          <w:sz w:val="20"/>
        </w:rPr>
        <w:footnoteRef/>
      </w:r>
      <w:r>
        <w:t xml:space="preserve"> </w:t>
      </w:r>
      <w:hyperlink r:id="rId90" w:history="1">
        <w:r>
          <w:rPr>
            <w:rStyle w:val="Hyperlink"/>
          </w:rPr>
          <w:t>Hannah Arendt Initiative (hannah-arendt-initiative.de)</w:t>
        </w:r>
      </w:hyperlink>
      <w:r w:rsidRPr="001C5629">
        <w:t xml:space="preserve">. The initiative is </w:t>
      </w:r>
      <w:r w:rsidRPr="001F2E26">
        <w:t xml:space="preserve">funded by </w:t>
      </w:r>
      <w:r>
        <w:t>t</w:t>
      </w:r>
      <w:r w:rsidRPr="001F2E26">
        <w:t>he German Foreign Office and the German Federal Commissioner for Culture and the Media</w:t>
      </w:r>
      <w:r>
        <w:t xml:space="preserve"> and</w:t>
      </w:r>
      <w:r w:rsidRPr="001C5629">
        <w:t xml:space="preserve"> implemented </w:t>
      </w:r>
      <w:r>
        <w:t>in cooperation</w:t>
      </w:r>
      <w:r w:rsidRPr="001C5629">
        <w:t xml:space="preserve"> with Deutsche Welle Academy, the European Fund for Journalism in Exile, MICT – Media in Cooperation and Transition and the European Center for Press and Media Freedom and others.</w:t>
      </w:r>
    </w:p>
  </w:footnote>
  <w:footnote w:id="179">
    <w:p w14:paraId="53DD057F" w14:textId="77777777" w:rsidR="00352B78" w:rsidRPr="00A63E45" w:rsidRDefault="00352B78" w:rsidP="008D52F7">
      <w:pPr>
        <w:pStyle w:val="FootnoteText"/>
        <w:jc w:val="both"/>
      </w:pPr>
      <w:r w:rsidRPr="000B6BFA">
        <w:rPr>
          <w:rStyle w:val="FootnoteReference"/>
          <w:sz w:val="20"/>
        </w:rPr>
        <w:footnoteRef/>
      </w:r>
      <w:r w:rsidRPr="008B0800">
        <w:t xml:space="preserve"> </w:t>
      </w:r>
      <w:r w:rsidRPr="000B6BFA">
        <w:t>Austria</w:t>
      </w:r>
      <w:r w:rsidRPr="008B0800">
        <w:t>, F</w:t>
      </w:r>
      <w:r w:rsidRPr="000B6BFA">
        <w:t>inland</w:t>
      </w:r>
      <w:r w:rsidRPr="008B0800">
        <w:t xml:space="preserve">, </w:t>
      </w:r>
      <w:r w:rsidRPr="000B6BFA">
        <w:t>Germany</w:t>
      </w:r>
      <w:r w:rsidRPr="008B0800">
        <w:t>, D</w:t>
      </w:r>
      <w:r w:rsidRPr="000B6BFA">
        <w:t>enmark</w:t>
      </w:r>
      <w:r w:rsidRPr="008B0800">
        <w:t>, E</w:t>
      </w:r>
      <w:r w:rsidRPr="000B6BFA">
        <w:t>stonia</w:t>
      </w:r>
      <w:r w:rsidRPr="008B0800">
        <w:t>, I</w:t>
      </w:r>
      <w:r w:rsidRPr="000B6BFA">
        <w:t>reland</w:t>
      </w:r>
      <w:r w:rsidRPr="008B0800">
        <w:t>, I</w:t>
      </w:r>
      <w:r w:rsidRPr="000B6BFA">
        <w:t>taly</w:t>
      </w:r>
      <w:r w:rsidRPr="008B0800">
        <w:t>, L</w:t>
      </w:r>
      <w:r w:rsidRPr="00292E4B">
        <w:t>uxembourg</w:t>
      </w:r>
      <w:r w:rsidRPr="008B0800">
        <w:t>, L</w:t>
      </w:r>
      <w:r w:rsidRPr="000B6BFA">
        <w:t>atvia</w:t>
      </w:r>
      <w:r w:rsidRPr="008B0800">
        <w:t>, P</w:t>
      </w:r>
      <w:r w:rsidRPr="000B6BFA">
        <w:t>oland</w:t>
      </w:r>
      <w:r w:rsidRPr="008B0800">
        <w:t>, R</w:t>
      </w:r>
      <w:r w:rsidRPr="000B6BFA">
        <w:t>omania</w:t>
      </w:r>
      <w:r w:rsidRPr="008B0800">
        <w:t>, S</w:t>
      </w:r>
      <w:r w:rsidRPr="000B6BFA">
        <w:t>weden</w:t>
      </w:r>
      <w:r w:rsidRPr="008B0800">
        <w:t>, S</w:t>
      </w:r>
      <w:r w:rsidRPr="000B6BFA">
        <w:t>lovenia</w:t>
      </w:r>
      <w:r w:rsidRPr="008B0800">
        <w:t>, S</w:t>
      </w:r>
      <w:r>
        <w:t>lovakia</w:t>
      </w:r>
      <w:r w:rsidRPr="008B0800">
        <w:t>.</w:t>
      </w:r>
    </w:p>
  </w:footnote>
  <w:footnote w:id="180">
    <w:p w14:paraId="6128AD48" w14:textId="77777777" w:rsidR="00352B78" w:rsidRPr="003B3B6F" w:rsidRDefault="00352B78" w:rsidP="00E21E46">
      <w:pPr>
        <w:pStyle w:val="FootnoteText"/>
        <w:jc w:val="both"/>
      </w:pPr>
      <w:r w:rsidRPr="000B6BFA">
        <w:rPr>
          <w:rStyle w:val="FootnoteReference"/>
          <w:sz w:val="20"/>
        </w:rPr>
        <w:footnoteRef/>
      </w:r>
      <w:r>
        <w:t xml:space="preserve"> </w:t>
      </w:r>
      <w:r w:rsidRPr="00224EAD">
        <w:rPr>
          <w:noProof/>
        </w:rPr>
        <w:t xml:space="preserve">The State Council of Social Action NGOs is </w:t>
      </w:r>
      <w:r>
        <w:rPr>
          <w:noProof/>
        </w:rPr>
        <w:t xml:space="preserve">furthermore </w:t>
      </w:r>
      <w:r w:rsidRPr="00224EAD">
        <w:rPr>
          <w:noProof/>
        </w:rPr>
        <w:t xml:space="preserve">mandated to ensure the exchange of information with the state administration on </w:t>
      </w:r>
      <w:r>
        <w:rPr>
          <w:noProof/>
        </w:rPr>
        <w:t>NGO</w:t>
      </w:r>
      <w:r w:rsidRPr="00224EAD">
        <w:rPr>
          <w:noProof/>
        </w:rPr>
        <w:t xml:space="preserve"> fundin</w:t>
      </w:r>
      <w:r>
        <w:rPr>
          <w:noProof/>
        </w:rPr>
        <w:t xml:space="preserve">g </w:t>
      </w:r>
      <w:r w:rsidRPr="00224EAD">
        <w:rPr>
          <w:noProof/>
        </w:rPr>
        <w:t>in the social sector</w:t>
      </w:r>
      <w:r>
        <w:rPr>
          <w:noProof/>
        </w:rPr>
        <w:t xml:space="preserve"> (</w:t>
      </w:r>
      <w:hyperlink r:id="rId91" w:history="1">
        <w:r>
          <w:rPr>
            <w:rStyle w:val="Hyperlink"/>
          </w:rPr>
          <w:t>Plataforma de ONG de Acción Social | Convenios y Alianzas. Alianzas estatales (plataformaong.org)</w:t>
        </w:r>
      </w:hyperlink>
      <w:r>
        <w:rPr>
          <w:noProof/>
        </w:rPr>
        <w:t>).</w:t>
      </w:r>
    </w:p>
  </w:footnote>
  <w:footnote w:id="181">
    <w:p w14:paraId="708C7C51" w14:textId="77777777" w:rsidR="00352B78" w:rsidRPr="00DB5AF8" w:rsidRDefault="00352B78" w:rsidP="00E21E46">
      <w:pPr>
        <w:pStyle w:val="FootnoteText"/>
        <w:jc w:val="both"/>
      </w:pPr>
      <w:r w:rsidRPr="000B6BFA">
        <w:rPr>
          <w:rStyle w:val="FootnoteReference"/>
          <w:sz w:val="20"/>
        </w:rPr>
        <w:footnoteRef/>
      </w:r>
      <w:r>
        <w:t xml:space="preserve"> </w:t>
      </w:r>
      <w:r w:rsidRPr="002B2295">
        <w:t>Based on the provisions of the Government Emergency Ordinance No. 122/2022, art. 5, the Ministry of Investments and European Projects</w:t>
      </w:r>
      <w:r>
        <w:t xml:space="preserve"> coordinates</w:t>
      </w:r>
      <w:r w:rsidRPr="002B2295">
        <w:t xml:space="preserve"> the communication and dissemination of public information related to accessing the external funding</w:t>
      </w:r>
      <w:r>
        <w:t xml:space="preserve"> (</w:t>
      </w:r>
      <w:hyperlink r:id="rId92" w:history="1">
        <w:r>
          <w:rPr>
            <w:rStyle w:val="Hyperlink"/>
          </w:rPr>
          <w:t>Oportunități de finanțare UE (gov.ro)</w:t>
        </w:r>
      </w:hyperlink>
      <w:r>
        <w:t>).</w:t>
      </w:r>
    </w:p>
  </w:footnote>
  <w:footnote w:id="182">
    <w:p w14:paraId="588A3579" w14:textId="77777777" w:rsidR="00352B78" w:rsidRPr="001E1D54" w:rsidRDefault="00352B78" w:rsidP="008D52F7">
      <w:pPr>
        <w:pStyle w:val="FootnoteText"/>
        <w:jc w:val="both"/>
        <w:rPr>
          <w:rStyle w:val="Hyperlink"/>
        </w:rPr>
      </w:pPr>
      <w:r w:rsidRPr="000B6BFA">
        <w:rPr>
          <w:rStyle w:val="FootnoteReference"/>
          <w:sz w:val="20"/>
        </w:rPr>
        <w:footnoteRef/>
      </w:r>
      <w:r>
        <w:t xml:space="preserve"> In total, more than 30% </w:t>
      </w:r>
      <w:r w:rsidRPr="000D63C9">
        <w:t xml:space="preserve">of the organisations responding to the FRA’s civic space consultation reported having suffered from politically motivated funding </w:t>
      </w:r>
      <w:r w:rsidRPr="001E1D54">
        <w:t>cuts in 2023 (</w:t>
      </w:r>
      <w:r>
        <w:t>S</w:t>
      </w:r>
      <w:r w:rsidRPr="000B6BFA">
        <w:t xml:space="preserve">ee </w:t>
      </w:r>
      <w:r>
        <w:fldChar w:fldCharType="begin"/>
      </w:r>
      <w:r>
        <w:instrText>HYPERLINK "https://fra.europa.eu/sites/default/files/fra_uploads/report-key-findings-fra-civic-space-consultation-covering-2023.pdf"</w:instrText>
      </w:r>
      <w:r>
        <w:fldChar w:fldCharType="separate"/>
      </w:r>
      <w:r w:rsidRPr="001E1D54">
        <w:rPr>
          <w:rStyle w:val="Hyperlink"/>
        </w:rPr>
        <w:t>Report on key findings from</w:t>
      </w:r>
    </w:p>
    <w:p w14:paraId="49323B26" w14:textId="77777777" w:rsidR="00352B78" w:rsidRPr="0009540E" w:rsidRDefault="00352B78" w:rsidP="008D52F7">
      <w:pPr>
        <w:pStyle w:val="FootnoteText"/>
        <w:jc w:val="both"/>
      </w:pPr>
      <w:r w:rsidRPr="000B6BFA">
        <w:rPr>
          <w:rStyle w:val="Hyperlink"/>
        </w:rPr>
        <w:t>FRA's civic space consultation covering 2023</w:t>
      </w:r>
      <w:r>
        <w:fldChar w:fldCharType="end"/>
      </w:r>
      <w:r w:rsidRPr="001E1D54">
        <w:t xml:space="preserve">, </w:t>
      </w:r>
      <w:r>
        <w:t>figure</w:t>
      </w:r>
      <w:r w:rsidRPr="000B6BFA">
        <w:t xml:space="preserve"> 11</w:t>
      </w:r>
      <w:r>
        <w:t>, p. 9</w:t>
      </w:r>
      <w:r w:rsidRPr="001E1D54">
        <w:t>) and in 2022 (</w:t>
      </w:r>
      <w:r w:rsidRPr="009868E1">
        <w:t xml:space="preserve">See </w:t>
      </w:r>
      <w:hyperlink r:id="rId93" w:history="1">
        <w:r w:rsidRPr="001E1D54">
          <w:rPr>
            <w:rStyle w:val="Hyperlink"/>
          </w:rPr>
          <w:t>FRA 2023, Protecting civil society - update 2023</w:t>
        </w:r>
      </w:hyperlink>
      <w:r w:rsidRPr="001E1D54">
        <w:t xml:space="preserve">, </w:t>
      </w:r>
      <w:r>
        <w:t>figure</w:t>
      </w:r>
      <w:r w:rsidRPr="009868E1">
        <w:t xml:space="preserve"> 5</w:t>
      </w:r>
      <w:r>
        <w:t>, p. 28</w:t>
      </w:r>
      <w:r w:rsidRPr="009868E1">
        <w:t>).</w:t>
      </w:r>
    </w:p>
  </w:footnote>
  <w:footnote w:id="183">
    <w:p w14:paraId="2713F2A1" w14:textId="77777777" w:rsidR="00352B78" w:rsidRPr="003C2872" w:rsidRDefault="00352B78" w:rsidP="00E21E46">
      <w:pPr>
        <w:pStyle w:val="FootnoteText"/>
        <w:jc w:val="both"/>
      </w:pPr>
      <w:r w:rsidRPr="000B6BFA">
        <w:rPr>
          <w:rStyle w:val="FootnoteReference"/>
          <w:sz w:val="20"/>
        </w:rPr>
        <w:footnoteRef/>
      </w:r>
      <w:r w:rsidRPr="003C2872">
        <w:t xml:space="preserve"> </w:t>
      </w:r>
      <w:hyperlink r:id="rId94" w:history="1">
        <w:r w:rsidRPr="009868E1">
          <w:rPr>
            <w:rStyle w:val="Hyperlink"/>
          </w:rPr>
          <w:t>Report on key findings from</w:t>
        </w:r>
        <w:r>
          <w:rPr>
            <w:rStyle w:val="Hyperlink"/>
          </w:rPr>
          <w:t xml:space="preserve"> </w:t>
        </w:r>
        <w:r w:rsidRPr="009868E1">
          <w:rPr>
            <w:rStyle w:val="Hyperlink"/>
            <w:lang w:val="en-US"/>
          </w:rPr>
          <w:t>FRA's civic space consultation covering 2023</w:t>
        </w:r>
      </w:hyperlink>
      <w:r>
        <w:t>, figure 13 and figure 15, pp. 12 and 14.</w:t>
      </w:r>
    </w:p>
  </w:footnote>
  <w:footnote w:id="184">
    <w:p w14:paraId="434FCB74" w14:textId="77777777" w:rsidR="00352B78" w:rsidRDefault="00352B78" w:rsidP="008D52F7">
      <w:pPr>
        <w:pStyle w:val="FootnoteText"/>
        <w:jc w:val="both"/>
      </w:pPr>
      <w:r w:rsidRPr="000B6BFA">
        <w:rPr>
          <w:rStyle w:val="FootnoteReference"/>
          <w:sz w:val="20"/>
        </w:rPr>
        <w:footnoteRef/>
      </w:r>
      <w:r>
        <w:t>Online consultation through the Fundamental Rights Platform, Question 7: “</w:t>
      </w:r>
      <w:r w:rsidRPr="005B4667">
        <w:t>What are</w:t>
      </w:r>
      <w:r>
        <w:t xml:space="preserve"> your </w:t>
      </w:r>
      <w:r w:rsidRPr="005B4667">
        <w:t>main challenges with national</w:t>
      </w:r>
      <w:r>
        <w:t xml:space="preserve"> funding </w:t>
      </w:r>
      <w:r w:rsidRPr="005B4667">
        <w:t>for fundamental rights issued by your Member State</w:t>
      </w:r>
      <w:r>
        <w:t>?”.</w:t>
      </w:r>
    </w:p>
  </w:footnote>
  <w:footnote w:id="185">
    <w:p w14:paraId="673CE71F" w14:textId="77777777" w:rsidR="00352B78" w:rsidRPr="001E239A" w:rsidRDefault="00352B78" w:rsidP="002C0325">
      <w:pPr>
        <w:pStyle w:val="FootnoteText"/>
        <w:jc w:val="both"/>
      </w:pPr>
      <w:r w:rsidRPr="000B6BFA">
        <w:rPr>
          <w:rStyle w:val="FootnoteReference"/>
          <w:sz w:val="20"/>
        </w:rPr>
        <w:footnoteRef/>
      </w:r>
      <w:r>
        <w:t xml:space="preserve"> As reported for instance by </w:t>
      </w:r>
      <w:r>
        <w:rPr>
          <w:b/>
          <w:bCs/>
        </w:rPr>
        <w:t>Croatia</w:t>
      </w:r>
      <w:r w:rsidRPr="001E239A">
        <w:t xml:space="preserve">, </w:t>
      </w:r>
      <w:r>
        <w:rPr>
          <w:b/>
          <w:bCs/>
        </w:rPr>
        <w:t>Italy</w:t>
      </w:r>
      <w:r w:rsidRPr="001E239A">
        <w:t xml:space="preserve">, </w:t>
      </w:r>
      <w:r>
        <w:rPr>
          <w:b/>
          <w:bCs/>
        </w:rPr>
        <w:t>Sweden</w:t>
      </w:r>
      <w:r>
        <w:t>.</w:t>
      </w:r>
    </w:p>
  </w:footnote>
  <w:footnote w:id="186">
    <w:p w14:paraId="267B8321" w14:textId="77777777" w:rsidR="00352B78" w:rsidRPr="00725944" w:rsidRDefault="00352B78" w:rsidP="002C0325">
      <w:pPr>
        <w:pStyle w:val="FootnoteText"/>
        <w:jc w:val="both"/>
      </w:pPr>
      <w:r w:rsidRPr="000B6BFA">
        <w:rPr>
          <w:rStyle w:val="FootnoteReference"/>
          <w:sz w:val="20"/>
        </w:rPr>
        <w:footnoteRef/>
      </w:r>
      <w:r>
        <w:t xml:space="preserve"> E</w:t>
      </w:r>
      <w:r w:rsidRPr="00725944">
        <w:t>.g. the Swiss-</w:t>
      </w:r>
      <w:r w:rsidRPr="000B6BFA">
        <w:rPr>
          <w:b/>
          <w:bCs/>
        </w:rPr>
        <w:t>Croatian</w:t>
      </w:r>
      <w:r w:rsidRPr="00725944">
        <w:t xml:space="preserve"> Cooperation Programme</w:t>
      </w:r>
      <w:r>
        <w:t>.</w:t>
      </w:r>
    </w:p>
  </w:footnote>
  <w:footnote w:id="187">
    <w:p w14:paraId="6B624DEC" w14:textId="77777777" w:rsidR="00352B78" w:rsidRPr="000B6BFA" w:rsidRDefault="00352B78" w:rsidP="002C0325">
      <w:pPr>
        <w:pStyle w:val="FootnoteText"/>
        <w:jc w:val="both"/>
        <w:rPr>
          <w:lang w:val="it-IT"/>
        </w:rPr>
      </w:pPr>
      <w:r w:rsidRPr="000B6BFA">
        <w:footnoteRef/>
      </w:r>
      <w:r w:rsidRPr="000B6BFA">
        <w:rPr>
          <w:lang w:val="it-IT"/>
        </w:rPr>
        <w:t xml:space="preserve"> </w:t>
      </w:r>
      <w:hyperlink r:id="rId95" w:history="1">
        <w:r w:rsidRPr="000B6BFA">
          <w:rPr>
            <w:rStyle w:val="Hyperlink"/>
            <w:lang w:val="it-IT"/>
          </w:rPr>
          <w:t>776-lista-proiecte-apel-1-ro-sanatate.pdf (eeagrants.ro)</w:t>
        </w:r>
      </w:hyperlink>
      <w:r w:rsidRPr="000B6BFA">
        <w:rPr>
          <w:lang w:val="it-IT"/>
        </w:rPr>
        <w:t xml:space="preserve">. </w:t>
      </w:r>
    </w:p>
  </w:footnote>
  <w:footnote w:id="188">
    <w:p w14:paraId="355434C5" w14:textId="77777777" w:rsidR="00352B78" w:rsidRPr="004134C4" w:rsidRDefault="00352B78" w:rsidP="002C0325">
      <w:pPr>
        <w:pStyle w:val="FootnoteText"/>
        <w:jc w:val="both"/>
      </w:pPr>
      <w:r w:rsidRPr="000B6BFA">
        <w:rPr>
          <w:rStyle w:val="FootnoteReference"/>
          <w:sz w:val="20"/>
        </w:rPr>
        <w:footnoteRef/>
      </w:r>
      <w:r>
        <w:t xml:space="preserve"> </w:t>
      </w:r>
      <w:hyperlink r:id="rId96" w:history="1">
        <w:r w:rsidRPr="005C6733">
          <w:rPr>
            <w:rStyle w:val="Hyperlink"/>
          </w:rPr>
          <w:t>Barnahus v Sloveniji (skupni projekt Evropske unije in Sveta Evrope)</w:t>
        </w:r>
      </w:hyperlink>
      <w:r>
        <w:t xml:space="preserve">; </w:t>
      </w:r>
      <w:r w:rsidRPr="00335B9B">
        <w:t>Improving the juvenile justice systems and strengthening the education and training of penitentiary staff in Slovenia</w:t>
      </w:r>
      <w:r>
        <w:t>.</w:t>
      </w:r>
    </w:p>
  </w:footnote>
  <w:footnote w:id="189">
    <w:p w14:paraId="7A7941E7" w14:textId="77777777" w:rsidR="00352B78" w:rsidRPr="00740F47" w:rsidRDefault="00352B78" w:rsidP="002C0325">
      <w:pPr>
        <w:pStyle w:val="FootnoteText"/>
        <w:jc w:val="both"/>
      </w:pPr>
      <w:r w:rsidRPr="000B6BFA">
        <w:rPr>
          <w:rStyle w:val="FootnoteReference"/>
          <w:sz w:val="20"/>
        </w:rPr>
        <w:footnoteRef/>
      </w:r>
      <w:r>
        <w:t xml:space="preserve"> Contributions were received from ENNHRI and Equinet</w:t>
      </w:r>
      <w:r w:rsidRPr="000B6BFA">
        <w:t>.</w:t>
      </w:r>
    </w:p>
  </w:footnote>
  <w:footnote w:id="190">
    <w:p w14:paraId="18E2410B" w14:textId="77777777" w:rsidR="00352B78" w:rsidRPr="00381C5A" w:rsidRDefault="00352B78" w:rsidP="002C0325">
      <w:pPr>
        <w:pStyle w:val="FootnoteText"/>
      </w:pPr>
      <w:r w:rsidRPr="000B6BFA">
        <w:rPr>
          <w:rStyle w:val="FootnoteReference"/>
          <w:sz w:val="20"/>
        </w:rPr>
        <w:footnoteRef/>
      </w:r>
      <w:r>
        <w:t xml:space="preserve"> Charter strategy, pp. 9, 11.</w:t>
      </w:r>
    </w:p>
  </w:footnote>
  <w:footnote w:id="191">
    <w:p w14:paraId="3AE5FBDE" w14:textId="77777777" w:rsidR="00352B78" w:rsidRPr="003E3FD3" w:rsidRDefault="00352B78" w:rsidP="002C0325">
      <w:pPr>
        <w:pStyle w:val="FootnoteText"/>
        <w:jc w:val="both"/>
      </w:pPr>
      <w:r w:rsidRPr="000B6BFA">
        <w:rPr>
          <w:rStyle w:val="FootnoteReference"/>
          <w:sz w:val="20"/>
        </w:rPr>
        <w:footnoteRef/>
      </w:r>
      <w:r>
        <w:t xml:space="preserve"> </w:t>
      </w:r>
      <w:hyperlink r:id="rId97" w:history="1">
        <w:r w:rsidRPr="003E3FD3">
          <w:rPr>
            <w:rStyle w:val="Hyperlink"/>
          </w:rPr>
          <w:t>ENNHRI-Statement-on-NHRIs-Monitoring-Fundamental-Rights-Compliance-Of-EU-Funds.pdf</w:t>
        </w:r>
      </w:hyperlink>
      <w:r w:rsidRPr="003E3FD3">
        <w:t>.</w:t>
      </w:r>
      <w:r w:rsidDel="00EC58B7">
        <w:t xml:space="preserve"> </w:t>
      </w:r>
    </w:p>
  </w:footnote>
  <w:footnote w:id="192">
    <w:p w14:paraId="23FC4852" w14:textId="77777777" w:rsidR="00352B78" w:rsidRPr="005E25A3" w:rsidRDefault="00352B78" w:rsidP="002C0325">
      <w:pPr>
        <w:pStyle w:val="FootnoteText"/>
        <w:jc w:val="both"/>
      </w:pPr>
      <w:r w:rsidRPr="000B6BFA">
        <w:rPr>
          <w:rStyle w:val="FootnoteReference"/>
          <w:sz w:val="20"/>
        </w:rPr>
        <w:footnoteRef/>
      </w:r>
      <w:r>
        <w:t xml:space="preserve"> </w:t>
      </w:r>
      <w:r w:rsidRPr="005E25A3">
        <w:t>Principles relating to the Status of National Institutions (The Paris Principles), General Assembly resolution 48/134 of 20 December 1993.</w:t>
      </w:r>
      <w:r>
        <w:t xml:space="preserve"> </w:t>
      </w:r>
    </w:p>
  </w:footnote>
  <w:footnote w:id="193">
    <w:p w14:paraId="206F2F02" w14:textId="77777777" w:rsidR="00352B78" w:rsidRPr="00D364B1" w:rsidRDefault="00352B78" w:rsidP="00326EA8">
      <w:pPr>
        <w:pStyle w:val="FootnoteText"/>
        <w:jc w:val="both"/>
        <w:rPr>
          <w:noProof/>
          <w:lang w:val="de-DE"/>
        </w:rPr>
      </w:pPr>
      <w:r w:rsidRPr="000B6BFA">
        <w:rPr>
          <w:rStyle w:val="FootnoteReference"/>
          <w:sz w:val="20"/>
        </w:rPr>
        <w:footnoteRef/>
      </w:r>
      <w:r w:rsidRPr="00D364B1">
        <w:rPr>
          <w:lang w:val="de-DE"/>
        </w:rPr>
        <w:t xml:space="preserve"> </w:t>
      </w:r>
      <w:r w:rsidRPr="00D364B1">
        <w:rPr>
          <w:noProof/>
          <w:lang w:val="de-DE"/>
        </w:rPr>
        <w:t>The Federal Anti-Discrimination Agency (Antidiskriminierungsstelle des Bundes (</w:t>
      </w:r>
      <w:r w:rsidRPr="00D364B1">
        <w:rPr>
          <w:b/>
          <w:bCs/>
          <w:noProof/>
          <w:lang w:val="de-DE"/>
        </w:rPr>
        <w:t>FADA)</w:t>
      </w:r>
      <w:r w:rsidRPr="00D364B1">
        <w:rPr>
          <w:noProof/>
          <w:lang w:val="de-DE"/>
        </w:rPr>
        <w:t>.</w:t>
      </w:r>
    </w:p>
  </w:footnote>
  <w:footnote w:id="194">
    <w:p w14:paraId="646B2290" w14:textId="77777777" w:rsidR="00352B78" w:rsidRPr="00D364B1" w:rsidRDefault="00352B78" w:rsidP="00E21E46">
      <w:pPr>
        <w:pStyle w:val="FootnoteText"/>
        <w:jc w:val="both"/>
        <w:rPr>
          <w:lang w:val="de-DE"/>
        </w:rPr>
      </w:pPr>
      <w:r w:rsidRPr="000B6BFA">
        <w:rPr>
          <w:rStyle w:val="FootnoteReference"/>
          <w:sz w:val="20"/>
        </w:rPr>
        <w:footnoteRef/>
      </w:r>
      <w:r w:rsidRPr="00D364B1">
        <w:rPr>
          <w:lang w:val="de-DE"/>
        </w:rPr>
        <w:t xml:space="preserve"> </w:t>
      </w:r>
      <w:hyperlink r:id="rId98" w:history="1">
        <w:r w:rsidRPr="00D364B1">
          <w:rPr>
            <w:rStyle w:val="Hyperlink"/>
            <w:lang w:val="de-DE"/>
          </w:rPr>
          <w:t>Antidiskriminierungsstelle - Homepage - Der Link war falsch, die Adresse ist die richtige!</w:t>
        </w:r>
      </w:hyperlink>
      <w:r w:rsidRPr="00D364B1">
        <w:rPr>
          <w:lang w:val="de-DE"/>
        </w:rPr>
        <w:t xml:space="preserve">; </w:t>
      </w:r>
      <w:hyperlink r:id="rId99" w:history="1">
        <w:r w:rsidRPr="00D364B1">
          <w:rPr>
            <w:rStyle w:val="Hyperlink"/>
            <w:lang w:val="de-DE"/>
          </w:rPr>
          <w:t>General Act on Equal Treatment (Allgemeines Gleichbehandlungsgesetz – AGG) (gesetze-im-internet.de)</w:t>
        </w:r>
      </w:hyperlink>
      <w:r w:rsidRPr="00D364B1">
        <w:rPr>
          <w:lang w:val="de-DE"/>
        </w:rPr>
        <w:t>.</w:t>
      </w:r>
    </w:p>
  </w:footnote>
  <w:footnote w:id="195">
    <w:p w14:paraId="7D19C90C" w14:textId="77777777" w:rsidR="00352B78" w:rsidRPr="00E85A9B" w:rsidRDefault="00352B78" w:rsidP="00E21E46">
      <w:pPr>
        <w:pStyle w:val="FootnoteText"/>
        <w:jc w:val="both"/>
      </w:pPr>
      <w:r w:rsidRPr="000B6BFA">
        <w:rPr>
          <w:rStyle w:val="FootnoteReference"/>
          <w:sz w:val="20"/>
        </w:rPr>
        <w:footnoteRef/>
      </w:r>
      <w:r w:rsidRPr="00E85A9B">
        <w:rPr>
          <w:rStyle w:val="Hyperlink"/>
        </w:rPr>
        <w:t xml:space="preserve"> </w:t>
      </w:r>
      <w:hyperlink r:id="rId100" w:history="1">
        <w:r>
          <w:rPr>
            <w:rStyle w:val="Hyperlink"/>
          </w:rPr>
          <w:t>Strategy Statement 2022-2024 - IHREC - Irish Human Rights and Equality Commission</w:t>
        </w:r>
      </w:hyperlink>
      <w:r w:rsidRPr="00E85A9B">
        <w:t xml:space="preserve">. </w:t>
      </w:r>
    </w:p>
  </w:footnote>
  <w:footnote w:id="196">
    <w:p w14:paraId="6142D049" w14:textId="77777777" w:rsidR="00352B78" w:rsidRPr="005077A6" w:rsidRDefault="00352B78" w:rsidP="00326EA8">
      <w:pPr>
        <w:pStyle w:val="FootnoteText"/>
        <w:jc w:val="both"/>
      </w:pPr>
      <w:r w:rsidRPr="000B6BFA">
        <w:rPr>
          <w:rStyle w:val="FootnoteReference"/>
          <w:sz w:val="20"/>
        </w:rPr>
        <w:footnoteRef/>
      </w:r>
      <w:r>
        <w:t xml:space="preserve"> </w:t>
      </w:r>
      <w:r w:rsidRPr="005077A6">
        <w:t xml:space="preserve">Funded from the CERV call CERV-2022-CHAR-LITI. The project </w:t>
      </w:r>
      <w:r>
        <w:t>was</w:t>
      </w:r>
      <w:r w:rsidRPr="005077A6">
        <w:t xml:space="preserve"> implemented from January 2023 to June 2024</w:t>
      </w:r>
      <w:r>
        <w:t>;</w:t>
      </w:r>
      <w:r>
        <w:rPr>
          <w:rStyle w:val="Hyperlink"/>
        </w:rPr>
        <w:t xml:space="preserve"> </w:t>
      </w:r>
      <w:hyperlink r:id="rId101" w:history="1">
        <w:r>
          <w:rPr>
            <w:rStyle w:val="Hyperlink"/>
          </w:rPr>
          <w:t>Rooting for Rights - aditus foundation</w:t>
        </w:r>
      </w:hyperlink>
      <w:r>
        <w:t xml:space="preserve">. </w:t>
      </w:r>
    </w:p>
  </w:footnote>
  <w:footnote w:id="197">
    <w:p w14:paraId="5B3D7555" w14:textId="77777777" w:rsidR="00352B78" w:rsidRPr="0095662E" w:rsidRDefault="00352B78" w:rsidP="002C0325">
      <w:pPr>
        <w:pStyle w:val="FootnoteText"/>
        <w:jc w:val="both"/>
      </w:pPr>
      <w:r w:rsidRPr="000B6BFA">
        <w:rPr>
          <w:rStyle w:val="FootnoteReference"/>
          <w:sz w:val="20"/>
        </w:rPr>
        <w:footnoteRef/>
      </w:r>
      <w:r>
        <w:t xml:space="preserve"> </w:t>
      </w:r>
      <w:hyperlink r:id="rId102" w:history="1">
        <w:r>
          <w:rPr>
            <w:rStyle w:val="Hyperlink"/>
          </w:rPr>
          <w:t>Supporting National Human Rights Institutions in monitoring fundamental rights and the fundamental rights aspects of the rule of law | European Union Agency for Fundamental Rights (europa.eu)</w:t>
        </w:r>
      </w:hyperlink>
      <w:r w:rsidRPr="0095662E">
        <w:t>;</w:t>
      </w:r>
      <w:r>
        <w:rPr>
          <w:rStyle w:val="Hyperlink"/>
        </w:rPr>
        <w:t xml:space="preserve"> </w:t>
      </w:r>
      <w:hyperlink r:id="rId103" w:history="1">
        <w:r>
          <w:rPr>
            <w:rStyle w:val="Hyperlink"/>
          </w:rPr>
          <w:t>Strengthening NHRIs to advance EU common values and the EU Charter of Fundamental Rights: outcomes of FRA Conference on NHRIs - ENNHRI</w:t>
        </w:r>
      </w:hyperlink>
      <w:r w:rsidRPr="0095662E">
        <w:t xml:space="preserve">. </w:t>
      </w:r>
    </w:p>
  </w:footnote>
  <w:footnote w:id="198">
    <w:p w14:paraId="5FCB1E89" w14:textId="77777777" w:rsidR="00352B78" w:rsidRPr="00A56AFA" w:rsidRDefault="00352B78" w:rsidP="002C0325">
      <w:pPr>
        <w:pStyle w:val="FootnoteText"/>
      </w:pPr>
      <w:r w:rsidRPr="000B6BFA">
        <w:rPr>
          <w:rStyle w:val="FootnoteReference"/>
          <w:sz w:val="20"/>
        </w:rPr>
        <w:footnoteRef/>
      </w:r>
      <w:r>
        <w:t xml:space="preserve"> </w:t>
      </w:r>
      <w:r w:rsidRPr="000B6BFA">
        <w:t xml:space="preserve">See </w:t>
      </w:r>
      <w:r>
        <w:t>3.8.2. above.</w:t>
      </w:r>
    </w:p>
  </w:footnote>
  <w:footnote w:id="199">
    <w:p w14:paraId="3DD022A0" w14:textId="7310B920" w:rsidR="00352B78" w:rsidRPr="00F019E0" w:rsidRDefault="00352B78" w:rsidP="00E21E46">
      <w:pPr>
        <w:pStyle w:val="FootnoteText"/>
        <w:jc w:val="both"/>
      </w:pPr>
      <w:r w:rsidRPr="00986E86">
        <w:rPr>
          <w:rStyle w:val="FootnoteReference"/>
          <w:sz w:val="18"/>
          <w:szCs w:val="18"/>
        </w:rPr>
        <w:footnoteRef/>
      </w:r>
      <w:r w:rsidRPr="00986E86">
        <w:rPr>
          <w:sz w:val="18"/>
          <w:szCs w:val="18"/>
        </w:rPr>
        <w:t xml:space="preserve"> </w:t>
      </w:r>
      <w:r>
        <w:t xml:space="preserve">Contribution of the Ombudswoman of the Republic of Croatia to the targeted consultations conducted in support of this report, p. 5. </w:t>
      </w:r>
      <w:r w:rsidRPr="00912CFD">
        <w:t>The 2024 Rule of Law Report, Country chapter on the rule of law situation in Croatia, p. 31, notes that according to the government, in 2023, funding trends shifted from short-term support towards multiannual systematic and continuous financing. Some CSOs nevertheless referred to the increasing administrative burden in applying for funds, as well as challenges in the prioritisation of funding.</w:t>
      </w:r>
    </w:p>
  </w:footnote>
  <w:footnote w:id="200">
    <w:p w14:paraId="67189E4A" w14:textId="225929C4" w:rsidR="00352B78" w:rsidRPr="00D8798B" w:rsidRDefault="00352B78" w:rsidP="00E21E46">
      <w:pPr>
        <w:pStyle w:val="FootnoteText"/>
        <w:jc w:val="both"/>
      </w:pPr>
      <w:r w:rsidRPr="00986E86">
        <w:rPr>
          <w:rStyle w:val="FootnoteReference"/>
          <w:sz w:val="18"/>
          <w:szCs w:val="18"/>
        </w:rPr>
        <w:footnoteRef/>
      </w:r>
      <w:r w:rsidRPr="00986E86">
        <w:rPr>
          <w:sz w:val="18"/>
          <w:szCs w:val="18"/>
        </w:rPr>
        <w:t xml:space="preserve"> </w:t>
      </w:r>
      <w:bookmarkStart w:id="23" w:name="_Hlk178604140"/>
      <w:r w:rsidRPr="00986E86">
        <w:t xml:space="preserve">Contribution of the Slovak National Centre for Human Rights to the targeted consultations conducted in support of this report, p. 4. </w:t>
      </w:r>
      <w:r>
        <w:t>The 2024 Rule of Law Report, Country chapter on the rule of law situation in Slovakia, p. 35, notes that the environment for CSOs has deteriorated, particularly for CSOs overseeing state activities or working in the area of human rights. Measures have been adopted to discontinue public financing to certain CSOs, notably LGBTIQ organisations, and activities such as the fight against disinformation, or for the protection of human rights.</w:t>
      </w:r>
    </w:p>
    <w:bookmarkEnd w:id="23"/>
  </w:footnote>
  <w:footnote w:id="201">
    <w:p w14:paraId="0E5F53C0" w14:textId="77777777" w:rsidR="00352B78" w:rsidRPr="008D5585" w:rsidRDefault="00352B78" w:rsidP="002C0325">
      <w:pPr>
        <w:pStyle w:val="FootnoteText"/>
        <w:jc w:val="both"/>
      </w:pPr>
      <w:r w:rsidRPr="000B6BFA">
        <w:rPr>
          <w:rStyle w:val="FootnoteReference"/>
          <w:sz w:val="20"/>
        </w:rPr>
        <w:footnoteRef/>
      </w:r>
      <w:r>
        <w:t xml:space="preserve"> According to Philea, there are over 186.000 philanthropic organisations in Europe. While no accurate data is available on the funding they provide in the area of fundamental rights, the total annual funding provision is estimated to be at EUR 54.5 billion. </w:t>
      </w:r>
    </w:p>
  </w:footnote>
  <w:footnote w:id="202">
    <w:p w14:paraId="7A1CA864" w14:textId="77777777" w:rsidR="00352B78" w:rsidRPr="00984623" w:rsidRDefault="00352B78" w:rsidP="000926C8">
      <w:pPr>
        <w:pStyle w:val="FootnoteText"/>
        <w:jc w:val="both"/>
      </w:pPr>
      <w:r w:rsidRPr="000B6BFA">
        <w:rPr>
          <w:rStyle w:val="FootnoteReference"/>
          <w:sz w:val="20"/>
        </w:rPr>
        <w:footnoteRef/>
      </w:r>
      <w:r>
        <w:t xml:space="preserve"> Council of Europe, the Council of Europe Development Bank, EEA and Norway Grants Financial Mechanism Office, European Investment Bank, United Nations Human Rights Office, US AID, Philanthropy Europe Association (Philea) and Stiftung Mercator participated in the consultations. </w:t>
      </w:r>
    </w:p>
  </w:footnote>
  <w:footnote w:id="203">
    <w:p w14:paraId="3874F4A5" w14:textId="77777777" w:rsidR="00352B78" w:rsidRPr="00C43B68" w:rsidRDefault="00352B78" w:rsidP="000926C8">
      <w:pPr>
        <w:pStyle w:val="FootnoteText"/>
        <w:jc w:val="both"/>
      </w:pPr>
      <w:r w:rsidRPr="000B6BFA">
        <w:rPr>
          <w:rStyle w:val="FootnoteReference"/>
          <w:sz w:val="20"/>
        </w:rPr>
        <w:footnoteRef/>
      </w:r>
      <w:r>
        <w:t xml:space="preserve">Report on key findings from </w:t>
      </w:r>
      <w:hyperlink r:id="rId104" w:history="1">
        <w:r w:rsidRPr="00093D0F">
          <w:rPr>
            <w:rStyle w:val="Hyperlink"/>
          </w:rPr>
          <w:t>FRA's civic space consultation covering 2023</w:t>
        </w:r>
      </w:hyperlink>
      <w:r>
        <w:t>, figure 18, p. 17.</w:t>
      </w:r>
    </w:p>
  </w:footnote>
  <w:footnote w:id="204">
    <w:p w14:paraId="79DA4291" w14:textId="77777777" w:rsidR="00352B78" w:rsidRPr="00406913" w:rsidRDefault="00352B78" w:rsidP="000926C8">
      <w:pPr>
        <w:pStyle w:val="FootnoteText"/>
        <w:jc w:val="both"/>
        <w:rPr>
          <w:lang w:val="it-IT"/>
        </w:rPr>
      </w:pPr>
      <w:r w:rsidRPr="000B6BFA">
        <w:rPr>
          <w:rStyle w:val="FootnoteReference"/>
          <w:sz w:val="20"/>
        </w:rPr>
        <w:footnoteRef/>
      </w:r>
      <w:r w:rsidRPr="00406913">
        <w:rPr>
          <w:lang w:val="it-IT"/>
        </w:rPr>
        <w:t xml:space="preserve"> </w:t>
      </w:r>
      <w:hyperlink r:id="rId105" w:history="1">
        <w:r w:rsidRPr="00406913">
          <w:rPr>
            <w:rStyle w:val="Hyperlink"/>
            <w:lang w:val="it-IT"/>
          </w:rPr>
          <w:t>Home | EEA Grants</w:t>
        </w:r>
      </w:hyperlink>
      <w:r w:rsidRPr="00406913">
        <w:rPr>
          <w:lang w:val="it-IT"/>
        </w:rPr>
        <w:t xml:space="preserve">. </w:t>
      </w:r>
    </w:p>
  </w:footnote>
  <w:footnote w:id="205">
    <w:p w14:paraId="4538B2B5" w14:textId="77777777" w:rsidR="00352B78" w:rsidRPr="00406913" w:rsidRDefault="00352B78" w:rsidP="00E21E46">
      <w:pPr>
        <w:pStyle w:val="FootnoteText"/>
        <w:jc w:val="both"/>
        <w:rPr>
          <w:lang w:val="it-IT"/>
        </w:rPr>
      </w:pPr>
      <w:r w:rsidRPr="000B6BFA">
        <w:rPr>
          <w:rStyle w:val="FootnoteReference"/>
          <w:sz w:val="20"/>
        </w:rPr>
        <w:footnoteRef/>
      </w:r>
      <w:r w:rsidRPr="00406913">
        <w:rPr>
          <w:lang w:val="it-IT"/>
        </w:rPr>
        <w:t xml:space="preserve"> Bulgaria, Croatia, Czechia, Estonia, Greece, Hungary, Latvia, Lithuania, Malta, Poland, Portugal, Romania, Slovakia, and Slovenia.</w:t>
      </w:r>
    </w:p>
  </w:footnote>
  <w:footnote w:id="206">
    <w:p w14:paraId="2B2C9150" w14:textId="77777777" w:rsidR="00352B78" w:rsidRPr="00A225D1" w:rsidRDefault="00352B78" w:rsidP="000926C8">
      <w:pPr>
        <w:pStyle w:val="FootnoteText"/>
        <w:jc w:val="both"/>
      </w:pPr>
      <w:r w:rsidRPr="000B6BFA">
        <w:rPr>
          <w:rStyle w:val="FootnoteReference"/>
          <w:sz w:val="20"/>
        </w:rPr>
        <w:footnoteRef/>
      </w:r>
      <w:r w:rsidRPr="00A225D1">
        <w:t xml:space="preserve"> </w:t>
      </w:r>
      <w:hyperlink r:id="rId106" w:history="1">
        <w:r w:rsidRPr="00A225D1">
          <w:rPr>
            <w:rStyle w:val="Hyperlink"/>
          </w:rPr>
          <w:t>Protocol 38C on the EEA Financial Mechanism (2014-2021)</w:t>
        </w:r>
      </w:hyperlink>
      <w:r w:rsidRPr="00A225D1">
        <w:t xml:space="preserve">, Article 1(2). </w:t>
      </w:r>
      <w:r>
        <w:t xml:space="preserve">Also </w:t>
      </w:r>
      <w:hyperlink r:id="rId107" w:history="1">
        <w:r>
          <w:rPr>
            <w:rStyle w:val="Hyperlink"/>
          </w:rPr>
          <w:t>Council greenlights agreements on the EEA and Norwegian Financial Mechanisms for 2021-2028 - Consilium (europa.eu)</w:t>
        </w:r>
      </w:hyperlink>
      <w:r>
        <w:t>.</w:t>
      </w:r>
    </w:p>
  </w:footnote>
  <w:footnote w:id="207">
    <w:p w14:paraId="67CF6F72" w14:textId="77777777" w:rsidR="00352B78" w:rsidRPr="00A225D1" w:rsidRDefault="00352B78" w:rsidP="000926C8">
      <w:pPr>
        <w:pStyle w:val="FootnoteText"/>
        <w:jc w:val="both"/>
      </w:pPr>
      <w:r w:rsidRPr="000B6BFA">
        <w:rPr>
          <w:rStyle w:val="FootnoteReference"/>
          <w:sz w:val="20"/>
        </w:rPr>
        <w:footnoteRef/>
      </w:r>
      <w:r w:rsidRPr="00A225D1">
        <w:t xml:space="preserve"> The EEA / Norway Grants contribution, referring to </w:t>
      </w:r>
      <w:r w:rsidRPr="00A225D1">
        <w:rPr>
          <w:rFonts w:eastAsiaTheme="minorEastAsia"/>
        </w:rPr>
        <w:t>funding issued from the “</w:t>
      </w:r>
      <w:r w:rsidRPr="00A225D1">
        <w:rPr>
          <w:rFonts w:eastAsiaTheme="minorEastAsia"/>
          <w:i/>
          <w:iCs/>
        </w:rPr>
        <w:t>Culture, Civil Society, Good Governance and Fundamental Rights and Freedoms</w:t>
      </w:r>
      <w:r w:rsidRPr="00A225D1">
        <w:rPr>
          <w:rFonts w:eastAsiaTheme="minorEastAsia"/>
        </w:rPr>
        <w:t>” priority.</w:t>
      </w:r>
      <w:r w:rsidRPr="000B6BFA">
        <w:rPr>
          <w:rFonts w:eastAsiaTheme="minorEastAsia"/>
        </w:rPr>
        <w:t xml:space="preserve"> </w:t>
      </w:r>
    </w:p>
  </w:footnote>
  <w:footnote w:id="208">
    <w:p w14:paraId="1BF349E6" w14:textId="77777777" w:rsidR="00352B78" w:rsidRPr="00A225D1" w:rsidRDefault="00352B78" w:rsidP="000926C8">
      <w:pPr>
        <w:pStyle w:val="FootnoteText"/>
        <w:jc w:val="both"/>
      </w:pPr>
      <w:r w:rsidRPr="000B6BFA">
        <w:rPr>
          <w:rStyle w:val="FootnoteReference"/>
          <w:sz w:val="20"/>
        </w:rPr>
        <w:footnoteRef/>
      </w:r>
      <w:r w:rsidRPr="00A225D1">
        <w:t xml:space="preserve"> The EEA / Norway Grants contribution, referring to </w:t>
      </w:r>
      <w:r w:rsidRPr="00A225D1">
        <w:rPr>
          <w:rFonts w:eastAsiaTheme="minorEastAsia"/>
        </w:rPr>
        <w:t>funding issued from the “</w:t>
      </w:r>
      <w:r w:rsidRPr="00A225D1">
        <w:rPr>
          <w:rFonts w:eastAsiaTheme="minorEastAsia"/>
          <w:i/>
          <w:iCs/>
        </w:rPr>
        <w:t>Social Inclusion, Youth Employment and Poverty Reduction</w:t>
      </w:r>
      <w:r w:rsidRPr="00A225D1">
        <w:rPr>
          <w:rFonts w:eastAsiaTheme="minorEastAsia"/>
        </w:rPr>
        <w:t>” priority, which also provides funding to promote the fulfilment of the highest attainable standard of health, including for children and for people in vulnerable situations, as well as for those from deprived areas.</w:t>
      </w:r>
      <w:r w:rsidRPr="005B4439">
        <w:t xml:space="preserve"> </w:t>
      </w:r>
      <w:r w:rsidRPr="005B4439">
        <w:rPr>
          <w:rFonts w:eastAsiaTheme="minorEastAsia"/>
        </w:rPr>
        <w:t>Under the “</w:t>
      </w:r>
      <w:r w:rsidRPr="005B4439">
        <w:rPr>
          <w:rFonts w:eastAsiaTheme="minorEastAsia"/>
          <w:i/>
          <w:iCs/>
        </w:rPr>
        <w:t>Justice and Home Affairs</w:t>
      </w:r>
      <w:r w:rsidRPr="005B4439">
        <w:rPr>
          <w:rFonts w:eastAsiaTheme="minorEastAsia"/>
        </w:rPr>
        <w:t>” priority, the EEA and Norway Grants has supported projects on enabling asylum seekers to claim international protection, the improvement of correctional services in line with international and European standards, international police cooperation, as well as projects to increase the efficiency and effectiveness of the judiciary and to act against domestic and gender-based violence.</w:t>
      </w:r>
    </w:p>
  </w:footnote>
  <w:footnote w:id="209">
    <w:p w14:paraId="5F66BC18" w14:textId="77777777" w:rsidR="00352B78" w:rsidRPr="009009EC" w:rsidRDefault="00352B78" w:rsidP="000926C8">
      <w:pPr>
        <w:pStyle w:val="FootnoteText"/>
        <w:jc w:val="both"/>
      </w:pPr>
      <w:r w:rsidRPr="000B6BFA">
        <w:rPr>
          <w:rStyle w:val="FootnoteReference"/>
          <w:sz w:val="20"/>
        </w:rPr>
        <w:footnoteRef/>
      </w:r>
      <w:r w:rsidRPr="00A225D1">
        <w:t xml:space="preserve"> </w:t>
      </w:r>
      <w:hyperlink r:id="rId108" w:history="1">
        <w:r w:rsidRPr="00A225D1">
          <w:rPr>
            <w:rStyle w:val="Hyperlink"/>
          </w:rPr>
          <w:t>The projects helping Roma Communities get out of slums | EEA Grants</w:t>
        </w:r>
      </w:hyperlink>
      <w:r w:rsidRPr="00A225D1">
        <w:t>.</w:t>
      </w:r>
      <w:r>
        <w:t xml:space="preserve"> </w:t>
      </w:r>
    </w:p>
  </w:footnote>
  <w:footnote w:id="210">
    <w:p w14:paraId="034ABFC3" w14:textId="77777777" w:rsidR="00352B78" w:rsidRPr="00A61317" w:rsidRDefault="00352B78" w:rsidP="002C0325">
      <w:pPr>
        <w:pStyle w:val="FootnoteText"/>
        <w:jc w:val="both"/>
      </w:pPr>
      <w:r w:rsidRPr="000B6BFA">
        <w:rPr>
          <w:rStyle w:val="FootnoteReference"/>
          <w:sz w:val="20"/>
        </w:rPr>
        <w:footnoteRef/>
      </w:r>
      <w:r>
        <w:t xml:space="preserve"> </w:t>
      </w:r>
      <w:hyperlink r:id="rId109" w:history="1">
        <w:r w:rsidRPr="000D0E1B">
          <w:rPr>
            <w:rStyle w:val="Hyperlink"/>
          </w:rPr>
          <w:t>U.S. Agency for International Development (usaid.gov)</w:t>
        </w:r>
      </w:hyperlink>
      <w:r w:rsidRPr="000D0E1B">
        <w:t>.</w:t>
      </w:r>
      <w:r>
        <w:t xml:space="preserve"> </w:t>
      </w:r>
    </w:p>
  </w:footnote>
  <w:footnote w:id="211">
    <w:p w14:paraId="65AB438D" w14:textId="77777777" w:rsidR="00352B78" w:rsidRPr="006B232F" w:rsidRDefault="00352B78" w:rsidP="002C0325">
      <w:pPr>
        <w:pStyle w:val="FootnoteText"/>
        <w:jc w:val="both"/>
      </w:pPr>
      <w:r w:rsidRPr="000B6BFA">
        <w:rPr>
          <w:rStyle w:val="FootnoteReference"/>
          <w:sz w:val="20"/>
        </w:rPr>
        <w:footnoteRef/>
      </w:r>
      <w:r>
        <w:t xml:space="preserve"> The</w:t>
      </w:r>
      <w:r w:rsidRPr="006B232F">
        <w:t xml:space="preserve"> USA</w:t>
      </w:r>
      <w:r>
        <w:t>ID contribution</w:t>
      </w:r>
      <w:r w:rsidRPr="006B232F">
        <w:t>. Support includes technical and financial assistance to build organisational capacities and support financial diversification, engagement and public communications, coalition building, advocacy on democratic reforms as well as reforms to improve the overall operating environment for civil society.</w:t>
      </w:r>
      <w:r>
        <w:t xml:space="preserve"> </w:t>
      </w:r>
      <w:r w:rsidRPr="009C7DAB">
        <w:t xml:space="preserve">USAID </w:t>
      </w:r>
      <w:r>
        <w:t xml:space="preserve">also </w:t>
      </w:r>
      <w:r w:rsidRPr="009C7DAB">
        <w:t>increasingly supports informal initiatives and civic movements in countries such as Armenia, Ukraine and Moldova. It has provided advocacy training to groups in vulnerable situations in Serbia, Kosovo and North Macedonia, and supported LGBTI+ communities.</w:t>
      </w:r>
      <w:r>
        <w:t xml:space="preserve"> </w:t>
      </w:r>
    </w:p>
  </w:footnote>
  <w:footnote w:id="212">
    <w:p w14:paraId="764B5C67" w14:textId="77777777" w:rsidR="00352B78" w:rsidRPr="004E2A83" w:rsidRDefault="00352B78" w:rsidP="002C0325">
      <w:pPr>
        <w:pStyle w:val="FootnoteText"/>
        <w:jc w:val="both"/>
      </w:pPr>
      <w:r w:rsidRPr="000B6BFA">
        <w:rPr>
          <w:rStyle w:val="FootnoteReference"/>
          <w:sz w:val="20"/>
        </w:rPr>
        <w:footnoteRef/>
      </w:r>
      <w:r>
        <w:t xml:space="preserve"> </w:t>
      </w:r>
      <w:r w:rsidRPr="004E2A83">
        <w:t>Contribution by the OHCHR.</w:t>
      </w:r>
    </w:p>
  </w:footnote>
  <w:footnote w:id="213">
    <w:p w14:paraId="4424C6A4" w14:textId="77777777" w:rsidR="00352B78" w:rsidRPr="00B54334" w:rsidRDefault="00352B78" w:rsidP="002C0325">
      <w:pPr>
        <w:pStyle w:val="FootnoteText"/>
        <w:jc w:val="both"/>
      </w:pPr>
      <w:r w:rsidRPr="000B6BFA">
        <w:rPr>
          <w:rStyle w:val="FootnoteReference"/>
          <w:sz w:val="20"/>
        </w:rPr>
        <w:footnoteRef/>
      </w:r>
      <w:r>
        <w:t xml:space="preserve"> </w:t>
      </w:r>
      <w:r w:rsidRPr="00B54334">
        <w:t>The CEB aims to target groups in vulnerable situations, children, older pe</w:t>
      </w:r>
      <w:r>
        <w:t>ople,</w:t>
      </w:r>
      <w:r w:rsidRPr="00B54334">
        <w:t xml:space="preserve"> and pe</w:t>
      </w:r>
      <w:r>
        <w:t>ople</w:t>
      </w:r>
      <w:r w:rsidRPr="00B54334">
        <w:t xml:space="preserve"> with disabilities.</w:t>
      </w:r>
      <w:r>
        <w:t xml:space="preserve"> </w:t>
      </w:r>
      <w:r w:rsidRPr="000B6BFA">
        <w:rPr>
          <w:rFonts w:eastAsiaTheme="minorEastAsia"/>
        </w:rPr>
        <w:t>It provides project grants in all Member States except Austria, which is not a member.</w:t>
      </w:r>
      <w:r>
        <w:rPr>
          <w:rFonts w:eastAsiaTheme="minorEastAsia"/>
        </w:rPr>
        <w:t xml:space="preserve"> </w:t>
      </w:r>
      <w:r w:rsidRPr="001660D7">
        <w:rPr>
          <w:rFonts w:eastAsiaTheme="minorEastAsia"/>
        </w:rPr>
        <w:t>The CEB screens its proposals, seeking to identify vulnerable beneficiaries for future monitoring.</w:t>
      </w:r>
    </w:p>
  </w:footnote>
  <w:footnote w:id="214">
    <w:p w14:paraId="51E558B8" w14:textId="77777777" w:rsidR="00352B78" w:rsidRPr="004B6891" w:rsidRDefault="00352B78" w:rsidP="002C0325">
      <w:pPr>
        <w:pStyle w:val="FootnoteText"/>
        <w:jc w:val="both"/>
      </w:pPr>
      <w:r w:rsidRPr="000B6BFA">
        <w:rPr>
          <w:rStyle w:val="FootnoteReference"/>
          <w:sz w:val="20"/>
        </w:rPr>
        <w:footnoteRef/>
      </w:r>
      <w:r w:rsidRPr="004B6891">
        <w:t xml:space="preserve"> Contribution by </w:t>
      </w:r>
      <w:r>
        <w:t xml:space="preserve">the </w:t>
      </w:r>
      <w:r w:rsidRPr="004B6891">
        <w:t>EEA/Norway Grants</w:t>
      </w:r>
      <w:r>
        <w:t>;</w:t>
      </w:r>
      <w:r w:rsidRPr="004B6891">
        <w:t xml:space="preserve"> contribution by the OHCHR, </w:t>
      </w:r>
      <w:r>
        <w:t xml:space="preserve">both </w:t>
      </w:r>
      <w:r w:rsidRPr="004B6891">
        <w:t>referring to the application of a participatory methodology to the development of project management and design of projects, and support to potential grantees in the development of projects.</w:t>
      </w:r>
    </w:p>
  </w:footnote>
  <w:footnote w:id="215">
    <w:p w14:paraId="66896E32" w14:textId="77777777" w:rsidR="00352B78" w:rsidRPr="004B6891" w:rsidRDefault="00352B78" w:rsidP="002C0325">
      <w:pPr>
        <w:pStyle w:val="FootnoteText"/>
        <w:jc w:val="both"/>
      </w:pPr>
      <w:r w:rsidRPr="000B6BFA">
        <w:rPr>
          <w:rStyle w:val="FootnoteReference"/>
          <w:sz w:val="20"/>
        </w:rPr>
        <w:footnoteRef/>
      </w:r>
      <w:r w:rsidRPr="004B6891">
        <w:t xml:space="preserve"> Contribution by EEA/Norway Grants, who report having organised sessions on how to apply, increased outreach to underserved geographies by providing grants with no co-financing requirement, organising sessions on how to apply, and having</w:t>
      </w:r>
      <w:r>
        <w:t xml:space="preserve"> organised</w:t>
      </w:r>
      <w:r w:rsidRPr="004B6891">
        <w:t xml:space="preserve"> dedicated calls on specific topics, such as Roma inclusion and empowerment.</w:t>
      </w:r>
    </w:p>
  </w:footnote>
  <w:footnote w:id="216">
    <w:p w14:paraId="41556ED2" w14:textId="77777777" w:rsidR="00352B78" w:rsidRPr="004B6891" w:rsidRDefault="00352B78" w:rsidP="002C0325">
      <w:pPr>
        <w:pStyle w:val="FootnoteText"/>
        <w:jc w:val="both"/>
      </w:pPr>
      <w:r w:rsidRPr="000B6BFA">
        <w:rPr>
          <w:rStyle w:val="FootnoteReference"/>
          <w:sz w:val="20"/>
        </w:rPr>
        <w:footnoteRef/>
      </w:r>
      <w:r w:rsidRPr="004B6891">
        <w:t xml:space="preserve"> Contribution by USAid</w:t>
      </w:r>
      <w:r>
        <w:t>;</w:t>
      </w:r>
      <w:r w:rsidRPr="004B6891">
        <w:t xml:space="preserve"> </w:t>
      </w:r>
      <w:r>
        <w:t>c</w:t>
      </w:r>
      <w:r w:rsidRPr="004B6891">
        <w:t xml:space="preserve">ontribution by Philea, p. 6. Philea notes that philanthropic organisations offer other support than grants, such as support for organisational development and networking, as well as prizes and awards. </w:t>
      </w:r>
    </w:p>
  </w:footnote>
  <w:footnote w:id="217">
    <w:p w14:paraId="05895565" w14:textId="77777777" w:rsidR="00352B78" w:rsidRPr="004B6891" w:rsidRDefault="00352B78" w:rsidP="002C0325">
      <w:pPr>
        <w:pStyle w:val="FootnoteText"/>
        <w:jc w:val="both"/>
      </w:pPr>
      <w:r w:rsidRPr="000B6BFA">
        <w:rPr>
          <w:rStyle w:val="FootnoteReference"/>
          <w:sz w:val="20"/>
        </w:rPr>
        <w:footnoteRef/>
      </w:r>
      <w:r w:rsidRPr="004B6891">
        <w:t xml:space="preserve"> </w:t>
      </w:r>
      <w:r>
        <w:t xml:space="preserve">Report on key findings from FRA's civic space consultation covering 2023, figure 25, p. 23, </w:t>
      </w:r>
      <w:hyperlink r:id="rId110" w:history="1">
        <w:r>
          <w:rPr>
            <w:rStyle w:val="Hyperlink"/>
          </w:rPr>
          <w:t>report-key-findings-fra-civic-space-consultation-covering-2023.pdf (europa.eu)</w:t>
        </w:r>
      </w:hyperlink>
      <w:r>
        <w:t>.</w:t>
      </w:r>
      <w:r w:rsidRPr="004B6891">
        <w:t xml:space="preserve"> Types of funding considered relevant by CSOs include funding for advocacy with policy makers, organisational development, as well as for organisational development, public advocacy and campaigning, capacity development of their own staff and volunteers, and watchdog activities.</w:t>
      </w:r>
    </w:p>
  </w:footnote>
  <w:footnote w:id="218">
    <w:p w14:paraId="009DB4C6" w14:textId="77777777" w:rsidR="00352B78" w:rsidRPr="004B6891" w:rsidRDefault="00352B78" w:rsidP="002C0325">
      <w:pPr>
        <w:pStyle w:val="FootnoteText"/>
        <w:jc w:val="both"/>
      </w:pPr>
      <w:r w:rsidRPr="000B6BFA">
        <w:rPr>
          <w:rStyle w:val="FootnoteReference"/>
          <w:sz w:val="20"/>
        </w:rPr>
        <w:footnoteRef/>
      </w:r>
      <w:r w:rsidRPr="004B6891">
        <w:t xml:space="preserve"> Contribution by USAid.</w:t>
      </w:r>
    </w:p>
  </w:footnote>
  <w:footnote w:id="219">
    <w:p w14:paraId="3D2CC26F" w14:textId="77777777" w:rsidR="00352B78" w:rsidRPr="004B6891" w:rsidRDefault="00352B78" w:rsidP="002C0325">
      <w:pPr>
        <w:pStyle w:val="FootnoteText"/>
        <w:jc w:val="both"/>
      </w:pPr>
      <w:r w:rsidRPr="000B6BFA">
        <w:rPr>
          <w:rStyle w:val="FootnoteReference"/>
          <w:sz w:val="20"/>
        </w:rPr>
        <w:footnoteRef/>
      </w:r>
      <w:r w:rsidRPr="004B6891">
        <w:t xml:space="preserve"> Contribution by EEA/Norway Grants, referring to the Active Citizens Fund.</w:t>
      </w:r>
    </w:p>
  </w:footnote>
  <w:footnote w:id="220">
    <w:p w14:paraId="792BE022" w14:textId="77777777" w:rsidR="00352B78" w:rsidRPr="004B6891" w:rsidRDefault="00352B78" w:rsidP="002C0325">
      <w:pPr>
        <w:pStyle w:val="FootnoteText"/>
        <w:jc w:val="both"/>
      </w:pPr>
      <w:r w:rsidRPr="000B6BFA">
        <w:rPr>
          <w:rStyle w:val="FootnoteReference"/>
          <w:sz w:val="20"/>
        </w:rPr>
        <w:footnoteRef/>
      </w:r>
      <w:r w:rsidRPr="004B6891">
        <w:t xml:space="preserve"> Contribution by EEA/Norway Grants.</w:t>
      </w:r>
    </w:p>
  </w:footnote>
  <w:footnote w:id="221">
    <w:p w14:paraId="23426C6B" w14:textId="77777777" w:rsidR="00352B78" w:rsidRPr="004B6891" w:rsidRDefault="00352B78" w:rsidP="002C0325">
      <w:pPr>
        <w:pStyle w:val="FootnoteText"/>
        <w:jc w:val="both"/>
      </w:pPr>
      <w:r w:rsidRPr="000B6BFA">
        <w:rPr>
          <w:rStyle w:val="FootnoteReference"/>
          <w:sz w:val="20"/>
        </w:rPr>
        <w:footnoteRef/>
      </w:r>
      <w:r w:rsidRPr="004B6891">
        <w:t xml:space="preserve"> Contribution by the EIB.</w:t>
      </w:r>
    </w:p>
  </w:footnote>
  <w:footnote w:id="222">
    <w:p w14:paraId="46460649" w14:textId="77777777" w:rsidR="00352B78" w:rsidRPr="004B6891" w:rsidRDefault="00352B78" w:rsidP="002C0325">
      <w:pPr>
        <w:pStyle w:val="FootnoteText"/>
        <w:jc w:val="both"/>
      </w:pPr>
      <w:r w:rsidRPr="000B6BFA">
        <w:rPr>
          <w:rStyle w:val="FootnoteReference"/>
          <w:sz w:val="20"/>
        </w:rPr>
        <w:footnoteRef/>
      </w:r>
      <w:r w:rsidRPr="004B6891">
        <w:t xml:space="preserve"> Contribution by USAid.</w:t>
      </w:r>
    </w:p>
  </w:footnote>
  <w:footnote w:id="223">
    <w:p w14:paraId="076BE7F4" w14:textId="77777777" w:rsidR="00352B78" w:rsidRPr="00EB3F28" w:rsidRDefault="00352B78" w:rsidP="002C0325">
      <w:pPr>
        <w:pStyle w:val="FootnoteText"/>
        <w:jc w:val="both"/>
      </w:pPr>
      <w:r w:rsidRPr="000B6BFA">
        <w:rPr>
          <w:rStyle w:val="FootnoteReference"/>
          <w:sz w:val="20"/>
        </w:rPr>
        <w:footnoteRef/>
      </w:r>
      <w:r w:rsidRPr="004B6891">
        <w:t xml:space="preserve"> Contribution by Philea, p. 6.</w:t>
      </w:r>
    </w:p>
  </w:footnote>
  <w:footnote w:id="224">
    <w:p w14:paraId="51AE2F6A" w14:textId="77777777" w:rsidR="00352B78" w:rsidRPr="000D0E1B" w:rsidRDefault="00352B78" w:rsidP="002C0325">
      <w:pPr>
        <w:pStyle w:val="FootnoteText"/>
        <w:jc w:val="both"/>
      </w:pPr>
      <w:r w:rsidRPr="000B6BFA">
        <w:rPr>
          <w:rStyle w:val="FootnoteReference"/>
          <w:sz w:val="20"/>
        </w:rPr>
        <w:footnoteRef/>
      </w:r>
      <w:r w:rsidRPr="000D0E1B">
        <w:t xml:space="preserve"> Contribution by Philea, pp. 6-10. According to Philea, more dialogue is needed between public and philanthropic funders in various policy fields including climate, democracy, equality and development partnerships.</w:t>
      </w:r>
      <w:r>
        <w:t xml:space="preserve"> </w:t>
      </w:r>
      <w:r w:rsidRPr="002C40AD">
        <w:t>Philea nurtures a diverse and inclusive ecosystem of foundations, philanthropic organisations and networks working for the common good.</w:t>
      </w:r>
    </w:p>
  </w:footnote>
  <w:footnote w:id="225">
    <w:p w14:paraId="225DE30E" w14:textId="77777777" w:rsidR="00352B78" w:rsidRPr="000D0E1B" w:rsidRDefault="00352B78" w:rsidP="002C0325">
      <w:pPr>
        <w:pStyle w:val="FootnoteText"/>
        <w:jc w:val="both"/>
      </w:pPr>
      <w:r w:rsidRPr="000B6BFA">
        <w:rPr>
          <w:rStyle w:val="FootnoteReference"/>
          <w:sz w:val="20"/>
        </w:rPr>
        <w:footnoteRef/>
      </w:r>
      <w:r w:rsidRPr="000D0E1B">
        <w:t xml:space="preserve"> Contribution by OHCHR. EU-OHCHR contribution agreements concluded in support of the promotion and protection of human rights in Azerbaijan, Burkina Faso, Chad, Cambodia, Colombia, Georgia, Guatemala, Mauritania, Mexico, Moldova, Niger, the occupied Palestinian territory, Peru, the Philippines, Sudan, Syria, Thailand, Ukraine, Venezuela, and Yemen. The OHCHR It also cooperates with the EU by co-organising public events and providing donor recognition on social media.</w:t>
      </w:r>
    </w:p>
  </w:footnote>
  <w:footnote w:id="226">
    <w:p w14:paraId="06DC58FF" w14:textId="77777777" w:rsidR="00352B78" w:rsidRPr="000D0E1B" w:rsidRDefault="00352B78" w:rsidP="002C0325">
      <w:pPr>
        <w:pStyle w:val="FootnoteText"/>
        <w:jc w:val="both"/>
      </w:pPr>
      <w:r w:rsidRPr="000B6BFA">
        <w:rPr>
          <w:rStyle w:val="FootnoteReference"/>
          <w:sz w:val="20"/>
        </w:rPr>
        <w:footnoteRef/>
      </w:r>
      <w:r w:rsidRPr="00232936">
        <w:t xml:space="preserve"> Together with CERV, US AID funds</w:t>
      </w:r>
      <w:r w:rsidRPr="000D0E1B">
        <w:t xml:space="preserve"> </w:t>
      </w:r>
      <w:r w:rsidRPr="000D0E1B">
        <w:rPr>
          <w:b/>
          <w:bCs/>
        </w:rPr>
        <w:t>the Engaging Central Europe project</w:t>
      </w:r>
      <w:r w:rsidRPr="000D0E1B">
        <w:t xml:space="preserve">, which aims to empower civil society to protect, revitalize, and renew democracy in the heart of Europe; </w:t>
      </w:r>
      <w:hyperlink r:id="rId111" w:history="1">
        <w:r>
          <w:rPr>
            <w:rStyle w:val="Hyperlink"/>
          </w:rPr>
          <w:t>Engaging Central Europe | German Marshall Fund of the United States (gmfus.org)</w:t>
        </w:r>
      </w:hyperlink>
      <w:r w:rsidRPr="001B1713">
        <w:t xml:space="preserve">. </w:t>
      </w:r>
    </w:p>
  </w:footnote>
  <w:footnote w:id="227">
    <w:p w14:paraId="4E4ED7FF" w14:textId="77777777" w:rsidR="00352B78" w:rsidRPr="000D0E1B" w:rsidRDefault="00352B78" w:rsidP="002C0325">
      <w:pPr>
        <w:pStyle w:val="FootnoteText"/>
        <w:jc w:val="both"/>
      </w:pPr>
      <w:r w:rsidRPr="000B6BFA">
        <w:rPr>
          <w:rStyle w:val="FootnoteReference"/>
          <w:sz w:val="20"/>
        </w:rPr>
        <w:footnoteRef/>
      </w:r>
      <w:r w:rsidRPr="000D0E1B">
        <w:t xml:space="preserve"> In addition, the EIB cooperates with National Promotional Banks of EU Member States to support projects in the field of fundamental rights, such as on social housing in France and, together with the CEB, on vulnerable groups in the Western Balkans. Similarly, the CEB participates to EU funding platforms to promote combinations of different funding sources to raise the financial sustainability of the projects. It also partners with other international financial institutions for co-financing and the sharing of best practices.</w:t>
      </w:r>
    </w:p>
  </w:footnote>
  <w:footnote w:id="228">
    <w:p w14:paraId="41C135AB" w14:textId="77777777" w:rsidR="00352B78" w:rsidRPr="00492EF8" w:rsidRDefault="00352B78" w:rsidP="002C0325">
      <w:pPr>
        <w:pStyle w:val="FootnoteText"/>
      </w:pPr>
      <w:r w:rsidRPr="000B6BFA">
        <w:rPr>
          <w:rStyle w:val="FootnoteReference"/>
          <w:sz w:val="20"/>
        </w:rPr>
        <w:footnoteRef/>
      </w:r>
      <w:r>
        <w:t xml:space="preserve"> </w:t>
      </w:r>
      <w:hyperlink r:id="rId112" w:history="1">
        <w:r w:rsidRPr="007074E5">
          <w:rPr>
            <w:rStyle w:val="Hyperlink"/>
          </w:rPr>
          <w:t>Supporting civil society organisations and human rights defenders through funding</w:t>
        </w:r>
      </w:hyperlink>
      <w:r>
        <w:t>. See chapter 1.</w:t>
      </w:r>
    </w:p>
  </w:footnote>
  <w:footnote w:id="229">
    <w:p w14:paraId="2C34A768" w14:textId="77777777" w:rsidR="00352B78" w:rsidRPr="00492EF8" w:rsidRDefault="00352B78" w:rsidP="002C0325">
      <w:pPr>
        <w:pStyle w:val="FootnoteText"/>
        <w:jc w:val="both"/>
      </w:pPr>
      <w:r w:rsidRPr="000B6BFA">
        <w:rPr>
          <w:rStyle w:val="FootnoteReference"/>
          <w:sz w:val="20"/>
        </w:rPr>
        <w:footnoteRef/>
      </w:r>
      <w:r w:rsidRPr="00492EF8">
        <w:t xml:space="preserve"> </w:t>
      </w:r>
      <w:r w:rsidRPr="00F96FEF">
        <w:t>First meeting took place in June 2024</w:t>
      </w:r>
      <w:r>
        <w:t xml:space="preserve"> </w:t>
      </w:r>
      <w:r w:rsidRPr="003678B5">
        <w:t>following an initiative from Philea</w:t>
      </w:r>
      <w:r>
        <w:t>.</w:t>
      </w:r>
    </w:p>
  </w:footnote>
  <w:footnote w:id="230">
    <w:p w14:paraId="7B0702CA" w14:textId="5E6853F7" w:rsidR="00352B78" w:rsidRPr="003A1EF3" w:rsidRDefault="00352B78" w:rsidP="00554BE4">
      <w:pPr>
        <w:pStyle w:val="FootnoteText"/>
      </w:pPr>
      <w:r w:rsidRPr="000B6BFA">
        <w:rPr>
          <w:rStyle w:val="FootnoteReference"/>
          <w:sz w:val="20"/>
        </w:rPr>
        <w:footnoteRef/>
      </w:r>
      <w:r>
        <w:t xml:space="preserve"> https://www.eeas.europa.eu/sites/default/files/documents/2024/Action-Plan-EN_2020-2027.pdf (e</w:t>
      </w:r>
      <w:r w:rsidRPr="00974296">
        <w:t>xtended to 2027 with Council Conclusions of 27.05.2024 (ST 9508 2024 INIT)</w:t>
      </w:r>
      <w:r>
        <w:t>).</w:t>
      </w:r>
    </w:p>
  </w:footnote>
  <w:footnote w:id="231">
    <w:p w14:paraId="5703008F" w14:textId="77777777" w:rsidR="00352B78" w:rsidRPr="003A1EF3" w:rsidRDefault="00352B78" w:rsidP="002C0325">
      <w:pPr>
        <w:pStyle w:val="FootnoteText"/>
        <w:jc w:val="both"/>
      </w:pPr>
      <w:r w:rsidRPr="000B6BFA">
        <w:rPr>
          <w:rStyle w:val="FootnoteReference"/>
          <w:sz w:val="20"/>
        </w:rPr>
        <w:footnoteRef/>
      </w:r>
      <w:r>
        <w:t xml:space="preserve"> </w:t>
      </w:r>
      <w:hyperlink r:id="rId113" w:history="1">
        <w:r>
          <w:rPr>
            <w:rStyle w:val="Hyperlink"/>
          </w:rPr>
          <w:t>THE 17 GOALS | Sustainable Development (un.org)</w:t>
        </w:r>
      </w:hyperlink>
      <w:r>
        <w:t xml:space="preserve">. </w:t>
      </w:r>
    </w:p>
  </w:footnote>
  <w:footnote w:id="232">
    <w:p w14:paraId="29394D7C" w14:textId="77777777" w:rsidR="00352B78" w:rsidRPr="009751CA" w:rsidRDefault="00352B78" w:rsidP="002C0325">
      <w:pPr>
        <w:pStyle w:val="FootnoteText"/>
      </w:pPr>
      <w:r w:rsidRPr="000B6BFA">
        <w:rPr>
          <w:rStyle w:val="FootnoteReference"/>
          <w:sz w:val="20"/>
        </w:rPr>
        <w:footnoteRef/>
      </w:r>
      <w:r>
        <w:t xml:space="preserve"> </w:t>
      </w:r>
      <w:r w:rsidRPr="000B6BFA">
        <w:t xml:space="preserve">Such as the International Criminal Court and </w:t>
      </w:r>
      <w:r>
        <w:t>the</w:t>
      </w:r>
      <w:r w:rsidRPr="009751CA">
        <w:t xml:space="preserve"> OHCHR</w:t>
      </w:r>
      <w:r>
        <w:t>.</w:t>
      </w:r>
    </w:p>
  </w:footnote>
  <w:footnote w:id="233">
    <w:p w14:paraId="165E583B" w14:textId="77777777" w:rsidR="00352B78" w:rsidRPr="008B6689" w:rsidRDefault="00352B78" w:rsidP="002C0325">
      <w:pPr>
        <w:pStyle w:val="FootnoteText"/>
        <w:jc w:val="both"/>
      </w:pPr>
      <w:r w:rsidRPr="000B6BFA">
        <w:rPr>
          <w:rStyle w:val="FootnoteReference"/>
          <w:sz w:val="20"/>
        </w:rPr>
        <w:footnoteRef/>
      </w:r>
      <w:r>
        <w:t xml:space="preserve"> Relevant actions are f</w:t>
      </w:r>
      <w:r w:rsidRPr="008B6689">
        <w:t>unded from the “Global Challenges Thematic Programme”.</w:t>
      </w:r>
    </w:p>
  </w:footnote>
  <w:footnote w:id="234">
    <w:p w14:paraId="3C6B7C2B" w14:textId="77777777" w:rsidR="00352B78" w:rsidRPr="006C2E80" w:rsidRDefault="00352B78" w:rsidP="002C0325">
      <w:pPr>
        <w:pStyle w:val="FootnoteText"/>
        <w:jc w:val="both"/>
        <w:rPr>
          <w:lang w:val="en-US"/>
        </w:rPr>
      </w:pPr>
      <w:r w:rsidRPr="000B6BFA">
        <w:rPr>
          <w:rStyle w:val="FootnoteReference"/>
          <w:sz w:val="20"/>
        </w:rPr>
        <w:footnoteRef/>
      </w:r>
      <w:r>
        <w:t xml:space="preserve"> Relevant actions are f</w:t>
      </w:r>
      <w:r w:rsidRPr="008B6689">
        <w:t xml:space="preserve">unded from the </w:t>
      </w:r>
      <w:r w:rsidRPr="00610C72">
        <w:t>“Civil Society Organisations</w:t>
      </w:r>
      <w:r>
        <w:t xml:space="preserve"> </w:t>
      </w:r>
      <w:r w:rsidRPr="008B6689">
        <w:t>Programme”.</w:t>
      </w:r>
      <w:r>
        <w:t xml:space="preserve"> Human rights relevant actions are also supported from</w:t>
      </w:r>
      <w:r w:rsidRPr="005D405F">
        <w:t xml:space="preserve"> NDICI’s rapid response pillar.</w:t>
      </w:r>
    </w:p>
  </w:footnote>
  <w:footnote w:id="235">
    <w:p w14:paraId="028741F6" w14:textId="77777777" w:rsidR="00352B78" w:rsidRPr="00FF19F9" w:rsidRDefault="00352B78" w:rsidP="002C0325">
      <w:pPr>
        <w:pStyle w:val="FootnoteText"/>
        <w:jc w:val="both"/>
      </w:pPr>
      <w:r w:rsidRPr="000B6BFA">
        <w:rPr>
          <w:rStyle w:val="FootnoteReference"/>
          <w:sz w:val="20"/>
        </w:rPr>
        <w:footnoteRef/>
      </w:r>
      <w:r>
        <w:t xml:space="preserve"> </w:t>
      </w:r>
      <w:r w:rsidRPr="000B6BFA">
        <w:rPr>
          <w:noProof/>
        </w:rPr>
        <w:t>Where serious fundamental rights concerns are identified, funding can be suspended or terminated.</w:t>
      </w:r>
      <w:r>
        <w:rPr>
          <w:noProof/>
        </w:rPr>
        <w:t xml:space="preserve"> Delegations</w:t>
      </w:r>
      <w:r w:rsidRPr="00321AFF">
        <w:rPr>
          <w:noProof/>
        </w:rPr>
        <w:t xml:space="preserve"> currently meeta target of 15% of geographic programmes reporting a contribution on human rights.</w:t>
      </w:r>
    </w:p>
  </w:footnote>
  <w:footnote w:id="236">
    <w:p w14:paraId="19FA20A8" w14:textId="77777777" w:rsidR="00352B78" w:rsidRPr="00C67B37" w:rsidRDefault="00352B78" w:rsidP="002C0325">
      <w:pPr>
        <w:pStyle w:val="FootnoteText"/>
        <w:jc w:val="both"/>
      </w:pPr>
      <w:r w:rsidRPr="000B6BFA">
        <w:rPr>
          <w:rStyle w:val="FootnoteReference"/>
          <w:sz w:val="20"/>
        </w:rPr>
        <w:footnoteRef/>
      </w:r>
      <w:r>
        <w:t xml:space="preserve"> </w:t>
      </w:r>
      <w:r w:rsidRPr="00C67B37">
        <w:t>The initiative responds to all forms of violence against women and girls, with a focus on domestic violence, gender-based violence and harmful practices, femicide, trafficking in human beings and sexual and economic exploitation.</w:t>
      </w:r>
    </w:p>
  </w:footnote>
  <w:footnote w:id="237">
    <w:p w14:paraId="2BC39FE8" w14:textId="77777777" w:rsidR="00352B78" w:rsidRPr="00324911" w:rsidRDefault="00352B78" w:rsidP="002C0325">
      <w:pPr>
        <w:pStyle w:val="FootnoteText"/>
        <w:jc w:val="both"/>
      </w:pPr>
      <w:r w:rsidRPr="000B6BFA">
        <w:rPr>
          <w:rStyle w:val="FootnoteReference"/>
          <w:sz w:val="20"/>
        </w:rPr>
        <w:footnoteRef/>
      </w:r>
      <w:r>
        <w:t xml:space="preserve"> Funding is issued from </w:t>
      </w:r>
      <w:r w:rsidRPr="00324911">
        <w:t>the NDICI-GE thematic programmes, the Instrument for Pre-</w:t>
      </w:r>
      <w:r>
        <w:t>A</w:t>
      </w:r>
      <w:r w:rsidRPr="00324911">
        <w:t xml:space="preserve">ccession Assistance and </w:t>
      </w:r>
      <w:r>
        <w:t xml:space="preserve">the </w:t>
      </w:r>
      <w:r w:rsidRPr="00324911">
        <w:t>NDICI-Global Europe</w:t>
      </w:r>
      <w:r>
        <w:t>’s</w:t>
      </w:r>
      <w:r w:rsidRPr="00324911">
        <w:t xml:space="preserve"> regional and bilateral envelopes</w:t>
      </w:r>
      <w:r>
        <w:t>.</w:t>
      </w:r>
    </w:p>
  </w:footnote>
  <w:footnote w:id="238">
    <w:p w14:paraId="0ADA4DB8" w14:textId="77777777" w:rsidR="00352B78" w:rsidRPr="003D605D" w:rsidRDefault="00352B78" w:rsidP="002C0325">
      <w:pPr>
        <w:pStyle w:val="FootnoteText"/>
        <w:jc w:val="both"/>
      </w:pPr>
      <w:r w:rsidRPr="000B6BFA">
        <w:rPr>
          <w:rStyle w:val="FootnoteReference"/>
          <w:sz w:val="20"/>
        </w:rPr>
        <w:footnoteRef/>
      </w:r>
      <w:r>
        <w:t xml:space="preserve"> </w:t>
      </w:r>
      <w:hyperlink r:id="rId114" w:history="1">
        <w:r>
          <w:rPr>
            <w:rStyle w:val="Hyperlink"/>
          </w:rPr>
          <w:t>EU Projects with the Council of Europe | EEAS (europa.eu)</w:t>
        </w:r>
      </w:hyperlink>
      <w:r>
        <w:t>.</w:t>
      </w:r>
    </w:p>
  </w:footnote>
  <w:footnote w:id="239">
    <w:p w14:paraId="5DCD0717" w14:textId="2C29A212" w:rsidR="00352B78" w:rsidRPr="00CB31AC" w:rsidRDefault="00352B78">
      <w:pPr>
        <w:pStyle w:val="FootnoteText"/>
      </w:pPr>
      <w:r>
        <w:rPr>
          <w:rStyle w:val="FootnoteReference"/>
        </w:rPr>
        <w:footnoteRef/>
      </w:r>
      <w:r>
        <w:t xml:space="preserve"> For project examples, see Annex accompanying this report.</w:t>
      </w:r>
    </w:p>
  </w:footnote>
  <w:footnote w:id="240">
    <w:p w14:paraId="73E4356D" w14:textId="77777777" w:rsidR="00352B78" w:rsidRPr="00F96FEF" w:rsidRDefault="00352B78" w:rsidP="002C0325">
      <w:pPr>
        <w:pStyle w:val="FootnoteText"/>
      </w:pPr>
      <w:r w:rsidRPr="000B6BFA">
        <w:rPr>
          <w:rStyle w:val="FootnoteReference"/>
          <w:sz w:val="20"/>
        </w:rPr>
        <w:footnoteRef/>
      </w:r>
      <w:r w:rsidRPr="00F96FEF">
        <w:t xml:space="preserve"> COM</w:t>
      </w:r>
      <w:r>
        <w:t>(</w:t>
      </w:r>
      <w:r w:rsidRPr="00F96FEF">
        <w:t>2022</w:t>
      </w:r>
      <w:r>
        <w:t xml:space="preserve">) </w:t>
      </w:r>
      <w:r w:rsidRPr="00F96FEF">
        <w:t>716.</w:t>
      </w:r>
    </w:p>
  </w:footnote>
  <w:footnote w:id="241">
    <w:p w14:paraId="14E28F89" w14:textId="77777777" w:rsidR="00352B78" w:rsidRPr="000B6BFA" w:rsidRDefault="00352B78" w:rsidP="002C0325">
      <w:pPr>
        <w:pStyle w:val="FootnoteText"/>
      </w:pPr>
      <w:r w:rsidRPr="000B6BFA">
        <w:rPr>
          <w:rStyle w:val="FootnoteReference"/>
          <w:sz w:val="20"/>
        </w:rPr>
        <w:footnoteRef/>
      </w:r>
      <w:r w:rsidRPr="000B6BFA">
        <w:t xml:space="preserve"> FRA survey, Q4.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ED8F6" w14:textId="77777777" w:rsidR="00623D1D" w:rsidRPr="00623D1D" w:rsidRDefault="00623D1D" w:rsidP="00623D1D">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EADA7" w14:textId="77777777" w:rsidR="00623D1D" w:rsidRPr="00623D1D" w:rsidRDefault="00623D1D" w:rsidP="00623D1D">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93649" w14:textId="77777777" w:rsidR="00623D1D" w:rsidRPr="00623D1D" w:rsidRDefault="00623D1D" w:rsidP="00623D1D">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934D7" w14:textId="77777777" w:rsidR="00352B78" w:rsidRPr="00B76909" w:rsidRDefault="00352B78" w:rsidP="00352B78">
    <w:pPr>
      <w:pStyle w:val="HeaderCoverPag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3C5B8" w14:textId="77777777" w:rsidR="00352B78" w:rsidRPr="00B76909" w:rsidRDefault="00352B78" w:rsidP="00352B78">
    <w:pPr>
      <w:pStyle w:val="HeaderCoverPag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EE020" w14:textId="77777777" w:rsidR="00352B78" w:rsidRPr="00B76909" w:rsidRDefault="00352B78" w:rsidP="00352B78">
    <w:pPr>
      <w:pStyle w:val="HeaderCoverPag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00A92"/>
    <w:multiLevelType w:val="hybridMultilevel"/>
    <w:tmpl w:val="88F0F0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9583E6F"/>
    <w:multiLevelType w:val="multilevel"/>
    <w:tmpl w:val="B024C566"/>
    <w:styleLink w:val="LFO3"/>
    <w:lvl w:ilvl="0">
      <w:start w:val="1"/>
      <w:numFmt w:val="decimal"/>
      <w:pStyle w:val="LegalNumPar3"/>
      <w:lvlText w:val="%1."/>
      <w:lvlJc w:val="left"/>
      <w:pPr>
        <w:ind w:left="476" w:hanging="476"/>
      </w:pPr>
    </w:lvl>
    <w:lvl w:ilvl="1">
      <w:start w:val="1"/>
      <w:numFmt w:val="lowerLetter"/>
      <w:lvlText w:val="%2."/>
      <w:lvlJc w:val="left"/>
      <w:pPr>
        <w:ind w:left="953" w:hanging="477"/>
      </w:pPr>
    </w:lvl>
    <w:lvl w:ilvl="2">
      <w:start w:val="1"/>
      <w:numFmt w:val="lowerRoman"/>
      <w:lvlText w:val="%3."/>
      <w:lvlJc w:val="left"/>
      <w:pPr>
        <w:ind w:left="1429" w:hanging="476"/>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293CF4"/>
    <w:multiLevelType w:val="multilevel"/>
    <w:tmpl w:val="BE52DE8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40C74480"/>
    <w:multiLevelType w:val="multilevel"/>
    <w:tmpl w:val="5A668D52"/>
    <w:lvl w:ilvl="0">
      <w:start w:val="1"/>
      <w:numFmt w:val="decimal"/>
      <w:pStyle w:val="Style3"/>
      <w:lvlText w:val="%1."/>
      <w:lvlJc w:val="left"/>
      <w:pPr>
        <w:ind w:left="927" w:hanging="360"/>
      </w:pPr>
    </w:lvl>
    <w:lvl w:ilvl="1">
      <w:start w:val="1"/>
      <w:numFmt w:val="decimal"/>
      <w:lvlText w:val="%1.%2."/>
      <w:lvlJc w:val="left"/>
      <w:pPr>
        <w:ind w:left="830" w:hanging="47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53617B0B"/>
    <w:multiLevelType w:val="multilevel"/>
    <w:tmpl w:val="4C2E0E2A"/>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70E78D1"/>
    <w:multiLevelType w:val="multilevel"/>
    <w:tmpl w:val="6FC697D6"/>
    <w:styleLink w:val="Style2"/>
    <w:lvl w:ilvl="0">
      <w:start w:val="2"/>
      <w:numFmt w:val="decimal"/>
      <w:lvlText w:val="%1."/>
      <w:lvlJc w:val="left"/>
      <w:pPr>
        <w:ind w:left="927" w:hanging="360"/>
      </w:pPr>
    </w:lvl>
    <w:lvl w:ilvl="1">
      <w:start w:val="1"/>
      <w:numFmt w:val="decimal"/>
      <w:lvlText w:val="%1.%2."/>
      <w:lvlJc w:val="left"/>
      <w:pPr>
        <w:ind w:left="830" w:hanging="47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75BE53A3"/>
    <w:multiLevelType w:val="multilevel"/>
    <w:tmpl w:val="8F809CAA"/>
    <w:lvl w:ilvl="0">
      <w:start w:val="1"/>
      <w:numFmt w:val="decimal"/>
      <w:pStyle w:val="Heading1"/>
      <w:lvlText w:val="%1."/>
      <w:lvlJc w:val="left"/>
      <w:pPr>
        <w:ind w:left="360" w:hanging="360"/>
      </w:pPr>
    </w:lvl>
    <w:lvl w:ilvl="1">
      <w:start w:val="1"/>
      <w:numFmt w:val="decimal"/>
      <w:pStyle w:val="Headerlevel2"/>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
  </w:num>
  <w:num w:numId="3">
    <w:abstractNumId w:val="4"/>
  </w:num>
  <w:num w:numId="4">
    <w:abstractNumId w:val="5"/>
  </w:num>
  <w:num w:numId="5">
    <w:abstractNumId w:val="6"/>
  </w:num>
  <w:num w:numId="6">
    <w:abstractNumId w:val="2"/>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de-DE" w:vendorID="64" w:dllVersion="6" w:nlCheck="1" w:checkStyle="0"/>
  <w:activeWritingStyle w:appName="MSWord" w:lang="en-IE" w:vendorID="64" w:dllVersion="6" w:nlCheck="1" w:checkStyle="1"/>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activeWritingStyle w:appName="MSWord" w:lang="es-CO" w:vendorID="64" w:dllVersion="0" w:nlCheck="1" w:checkStyle="0"/>
  <w:activeWritingStyle w:appName="MSWord" w:lang="fr-FR" w:vendorID="64" w:dllVersion="0" w:nlCheck="1" w:checkStyle="0"/>
  <w:activeWritingStyle w:appName="MSWord" w:lang="nl-BE" w:vendorID="64" w:dllVersion="0" w:nlCheck="1" w:checkStyle="0"/>
  <w:activeWritingStyle w:appName="MSWord" w:lang="fr-BE" w:vendorID="64" w:dllVersion="0" w:nlCheck="1" w:checkStyle="0"/>
  <w:activeWritingStyle w:appName="MSWord" w:lang="sv-SE" w:vendorID="64" w:dllVersion="0" w:nlCheck="1" w:checkStyle="0"/>
  <w:activeWritingStyle w:appName="MSWord" w:lang="fi-FI" w:vendorID="64" w:dllVersion="0" w:nlCheck="1" w:checkStyle="0"/>
  <w:activeWritingStyle w:appName="MSWord" w:lang="de-DE" w:vendorID="64" w:dllVersion="0" w:nlCheck="1" w:checkStyle="0"/>
  <w:activeWritingStyle w:appName="MSWord" w:lang="it-IT" w:vendorID="64" w:dllVersion="0" w:nlCheck="1" w:checkStyle="0"/>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0A4C3728-B03B-4F3E-A7B5-8B3CCBB6907A"/>
    <w:docVar w:name="LW_COVERPAGE_TYPE" w:val="1"/>
    <w:docVar w:name="LW_CROSSREFERENCE" w:val="&lt;UNUSED&gt;"/>
    <w:docVar w:name="LW_DocType" w:val="NORMAL"/>
    <w:docVar w:name="LW_EMISSION" w:val="10.10.2024"/>
    <w:docVar w:name="LW_EMISSION_ISODATE" w:val="2024-10-10"/>
    <w:docVar w:name="LW_EMISSION_LOCATION" w:val="BRX"/>
    <w:docVar w:name="LW_EMISSION_PREFIX" w:val="Brussels, "/>
    <w:docVar w:name="LW_EMISSION_SUFFIX" w:val=" "/>
    <w:docVar w:name="LW_ID_DOCTYPE_NONLW" w:val="CP-008"/>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4) 456"/>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Funding to promote, protect and enforce fundamental rights_x000b_2024 Annual report on the application of the EU Charter of Fundamental Rights"/>
    <w:docVar w:name="LW_TYPE.DOC.CP" w:val="REPORT FROM THE COMMISSION TO THE EUROPEAN PARLIAMENT, THE COUNCIL, THE EUROPEAN ECONOMIC AND SOCIAL COMMITTEE AND THE COMMITTEE OF THE REGIONS"/>
    <w:docVar w:name="LwApiVersions" w:val="LW4CoDe 1.24.5.0; LW 9.0, Build 20240221"/>
  </w:docVars>
  <w:rsids>
    <w:rsidRoot w:val="002C0325"/>
    <w:rsid w:val="00005F39"/>
    <w:rsid w:val="000353FF"/>
    <w:rsid w:val="00071D9D"/>
    <w:rsid w:val="000736CA"/>
    <w:rsid w:val="000926C8"/>
    <w:rsid w:val="001607D9"/>
    <w:rsid w:val="0019492F"/>
    <w:rsid w:val="00271548"/>
    <w:rsid w:val="0028586E"/>
    <w:rsid w:val="002A7AD5"/>
    <w:rsid w:val="002C0325"/>
    <w:rsid w:val="0030160F"/>
    <w:rsid w:val="00326EA8"/>
    <w:rsid w:val="003503F4"/>
    <w:rsid w:val="00352B78"/>
    <w:rsid w:val="00355CD9"/>
    <w:rsid w:val="003D3D8A"/>
    <w:rsid w:val="003E2B15"/>
    <w:rsid w:val="003F3ACF"/>
    <w:rsid w:val="00406913"/>
    <w:rsid w:val="004C4186"/>
    <w:rsid w:val="004F0154"/>
    <w:rsid w:val="00554BE4"/>
    <w:rsid w:val="005B0DD9"/>
    <w:rsid w:val="005D51B8"/>
    <w:rsid w:val="00616999"/>
    <w:rsid w:val="00623D1D"/>
    <w:rsid w:val="00651119"/>
    <w:rsid w:val="006B7DAE"/>
    <w:rsid w:val="00757930"/>
    <w:rsid w:val="00771EA9"/>
    <w:rsid w:val="00797007"/>
    <w:rsid w:val="007C51A6"/>
    <w:rsid w:val="007F3805"/>
    <w:rsid w:val="007F470D"/>
    <w:rsid w:val="007F69D2"/>
    <w:rsid w:val="00861418"/>
    <w:rsid w:val="008D52F7"/>
    <w:rsid w:val="00912CFD"/>
    <w:rsid w:val="00986E86"/>
    <w:rsid w:val="00990FBB"/>
    <w:rsid w:val="009B4232"/>
    <w:rsid w:val="009B611C"/>
    <w:rsid w:val="009B667B"/>
    <w:rsid w:val="009C4906"/>
    <w:rsid w:val="00A960CD"/>
    <w:rsid w:val="00A968BC"/>
    <w:rsid w:val="00B06FC6"/>
    <w:rsid w:val="00B32DD3"/>
    <w:rsid w:val="00BA45AD"/>
    <w:rsid w:val="00BE6E09"/>
    <w:rsid w:val="00C171B8"/>
    <w:rsid w:val="00C22B9A"/>
    <w:rsid w:val="00CB31AC"/>
    <w:rsid w:val="00CD0284"/>
    <w:rsid w:val="00CD7D07"/>
    <w:rsid w:val="00D364B1"/>
    <w:rsid w:val="00D57DC4"/>
    <w:rsid w:val="00D8798B"/>
    <w:rsid w:val="00DB5AF8"/>
    <w:rsid w:val="00DC7FE8"/>
    <w:rsid w:val="00E21E46"/>
    <w:rsid w:val="00E34A39"/>
    <w:rsid w:val="00E6748C"/>
    <w:rsid w:val="00E97D9D"/>
    <w:rsid w:val="00EF0407"/>
    <w:rsid w:val="00EF3F10"/>
    <w:rsid w:val="00EF485F"/>
    <w:rsid w:val="00F019E0"/>
    <w:rsid w:val="00F14843"/>
    <w:rsid w:val="00F2379D"/>
    <w:rsid w:val="00F4414E"/>
    <w:rsid w:val="00F82099"/>
    <w:rsid w:val="00F872A4"/>
    <w:rsid w:val="00F924B7"/>
    <w:rsid w:val="00FE0E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42D6AA5"/>
  <w15:chartTrackingRefBased/>
  <w15:docId w15:val="{65E8939F-02D8-44D1-A680-66AD93EA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Paragraph"/>
    <w:next w:val="Normal"/>
    <w:link w:val="Heading1Char"/>
    <w:uiPriority w:val="9"/>
    <w:qFormat/>
    <w:rsid w:val="002C0325"/>
    <w:pPr>
      <w:numPr>
        <w:numId w:val="5"/>
      </w:numPr>
      <w:suppressAutoHyphens w:val="0"/>
      <w:autoSpaceDN/>
      <w:spacing w:line="259" w:lineRule="auto"/>
      <w:ind w:left="567" w:hanging="567"/>
      <w:outlineLvl w:val="0"/>
    </w:pPr>
    <w:rPr>
      <w:rFonts w:eastAsiaTheme="minorHAnsi"/>
      <w:b/>
      <w:lang w:val="en-GB"/>
    </w:rPr>
  </w:style>
  <w:style w:type="paragraph" w:styleId="Heading2">
    <w:name w:val="heading 2"/>
    <w:basedOn w:val="Normal"/>
    <w:next w:val="Normal"/>
    <w:link w:val="Heading2Char"/>
    <w:uiPriority w:val="9"/>
    <w:unhideWhenUsed/>
    <w:qFormat/>
    <w:rsid w:val="002C0325"/>
    <w:pPr>
      <w:keepNext/>
      <w:keepLines/>
      <w:suppressAutoHyphens/>
      <w:autoSpaceDN w:val="0"/>
      <w:spacing w:before="40" w:after="0" w:line="256" w:lineRule="auto"/>
      <w:outlineLvl w:val="1"/>
    </w:pPr>
    <w:rPr>
      <w:rFonts w:ascii="Calibri Light" w:eastAsia="Times New Roman" w:hAnsi="Calibri Light" w:cs="Times New Roman"/>
      <w:color w:val="2E74B5"/>
      <w:kern w:val="0"/>
      <w:sz w:val="26"/>
      <w:szCs w:val="26"/>
      <w:lang w:val="en-GB"/>
      <w14:ligatures w14:val="none"/>
    </w:rPr>
  </w:style>
  <w:style w:type="paragraph" w:styleId="Heading3">
    <w:name w:val="heading 3"/>
    <w:basedOn w:val="Normal"/>
    <w:next w:val="Normal"/>
    <w:link w:val="Heading3Char"/>
    <w:uiPriority w:val="9"/>
    <w:semiHidden/>
    <w:unhideWhenUsed/>
    <w:qFormat/>
    <w:rsid w:val="002C0325"/>
    <w:pPr>
      <w:keepNext/>
      <w:keepLines/>
      <w:suppressAutoHyphens/>
      <w:autoSpaceDN w:val="0"/>
      <w:spacing w:before="40" w:after="0" w:line="256" w:lineRule="auto"/>
      <w:outlineLvl w:val="2"/>
    </w:pPr>
    <w:rPr>
      <w:rFonts w:ascii="Calibri Light" w:eastAsia="Times New Roman" w:hAnsi="Calibri Light" w:cs="Times New Roman"/>
      <w:color w:val="1F4D78"/>
      <w:kern w:val="0"/>
      <w:sz w:val="24"/>
      <w:szCs w:val="24"/>
      <w:lang w:val="en-GB"/>
      <w14:ligatures w14:val="none"/>
    </w:rPr>
  </w:style>
  <w:style w:type="paragraph" w:styleId="Heading4">
    <w:name w:val="heading 4"/>
    <w:basedOn w:val="Normal"/>
    <w:next w:val="Normal"/>
    <w:link w:val="Heading4Char"/>
    <w:uiPriority w:val="9"/>
    <w:semiHidden/>
    <w:unhideWhenUsed/>
    <w:qFormat/>
    <w:rsid w:val="002C0325"/>
    <w:pPr>
      <w:keepNext/>
      <w:keepLines/>
      <w:suppressAutoHyphens/>
      <w:autoSpaceDN w:val="0"/>
      <w:spacing w:before="40" w:after="0" w:line="256" w:lineRule="auto"/>
      <w:outlineLvl w:val="3"/>
    </w:pPr>
    <w:rPr>
      <w:rFonts w:ascii="Calibri Light" w:eastAsia="Times New Roman" w:hAnsi="Calibri Light" w:cs="Times New Roman"/>
      <w:i/>
      <w:iCs/>
      <w:color w:val="2E74B5"/>
      <w:kern w:val="0"/>
      <w:lang w:val="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2C0325"/>
    <w:rPr>
      <w:color w:val="0000FF"/>
      <w:shd w:val="clear" w:color="auto" w:fill="auto"/>
    </w:rPr>
  </w:style>
  <w:style w:type="paragraph" w:styleId="Header">
    <w:name w:val="header"/>
    <w:basedOn w:val="Normal"/>
    <w:link w:val="HeaderChar"/>
    <w:uiPriority w:val="99"/>
    <w:unhideWhenUsed/>
    <w:rsid w:val="002C03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325"/>
  </w:style>
  <w:style w:type="paragraph" w:styleId="Footer">
    <w:name w:val="footer"/>
    <w:basedOn w:val="Normal"/>
    <w:link w:val="FooterChar"/>
    <w:uiPriority w:val="99"/>
    <w:unhideWhenUsed/>
    <w:rsid w:val="002C03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325"/>
  </w:style>
  <w:style w:type="paragraph" w:customStyle="1" w:styleId="Pagedecouverture">
    <w:name w:val="Page de couverture"/>
    <w:basedOn w:val="Normal"/>
    <w:next w:val="Normal"/>
    <w:rsid w:val="002C0325"/>
    <w:pPr>
      <w:spacing w:after="0" w:line="240" w:lineRule="auto"/>
      <w:jc w:val="both"/>
    </w:pPr>
    <w:rPr>
      <w:rFonts w:ascii="Times New Roman" w:hAnsi="Times New Roman" w:cs="Times New Roman"/>
      <w:kern w:val="0"/>
      <w:sz w:val="24"/>
      <w14:ligatures w14:val="none"/>
    </w:rPr>
  </w:style>
  <w:style w:type="paragraph" w:customStyle="1" w:styleId="FooterCoverPage">
    <w:name w:val="Footer Cover Page"/>
    <w:basedOn w:val="Normal"/>
    <w:link w:val="FooterCoverPageChar"/>
    <w:rsid w:val="002C0325"/>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2C0325"/>
    <w:rPr>
      <w:rFonts w:ascii="Times New Roman" w:hAnsi="Times New Roman" w:cs="Times New Roman"/>
      <w:sz w:val="24"/>
    </w:rPr>
  </w:style>
  <w:style w:type="paragraph" w:customStyle="1" w:styleId="FooterSensitivity">
    <w:name w:val="Footer Sensitivity"/>
    <w:basedOn w:val="Normal"/>
    <w:link w:val="FooterSensitivityChar"/>
    <w:rsid w:val="002C0325"/>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2C0325"/>
    <w:rPr>
      <w:rFonts w:ascii="Times New Roman" w:hAnsi="Times New Roman" w:cs="Times New Roman"/>
      <w:b/>
      <w:sz w:val="32"/>
    </w:rPr>
  </w:style>
  <w:style w:type="paragraph" w:customStyle="1" w:styleId="HeaderCoverPage">
    <w:name w:val="Header Cover Page"/>
    <w:basedOn w:val="Normal"/>
    <w:link w:val="HeaderCoverPageChar"/>
    <w:rsid w:val="002C0325"/>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2C0325"/>
    <w:rPr>
      <w:rFonts w:ascii="Times New Roman" w:hAnsi="Times New Roman" w:cs="Times New Roman"/>
      <w:sz w:val="24"/>
    </w:rPr>
  </w:style>
  <w:style w:type="paragraph" w:customStyle="1" w:styleId="HeaderSensitivity">
    <w:name w:val="Header Sensitivity"/>
    <w:basedOn w:val="Normal"/>
    <w:link w:val="HeaderSensitivityChar"/>
    <w:rsid w:val="002C0325"/>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2C0325"/>
    <w:rPr>
      <w:rFonts w:ascii="Times New Roman" w:hAnsi="Times New Roman" w:cs="Times New Roman"/>
      <w:b/>
      <w:sz w:val="32"/>
    </w:rPr>
  </w:style>
  <w:style w:type="paragraph" w:customStyle="1" w:styleId="HeaderSensitivityRight">
    <w:name w:val="Header Sensitivity Right"/>
    <w:basedOn w:val="Normal"/>
    <w:link w:val="HeaderSensitivityRightChar"/>
    <w:rsid w:val="002C0325"/>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2C0325"/>
    <w:rPr>
      <w:rFonts w:ascii="Times New Roman" w:hAnsi="Times New Roman" w:cs="Times New Roman"/>
      <w:sz w:val="28"/>
    </w:rPr>
  </w:style>
  <w:style w:type="character" w:customStyle="1" w:styleId="Heading1Char">
    <w:name w:val="Heading 1 Char"/>
    <w:basedOn w:val="DefaultParagraphFont"/>
    <w:link w:val="Heading1"/>
    <w:uiPriority w:val="9"/>
    <w:rsid w:val="002C0325"/>
    <w:rPr>
      <w:rFonts w:ascii="Times New Roman" w:hAnsi="Times New Roman" w:cs="Times New Roman"/>
      <w:b/>
      <w:kern w:val="0"/>
      <w:sz w:val="24"/>
      <w:lang w:val="en-GB"/>
      <w14:ligatures w14:val="none"/>
    </w:rPr>
  </w:style>
  <w:style w:type="character" w:customStyle="1" w:styleId="Heading2Char">
    <w:name w:val="Heading 2 Char"/>
    <w:basedOn w:val="DefaultParagraphFont"/>
    <w:link w:val="Heading2"/>
    <w:uiPriority w:val="9"/>
    <w:rsid w:val="002C0325"/>
    <w:rPr>
      <w:rFonts w:ascii="Calibri Light" w:eastAsia="Times New Roman" w:hAnsi="Calibri Light" w:cs="Times New Roman"/>
      <w:color w:val="2E74B5"/>
      <w:kern w:val="0"/>
      <w:sz w:val="26"/>
      <w:szCs w:val="26"/>
      <w:lang w:val="en-GB"/>
      <w14:ligatures w14:val="none"/>
    </w:rPr>
  </w:style>
  <w:style w:type="character" w:customStyle="1" w:styleId="Heading3Char">
    <w:name w:val="Heading 3 Char"/>
    <w:basedOn w:val="DefaultParagraphFont"/>
    <w:link w:val="Heading3"/>
    <w:uiPriority w:val="9"/>
    <w:semiHidden/>
    <w:rsid w:val="002C0325"/>
    <w:rPr>
      <w:rFonts w:ascii="Calibri Light" w:eastAsia="Times New Roman" w:hAnsi="Calibri Light" w:cs="Times New Roman"/>
      <w:color w:val="1F4D78"/>
      <w:kern w:val="0"/>
      <w:sz w:val="24"/>
      <w:szCs w:val="24"/>
      <w:lang w:val="en-GB"/>
      <w14:ligatures w14:val="none"/>
    </w:rPr>
  </w:style>
  <w:style w:type="character" w:customStyle="1" w:styleId="Heading4Char">
    <w:name w:val="Heading 4 Char"/>
    <w:basedOn w:val="DefaultParagraphFont"/>
    <w:link w:val="Heading4"/>
    <w:uiPriority w:val="9"/>
    <w:semiHidden/>
    <w:rsid w:val="002C0325"/>
    <w:rPr>
      <w:rFonts w:ascii="Calibri Light" w:eastAsia="Times New Roman" w:hAnsi="Calibri Light" w:cs="Times New Roman"/>
      <w:i/>
      <w:iCs/>
      <w:color w:val="2E74B5"/>
      <w:kern w:val="0"/>
      <w:lang w:val="en-GB"/>
      <w14:ligatures w14:val="none"/>
    </w:rPr>
  </w:style>
  <w:style w:type="character" w:styleId="Hyperlink">
    <w:name w:val="Hyperlink"/>
    <w:basedOn w:val="DefaultParagraphFont"/>
    <w:uiPriority w:val="99"/>
    <w:qFormat/>
    <w:rsid w:val="002C0325"/>
    <w:rPr>
      <w:color w:val="0563C1"/>
      <w:u w:val="single"/>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rsid w:val="002C0325"/>
    <w:pPr>
      <w:suppressAutoHyphens/>
      <w:autoSpaceDN w:val="0"/>
      <w:spacing w:after="0" w:line="240" w:lineRule="auto"/>
    </w:pPr>
    <w:rPr>
      <w:rFonts w:ascii="Times New Roman" w:eastAsia="Calibri" w:hAnsi="Times New Roman" w:cs="Times New Roman"/>
      <w:kern w:val="0"/>
      <w:sz w:val="20"/>
      <w:szCs w:val="20"/>
      <w14:ligatures w14:val="none"/>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sid w:val="002C0325"/>
    <w:rPr>
      <w:rFonts w:ascii="Times New Roman" w:eastAsia="Calibri" w:hAnsi="Times New Roman" w:cs="Times New Roman"/>
      <w:kern w:val="0"/>
      <w:sz w:val="20"/>
      <w:szCs w:val="20"/>
      <w14:ligatures w14:val="none"/>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basedOn w:val="DefaultParagraphFont"/>
    <w:link w:val="SUPERSCharCharCharCharCharCharCharChar"/>
    <w:uiPriority w:val="99"/>
    <w:qFormat/>
    <w:rsid w:val="002C0325"/>
    <w:rPr>
      <w:rFonts w:ascii="Times New Roman" w:hAnsi="Times New Roman" w:cs="Times New Roman"/>
      <w:sz w:val="24"/>
      <w:szCs w:val="24"/>
      <w:vertAlign w:val="superscript"/>
    </w:rPr>
  </w:style>
  <w:style w:type="character" w:styleId="CommentReference">
    <w:name w:val="annotation reference"/>
    <w:basedOn w:val="DefaultParagraphFont"/>
    <w:uiPriority w:val="99"/>
    <w:rsid w:val="002C0325"/>
    <w:rPr>
      <w:sz w:val="16"/>
      <w:szCs w:val="16"/>
    </w:rPr>
  </w:style>
  <w:style w:type="paragraph" w:styleId="CommentText">
    <w:name w:val="annotation text"/>
    <w:basedOn w:val="Normal"/>
    <w:link w:val="CommentTextChar"/>
    <w:uiPriority w:val="99"/>
    <w:rsid w:val="002C0325"/>
    <w:pPr>
      <w:suppressAutoHyphens/>
      <w:autoSpaceDN w:val="0"/>
      <w:spacing w:line="240" w:lineRule="auto"/>
    </w:pPr>
    <w:rPr>
      <w:rFonts w:ascii="Calibri" w:eastAsia="Calibri" w:hAnsi="Calibri" w:cs="Times New Roman"/>
      <w:kern w:val="0"/>
      <w:sz w:val="20"/>
      <w:szCs w:val="20"/>
      <w:lang w:val="en-GB"/>
      <w14:ligatures w14:val="none"/>
    </w:rPr>
  </w:style>
  <w:style w:type="character" w:customStyle="1" w:styleId="CommentTextChar">
    <w:name w:val="Comment Text Char"/>
    <w:basedOn w:val="DefaultParagraphFont"/>
    <w:link w:val="CommentText"/>
    <w:uiPriority w:val="99"/>
    <w:rsid w:val="002C0325"/>
    <w:rPr>
      <w:rFonts w:ascii="Calibri" w:eastAsia="Calibri" w:hAnsi="Calibri" w:cs="Times New Roman"/>
      <w:kern w:val="0"/>
      <w:sz w:val="20"/>
      <w:szCs w:val="20"/>
      <w:lang w:val="en-GB"/>
      <w14:ligatures w14:val="none"/>
    </w:rPr>
  </w:style>
  <w:style w:type="paragraph" w:styleId="BalloonText">
    <w:name w:val="Balloon Text"/>
    <w:basedOn w:val="Normal"/>
    <w:link w:val="BalloonTextChar"/>
    <w:uiPriority w:val="99"/>
    <w:rsid w:val="002C0325"/>
    <w:pPr>
      <w:suppressAutoHyphens/>
      <w:autoSpaceDN w:val="0"/>
      <w:spacing w:after="0" w:line="240" w:lineRule="auto"/>
    </w:pPr>
    <w:rPr>
      <w:rFonts w:ascii="Segoe UI" w:eastAsia="Calibri" w:hAnsi="Segoe UI" w:cs="Segoe UI"/>
      <w:kern w:val="0"/>
      <w:sz w:val="18"/>
      <w:szCs w:val="18"/>
      <w:lang w:val="en-GB"/>
      <w14:ligatures w14:val="none"/>
    </w:rPr>
  </w:style>
  <w:style w:type="character" w:customStyle="1" w:styleId="BalloonTextChar">
    <w:name w:val="Balloon Text Char"/>
    <w:basedOn w:val="DefaultParagraphFont"/>
    <w:link w:val="BalloonText"/>
    <w:uiPriority w:val="99"/>
    <w:rsid w:val="002C0325"/>
    <w:rPr>
      <w:rFonts w:ascii="Segoe UI" w:eastAsia="Calibri" w:hAnsi="Segoe UI" w:cs="Segoe UI"/>
      <w:kern w:val="0"/>
      <w:sz w:val="18"/>
      <w:szCs w:val="18"/>
      <w:lang w:val="en-GB"/>
      <w14:ligatures w14:val="none"/>
    </w:rPr>
  </w:style>
  <w:style w:type="paragraph" w:styleId="ListParagraph">
    <w:name w:val="List Paragraph"/>
    <w:aliases w:val="Bullet List Paragraph,List Paragraph1,Elenco a colori - Colore 11,Fiche List Paragraph,Conclusion de partie,Dot pt,No Spacing1,List Paragraph Char Char Char,Indicator Text,Numbered Para 1,Bullet Points,MAIN CONTENT,List Paragraph12,L,2,3"/>
    <w:basedOn w:val="Normal"/>
    <w:link w:val="ListParagraphChar"/>
    <w:uiPriority w:val="34"/>
    <w:qFormat/>
    <w:rsid w:val="002C0325"/>
    <w:pPr>
      <w:suppressAutoHyphens/>
      <w:autoSpaceDN w:val="0"/>
      <w:spacing w:line="256" w:lineRule="auto"/>
      <w:ind w:left="720"/>
      <w:contextualSpacing/>
    </w:pPr>
    <w:rPr>
      <w:rFonts w:ascii="Times New Roman" w:eastAsia="Calibri" w:hAnsi="Times New Roman" w:cs="Times New Roman"/>
      <w:kern w:val="0"/>
      <w:sz w:val="24"/>
      <w:lang w:val="en-US"/>
      <w14:ligatures w14:val="none"/>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qFormat/>
    <w:rsid w:val="002C0325"/>
    <w:pPr>
      <w:suppressAutoHyphens/>
      <w:autoSpaceDN w:val="0"/>
      <w:spacing w:before="60" w:line="240" w:lineRule="exact"/>
      <w:jc w:val="both"/>
    </w:pPr>
    <w:rPr>
      <w:rFonts w:ascii="Times New Roman" w:hAnsi="Times New Roman" w:cs="Times New Roman"/>
      <w:sz w:val="24"/>
      <w:szCs w:val="24"/>
      <w:vertAlign w:val="superscript"/>
    </w:rPr>
  </w:style>
  <w:style w:type="character" w:customStyle="1" w:styleId="ListParagraphChar">
    <w:name w:val="List Paragraph Char"/>
    <w:aliases w:val="Bullet List Paragraph Char,List Paragraph1 Char,Elenco a colori - Colore 11 Char,Fiche List Paragraph Char,Conclusion de partie Char,Dot pt Char,No Spacing1 Char,List Paragraph Char Char Char Char,Indicator Text Char,L Char,2 Char"/>
    <w:link w:val="ListParagraph"/>
    <w:uiPriority w:val="34"/>
    <w:qFormat/>
    <w:rsid w:val="002C0325"/>
    <w:rPr>
      <w:rFonts w:ascii="Times New Roman" w:eastAsia="Calibri" w:hAnsi="Times New Roman" w:cs="Times New Roman"/>
      <w:kern w:val="0"/>
      <w:sz w:val="24"/>
      <w:lang w:val="en-US"/>
      <w14:ligatures w14:val="non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uiPriority w:val="99"/>
    <w:rsid w:val="002C0325"/>
    <w:pPr>
      <w:suppressAutoHyphens/>
      <w:autoSpaceDN w:val="0"/>
      <w:spacing w:line="240" w:lineRule="exact"/>
      <w:jc w:val="both"/>
    </w:pPr>
    <w:rPr>
      <w:rFonts w:ascii="Calibri" w:eastAsia="Calibri" w:hAnsi="Calibri" w:cs="Times New Roman"/>
      <w:kern w:val="0"/>
      <w:vertAlign w:val="superscript"/>
      <w:lang w:val="en-GB"/>
      <w14:ligatures w14:val="none"/>
    </w:rPr>
  </w:style>
  <w:style w:type="paragraph" w:customStyle="1" w:styleId="title-bold">
    <w:name w:val="title-bold"/>
    <w:basedOn w:val="Normal"/>
    <w:rsid w:val="002C0325"/>
    <w:pPr>
      <w:suppressAutoHyphens/>
      <w:autoSpaceDN w:val="0"/>
      <w:spacing w:before="100" w:after="100" w:line="240" w:lineRule="auto"/>
    </w:pPr>
    <w:rPr>
      <w:rFonts w:ascii="Times New Roman" w:eastAsia="Times New Roman" w:hAnsi="Times New Roman" w:cs="Times New Roman"/>
      <w:kern w:val="0"/>
      <w:sz w:val="24"/>
      <w:szCs w:val="24"/>
      <w:lang w:val="en-GB" w:eastAsia="en-GB"/>
      <w14:ligatures w14:val="none"/>
    </w:rPr>
  </w:style>
  <w:style w:type="paragraph" w:styleId="CommentSubject">
    <w:name w:val="annotation subject"/>
    <w:basedOn w:val="CommentText"/>
    <w:next w:val="CommentText"/>
    <w:link w:val="CommentSubjectChar"/>
    <w:uiPriority w:val="99"/>
    <w:rsid w:val="002C0325"/>
    <w:rPr>
      <w:b/>
      <w:bCs/>
      <w:lang w:val="en-US"/>
    </w:rPr>
  </w:style>
  <w:style w:type="character" w:customStyle="1" w:styleId="CommentSubjectChar">
    <w:name w:val="Comment Subject Char"/>
    <w:basedOn w:val="CommentTextChar"/>
    <w:link w:val="CommentSubject"/>
    <w:uiPriority w:val="99"/>
    <w:rsid w:val="002C0325"/>
    <w:rPr>
      <w:rFonts w:ascii="Calibri" w:eastAsia="Calibri" w:hAnsi="Calibri" w:cs="Times New Roman"/>
      <w:b/>
      <w:bCs/>
      <w:kern w:val="0"/>
      <w:sz w:val="20"/>
      <w:szCs w:val="20"/>
      <w:lang w:val="en-US"/>
      <w14:ligatures w14:val="none"/>
    </w:rPr>
  </w:style>
  <w:style w:type="character" w:styleId="FollowedHyperlink">
    <w:name w:val="FollowedHyperlink"/>
    <w:basedOn w:val="DefaultParagraphFont"/>
    <w:uiPriority w:val="99"/>
    <w:rsid w:val="002C0325"/>
    <w:rPr>
      <w:color w:val="954F72"/>
      <w:u w:val="single"/>
    </w:rPr>
  </w:style>
  <w:style w:type="character" w:styleId="Strong">
    <w:name w:val="Strong"/>
    <w:basedOn w:val="DefaultParagraphFont"/>
    <w:uiPriority w:val="22"/>
    <w:qFormat/>
    <w:rsid w:val="002C0325"/>
    <w:rPr>
      <w:b/>
      <w:bCs/>
    </w:rPr>
  </w:style>
  <w:style w:type="character" w:styleId="Emphasis">
    <w:name w:val="Emphasis"/>
    <w:basedOn w:val="DefaultParagraphFont"/>
    <w:uiPriority w:val="20"/>
    <w:qFormat/>
    <w:rsid w:val="002C0325"/>
    <w:rPr>
      <w:i/>
      <w:iCs/>
    </w:rPr>
  </w:style>
  <w:style w:type="paragraph" w:styleId="Revision">
    <w:name w:val="Revision"/>
    <w:uiPriority w:val="99"/>
    <w:rsid w:val="002C0325"/>
    <w:pPr>
      <w:suppressAutoHyphens/>
      <w:autoSpaceDN w:val="0"/>
      <w:spacing w:after="0" w:line="240" w:lineRule="auto"/>
    </w:pPr>
    <w:rPr>
      <w:rFonts w:ascii="Calibri" w:eastAsia="Calibri" w:hAnsi="Calibri" w:cs="Times New Roman"/>
      <w:kern w:val="0"/>
      <w:lang w:val="en-US"/>
      <w14:ligatures w14:val="none"/>
    </w:rPr>
  </w:style>
  <w:style w:type="paragraph" w:customStyle="1" w:styleId="Default">
    <w:name w:val="Default"/>
    <w:rsid w:val="002C0325"/>
    <w:pPr>
      <w:suppressAutoHyphens/>
      <w:autoSpaceDE w:val="0"/>
      <w:autoSpaceDN w:val="0"/>
      <w:spacing w:after="0" w:line="240" w:lineRule="auto"/>
    </w:pPr>
    <w:rPr>
      <w:rFonts w:ascii="Times New Roman" w:eastAsia="Calibri" w:hAnsi="Times New Roman" w:cs="Times New Roman"/>
      <w:color w:val="000000"/>
      <w:kern w:val="0"/>
      <w:sz w:val="24"/>
      <w:szCs w:val="24"/>
      <w:lang w:val="es-ES"/>
      <w14:ligatures w14:val="none"/>
    </w:rPr>
  </w:style>
  <w:style w:type="character" w:customStyle="1" w:styleId="UnresolvedMention1">
    <w:name w:val="Unresolved Mention1"/>
    <w:basedOn w:val="DefaultParagraphFont"/>
    <w:uiPriority w:val="99"/>
    <w:rsid w:val="002C0325"/>
    <w:rPr>
      <w:color w:val="605E5C"/>
      <w:shd w:val="clear" w:color="auto" w:fill="E1DFDD"/>
    </w:rPr>
  </w:style>
  <w:style w:type="character" w:customStyle="1" w:styleId="UnresolvedMention2">
    <w:name w:val="Unresolved Mention2"/>
    <w:basedOn w:val="DefaultParagraphFont"/>
    <w:uiPriority w:val="99"/>
    <w:rsid w:val="002C0325"/>
    <w:rPr>
      <w:color w:val="605E5C"/>
      <w:shd w:val="clear" w:color="auto" w:fill="E1DFDD"/>
    </w:rPr>
  </w:style>
  <w:style w:type="paragraph" w:customStyle="1" w:styleId="listparagraph0">
    <w:name w:val="listparagraph"/>
    <w:basedOn w:val="Normal"/>
    <w:rsid w:val="002C0325"/>
    <w:pPr>
      <w:suppressAutoHyphens/>
      <w:autoSpaceDN w:val="0"/>
      <w:spacing w:before="100" w:after="100" w:line="240" w:lineRule="auto"/>
    </w:pPr>
    <w:rPr>
      <w:rFonts w:ascii="Times New Roman" w:eastAsia="Times New Roman" w:hAnsi="Times New Roman" w:cs="Times New Roman"/>
      <w:kern w:val="0"/>
      <w:sz w:val="24"/>
      <w:szCs w:val="24"/>
      <w:lang w:eastAsia="en-IE"/>
      <w14:ligatures w14:val="none"/>
    </w:rPr>
  </w:style>
  <w:style w:type="character" w:customStyle="1" w:styleId="footnotereference0">
    <w:name w:val="footnotereference"/>
    <w:basedOn w:val="DefaultParagraphFont"/>
    <w:rsid w:val="002C0325"/>
  </w:style>
  <w:style w:type="paragraph" w:styleId="NormalWeb">
    <w:name w:val="Normal (Web)"/>
    <w:basedOn w:val="Normal"/>
    <w:uiPriority w:val="99"/>
    <w:rsid w:val="002C0325"/>
    <w:pPr>
      <w:suppressAutoHyphens/>
      <w:autoSpaceDN w:val="0"/>
      <w:spacing w:after="0" w:line="240" w:lineRule="auto"/>
    </w:pPr>
    <w:rPr>
      <w:rFonts w:ascii="Times New Roman" w:eastAsia="Calibri" w:hAnsi="Times New Roman" w:cs="Times New Roman"/>
      <w:kern w:val="0"/>
      <w:sz w:val="24"/>
      <w:szCs w:val="24"/>
      <w:lang w:val="sk-SK" w:eastAsia="sk-SK"/>
      <w14:ligatures w14:val="none"/>
    </w:rPr>
  </w:style>
  <w:style w:type="paragraph" w:customStyle="1" w:styleId="Normal1">
    <w:name w:val="Normal1"/>
    <w:basedOn w:val="Normal"/>
    <w:rsid w:val="002C0325"/>
    <w:pPr>
      <w:suppressAutoHyphens/>
      <w:autoSpaceDN w:val="0"/>
      <w:spacing w:before="100" w:after="100" w:line="240" w:lineRule="auto"/>
    </w:pPr>
    <w:rPr>
      <w:rFonts w:ascii="Times New Roman" w:eastAsia="Times New Roman" w:hAnsi="Times New Roman" w:cs="Times New Roman"/>
      <w:kern w:val="0"/>
      <w:sz w:val="24"/>
      <w:szCs w:val="24"/>
      <w:lang w:eastAsia="en-IE"/>
      <w14:ligatures w14:val="none"/>
    </w:rPr>
  </w:style>
  <w:style w:type="paragraph" w:customStyle="1" w:styleId="LegalNumPar">
    <w:name w:val="LegalNumPar"/>
    <w:basedOn w:val="Normal"/>
    <w:rsid w:val="002C0325"/>
    <w:pPr>
      <w:suppressAutoHyphens/>
      <w:autoSpaceDN w:val="0"/>
      <w:spacing w:line="360" w:lineRule="auto"/>
    </w:pPr>
    <w:rPr>
      <w:rFonts w:ascii="Calibri" w:eastAsia="Calibri" w:hAnsi="Calibri" w:cs="Times New Roman"/>
      <w:kern w:val="0"/>
      <w:sz w:val="24"/>
      <w:lang w:val="en-GB"/>
      <w14:ligatures w14:val="none"/>
    </w:rPr>
  </w:style>
  <w:style w:type="paragraph" w:customStyle="1" w:styleId="LegalNumPar2">
    <w:name w:val="LegalNumPar2"/>
    <w:basedOn w:val="Normal"/>
    <w:rsid w:val="002C0325"/>
    <w:pPr>
      <w:suppressAutoHyphens/>
      <w:autoSpaceDN w:val="0"/>
      <w:spacing w:line="360" w:lineRule="auto"/>
    </w:pPr>
    <w:rPr>
      <w:rFonts w:ascii="Calibri" w:eastAsia="Calibri" w:hAnsi="Calibri" w:cs="Times New Roman"/>
      <w:kern w:val="0"/>
      <w:sz w:val="24"/>
      <w:lang w:val="en-GB"/>
      <w14:ligatures w14:val="none"/>
    </w:rPr>
  </w:style>
  <w:style w:type="paragraph" w:customStyle="1" w:styleId="LegalNumPar3">
    <w:name w:val="LegalNumPar3"/>
    <w:basedOn w:val="Normal"/>
    <w:rsid w:val="002C0325"/>
    <w:pPr>
      <w:numPr>
        <w:numId w:val="1"/>
      </w:numPr>
      <w:suppressAutoHyphens/>
      <w:autoSpaceDN w:val="0"/>
      <w:spacing w:line="360" w:lineRule="auto"/>
    </w:pPr>
    <w:rPr>
      <w:rFonts w:ascii="Calibri" w:eastAsia="Calibri" w:hAnsi="Calibri" w:cs="Times New Roman"/>
      <w:kern w:val="0"/>
      <w:sz w:val="24"/>
      <w:lang w:val="en-GB"/>
      <w14:ligatures w14:val="none"/>
    </w:rPr>
  </w:style>
  <w:style w:type="paragraph" w:styleId="TOCHeading">
    <w:name w:val="TOC Heading"/>
    <w:basedOn w:val="Heading1"/>
    <w:next w:val="Normal"/>
    <w:uiPriority w:val="39"/>
    <w:qFormat/>
    <w:rsid w:val="002C0325"/>
    <w:pPr>
      <w:numPr>
        <w:numId w:val="0"/>
      </w:numPr>
      <w:spacing w:before="240" w:after="0" w:line="256" w:lineRule="auto"/>
    </w:pPr>
    <w:rPr>
      <w:color w:val="2E74B5"/>
      <w:sz w:val="32"/>
      <w:szCs w:val="32"/>
      <w:lang w:val="en-US"/>
    </w:rPr>
  </w:style>
  <w:style w:type="paragraph" w:styleId="TOC1">
    <w:name w:val="toc 1"/>
    <w:basedOn w:val="Normal"/>
    <w:next w:val="Normal"/>
    <w:link w:val="TOC1Char"/>
    <w:autoRedefine/>
    <w:uiPriority w:val="39"/>
    <w:rsid w:val="002C0325"/>
    <w:pPr>
      <w:tabs>
        <w:tab w:val="right" w:leader="dot" w:pos="440"/>
        <w:tab w:val="left" w:pos="851"/>
        <w:tab w:val="right" w:leader="dot" w:pos="9350"/>
      </w:tabs>
      <w:suppressAutoHyphens/>
      <w:autoSpaceDN w:val="0"/>
      <w:spacing w:after="100" w:line="256" w:lineRule="auto"/>
      <w:ind w:left="426" w:hanging="426"/>
    </w:pPr>
    <w:rPr>
      <w:rFonts w:ascii="Times New Roman" w:eastAsia="Calibri" w:hAnsi="Times New Roman" w:cs="Times New Roman"/>
      <w:b/>
      <w:kern w:val="0"/>
      <w:lang w:val="en-GB"/>
      <w14:ligatures w14:val="none"/>
    </w:rPr>
  </w:style>
  <w:style w:type="character" w:customStyle="1" w:styleId="UnresolvedMention3">
    <w:name w:val="Unresolved Mention3"/>
    <w:basedOn w:val="DefaultParagraphFont"/>
    <w:uiPriority w:val="99"/>
    <w:rsid w:val="002C0325"/>
    <w:rPr>
      <w:color w:val="605E5C"/>
      <w:shd w:val="clear" w:color="auto" w:fill="E1DFDD"/>
    </w:rPr>
  </w:style>
  <w:style w:type="paragraph" w:styleId="TOC2">
    <w:name w:val="toc 2"/>
    <w:basedOn w:val="Normal"/>
    <w:next w:val="Normal"/>
    <w:autoRedefine/>
    <w:uiPriority w:val="39"/>
    <w:rsid w:val="002C0325"/>
    <w:pPr>
      <w:tabs>
        <w:tab w:val="left" w:pos="880"/>
        <w:tab w:val="right" w:leader="dot" w:pos="9350"/>
      </w:tabs>
      <w:suppressAutoHyphens/>
      <w:autoSpaceDN w:val="0"/>
      <w:spacing w:after="100" w:line="256" w:lineRule="auto"/>
      <w:ind w:left="220"/>
    </w:pPr>
    <w:rPr>
      <w:rFonts w:ascii="Calibri" w:eastAsia="Times New Roman" w:hAnsi="Calibri" w:cs="Times New Roman"/>
      <w:kern w:val="0"/>
      <w:lang w:val="en-GB"/>
      <w14:ligatures w14:val="none"/>
    </w:rPr>
  </w:style>
  <w:style w:type="paragraph" w:styleId="TOC3">
    <w:name w:val="toc 3"/>
    <w:basedOn w:val="Normal"/>
    <w:next w:val="Normal"/>
    <w:autoRedefine/>
    <w:uiPriority w:val="39"/>
    <w:rsid w:val="002C0325"/>
    <w:pPr>
      <w:suppressAutoHyphens/>
      <w:autoSpaceDN w:val="0"/>
      <w:spacing w:after="100" w:line="256" w:lineRule="auto"/>
      <w:ind w:left="440"/>
    </w:pPr>
    <w:rPr>
      <w:rFonts w:ascii="Calibri" w:eastAsia="Times New Roman" w:hAnsi="Calibri" w:cs="Times New Roman"/>
      <w:kern w:val="0"/>
      <w:lang w:val="en-GB"/>
      <w14:ligatures w14:val="none"/>
    </w:rPr>
  </w:style>
  <w:style w:type="paragraph" w:customStyle="1" w:styleId="li">
    <w:name w:val="li"/>
    <w:basedOn w:val="Normal"/>
    <w:rsid w:val="002C0325"/>
    <w:pPr>
      <w:suppressAutoHyphens/>
      <w:autoSpaceDN w:val="0"/>
      <w:spacing w:before="100" w:after="100" w:line="240" w:lineRule="auto"/>
    </w:pPr>
    <w:rPr>
      <w:rFonts w:ascii="Times New Roman" w:eastAsia="Times New Roman" w:hAnsi="Times New Roman" w:cs="Times New Roman"/>
      <w:kern w:val="0"/>
      <w:sz w:val="24"/>
      <w:szCs w:val="24"/>
      <w:lang w:eastAsia="en-IE"/>
      <w14:ligatures w14:val="none"/>
    </w:rPr>
  </w:style>
  <w:style w:type="character" w:customStyle="1" w:styleId="num">
    <w:name w:val="num"/>
    <w:basedOn w:val="DefaultParagraphFont"/>
    <w:rsid w:val="002C0325"/>
  </w:style>
  <w:style w:type="character" w:customStyle="1" w:styleId="UnresolvedMention4">
    <w:name w:val="Unresolved Mention4"/>
    <w:basedOn w:val="DefaultParagraphFont"/>
    <w:uiPriority w:val="99"/>
    <w:rsid w:val="002C0325"/>
    <w:rPr>
      <w:color w:val="605E5C"/>
      <w:shd w:val="clear" w:color="auto" w:fill="E1DFDD"/>
    </w:rPr>
  </w:style>
  <w:style w:type="character" w:customStyle="1" w:styleId="MarkingText">
    <w:name w:val="MarkingText"/>
    <w:rsid w:val="002C0325"/>
    <w:rPr>
      <w:i/>
      <w:sz w:val="28"/>
    </w:rPr>
  </w:style>
  <w:style w:type="character" w:customStyle="1" w:styleId="UnresolvedMention500">
    <w:name w:val="Unresolved Mention500"/>
    <w:basedOn w:val="DefaultParagraphFont"/>
    <w:uiPriority w:val="99"/>
    <w:rsid w:val="002C0325"/>
    <w:rPr>
      <w:color w:val="605E5C"/>
      <w:shd w:val="clear" w:color="auto" w:fill="E1DFDD"/>
    </w:rPr>
  </w:style>
  <w:style w:type="character" w:customStyle="1" w:styleId="UnresolvedMention5">
    <w:name w:val="Unresolved Mention5"/>
    <w:basedOn w:val="DefaultParagraphFont"/>
    <w:uiPriority w:val="99"/>
    <w:rsid w:val="002C0325"/>
    <w:rPr>
      <w:color w:val="605E5C"/>
      <w:shd w:val="clear" w:color="auto" w:fill="E1DFDD"/>
    </w:rPr>
  </w:style>
  <w:style w:type="character" w:customStyle="1" w:styleId="normaltextrun">
    <w:name w:val="normaltextrun"/>
    <w:basedOn w:val="DefaultParagraphFont"/>
    <w:rsid w:val="002C0325"/>
  </w:style>
  <w:style w:type="character" w:customStyle="1" w:styleId="UnresolvedMention50">
    <w:name w:val="Unresolved Mention50"/>
    <w:basedOn w:val="DefaultParagraphFont"/>
    <w:uiPriority w:val="99"/>
    <w:rsid w:val="002C0325"/>
    <w:rPr>
      <w:color w:val="605E5C"/>
      <w:shd w:val="clear" w:color="auto" w:fill="E1DFDD"/>
    </w:rPr>
  </w:style>
  <w:style w:type="character" w:customStyle="1" w:styleId="UnresolvedMention5000">
    <w:name w:val="Unresolved Mention5000"/>
    <w:basedOn w:val="DefaultParagraphFont"/>
    <w:uiPriority w:val="99"/>
    <w:rsid w:val="002C0325"/>
    <w:rPr>
      <w:color w:val="605E5C"/>
      <w:shd w:val="clear" w:color="auto" w:fill="E1DFDD"/>
    </w:rPr>
  </w:style>
  <w:style w:type="character" w:customStyle="1" w:styleId="UnresolvedMention50000">
    <w:name w:val="Unresolved Mention50000"/>
    <w:basedOn w:val="DefaultParagraphFont"/>
    <w:uiPriority w:val="99"/>
    <w:rsid w:val="002C0325"/>
    <w:rPr>
      <w:color w:val="605E5C"/>
      <w:shd w:val="clear" w:color="auto" w:fill="E1DFDD"/>
    </w:rPr>
  </w:style>
  <w:style w:type="character" w:customStyle="1" w:styleId="UnresolvedMention500000">
    <w:name w:val="Unresolved Mention500000"/>
    <w:basedOn w:val="DefaultParagraphFont"/>
    <w:uiPriority w:val="99"/>
    <w:rsid w:val="002C0325"/>
    <w:rPr>
      <w:color w:val="605E5C"/>
      <w:shd w:val="clear" w:color="auto" w:fill="E1DFDD"/>
    </w:rPr>
  </w:style>
  <w:style w:type="character" w:customStyle="1" w:styleId="markedcontent">
    <w:name w:val="markedcontent"/>
    <w:basedOn w:val="DefaultParagraphFont"/>
    <w:rsid w:val="002C0325"/>
  </w:style>
  <w:style w:type="character" w:customStyle="1" w:styleId="UnresolvedMention6">
    <w:name w:val="Unresolved Mention6"/>
    <w:basedOn w:val="DefaultParagraphFont"/>
    <w:uiPriority w:val="99"/>
    <w:rsid w:val="002C0325"/>
    <w:rPr>
      <w:color w:val="605E5C"/>
      <w:shd w:val="clear" w:color="auto" w:fill="E1DFDD"/>
    </w:rPr>
  </w:style>
  <w:style w:type="character" w:customStyle="1" w:styleId="UnresolvedMention7">
    <w:name w:val="Unresolved Mention7"/>
    <w:basedOn w:val="DefaultParagraphFont"/>
    <w:uiPriority w:val="99"/>
    <w:rsid w:val="002C0325"/>
    <w:rPr>
      <w:color w:val="605E5C"/>
      <w:shd w:val="clear" w:color="auto" w:fill="E1DFDD"/>
    </w:rPr>
  </w:style>
  <w:style w:type="character" w:customStyle="1" w:styleId="UnresolvedMention8">
    <w:name w:val="Unresolved Mention8"/>
    <w:basedOn w:val="DefaultParagraphFont"/>
    <w:uiPriority w:val="99"/>
    <w:rsid w:val="002C0325"/>
    <w:rPr>
      <w:color w:val="605E5C"/>
      <w:shd w:val="clear" w:color="auto" w:fill="E1DFDD"/>
    </w:rPr>
  </w:style>
  <w:style w:type="character" w:customStyle="1" w:styleId="UnresolvedMention9">
    <w:name w:val="Unresolved Mention9"/>
    <w:basedOn w:val="DefaultParagraphFont"/>
    <w:uiPriority w:val="99"/>
    <w:rsid w:val="002C0325"/>
    <w:rPr>
      <w:color w:val="605E5C"/>
      <w:shd w:val="clear" w:color="auto" w:fill="E1DFDD"/>
    </w:rPr>
  </w:style>
  <w:style w:type="character" w:customStyle="1" w:styleId="UnresolvedMention10">
    <w:name w:val="Unresolved Mention10"/>
    <w:basedOn w:val="DefaultParagraphFont"/>
    <w:uiPriority w:val="99"/>
    <w:rsid w:val="002C0325"/>
    <w:rPr>
      <w:color w:val="605E5C"/>
      <w:shd w:val="clear" w:color="auto" w:fill="E1DFDD"/>
    </w:rPr>
  </w:style>
  <w:style w:type="character" w:customStyle="1" w:styleId="UnresolvedMention11">
    <w:name w:val="Unresolved Mention11"/>
    <w:basedOn w:val="DefaultParagraphFont"/>
    <w:uiPriority w:val="99"/>
    <w:rsid w:val="002C0325"/>
    <w:rPr>
      <w:color w:val="605E5C"/>
      <w:shd w:val="clear" w:color="auto" w:fill="E1DFDD"/>
    </w:rPr>
  </w:style>
  <w:style w:type="character" w:customStyle="1" w:styleId="UnresolvedMention12">
    <w:name w:val="Unresolved Mention12"/>
    <w:basedOn w:val="DefaultParagraphFont"/>
    <w:uiPriority w:val="99"/>
    <w:rsid w:val="002C0325"/>
    <w:rPr>
      <w:color w:val="605E5C"/>
      <w:shd w:val="clear" w:color="auto" w:fill="E1DFDD"/>
    </w:rPr>
  </w:style>
  <w:style w:type="character" w:customStyle="1" w:styleId="UnresolvedMention13">
    <w:name w:val="Unresolved Mention13"/>
    <w:basedOn w:val="DefaultParagraphFont"/>
    <w:uiPriority w:val="99"/>
    <w:rsid w:val="002C0325"/>
    <w:rPr>
      <w:color w:val="605E5C"/>
      <w:shd w:val="clear" w:color="auto" w:fill="E1DFDD"/>
    </w:rPr>
  </w:style>
  <w:style w:type="paragraph" w:customStyle="1" w:styleId="fr">
    <w:name w:val="fr"/>
    <w:aliases w:val="Odwo&lt;0142&gt;anie przypisu,SUPER,BVI fnr Char1 Char,Footnote Reference_LVL6,Footnote Reference_LVL61,Footnote Reference_LVL62,Footnote Reference_LVL63,Footnote Reference_LVL64,Odwołanie przypisu"/>
    <w:basedOn w:val="Normal"/>
    <w:uiPriority w:val="99"/>
    <w:rsid w:val="002C0325"/>
    <w:pPr>
      <w:suppressAutoHyphens/>
      <w:autoSpaceDN w:val="0"/>
      <w:spacing w:line="240" w:lineRule="exact"/>
      <w:jc w:val="both"/>
    </w:pPr>
    <w:rPr>
      <w:rFonts w:ascii="Calibri" w:eastAsia="Calibri" w:hAnsi="Calibri" w:cs="Times New Roman"/>
      <w:kern w:val="0"/>
      <w:vertAlign w:val="superscript"/>
      <w:lang w:val="en-GB"/>
      <w14:ligatures w14:val="none"/>
    </w:rPr>
  </w:style>
  <w:style w:type="paragraph" w:customStyle="1" w:styleId="FootnotesymbolCarZchnZchn">
    <w:name w:val="Footnote symbol Car Zchn Zchn"/>
    <w:aliases w:val="Footnote Car Zchn Zchn,Times 10 Point Car Zchn Zchn,Exposant 3 Point Car Zchn Zchn,Footnote Reference Superscript Car Zchn Zchn, Char Char Char Char Char Car Zchn Zchn,BVI fnr Car Zchn Zchn,ftref"/>
    <w:basedOn w:val="Normal"/>
    <w:uiPriority w:val="99"/>
    <w:rsid w:val="002C0325"/>
    <w:pPr>
      <w:suppressAutoHyphens/>
      <w:autoSpaceDN w:val="0"/>
      <w:spacing w:after="0" w:line="240" w:lineRule="exact"/>
      <w:jc w:val="both"/>
    </w:pPr>
    <w:rPr>
      <w:rFonts w:ascii="Calibri" w:eastAsia="Calibri" w:hAnsi="Calibri" w:cs="Times New Roman"/>
      <w:kern w:val="0"/>
      <w:vertAlign w:val="superscript"/>
      <w:lang w:val="en-GB"/>
      <w14:ligatures w14:val="none"/>
    </w:rPr>
  </w:style>
  <w:style w:type="character" w:customStyle="1" w:styleId="cf01">
    <w:name w:val="cf01"/>
    <w:basedOn w:val="DefaultParagraphFont"/>
    <w:rsid w:val="002C0325"/>
    <w:rPr>
      <w:rFonts w:ascii="Segoe UI" w:hAnsi="Segoe UI" w:cs="Segoe UI"/>
      <w:sz w:val="18"/>
      <w:szCs w:val="18"/>
    </w:rPr>
  </w:style>
  <w:style w:type="character" w:customStyle="1" w:styleId="cf11">
    <w:name w:val="cf11"/>
    <w:basedOn w:val="DefaultParagraphFont"/>
    <w:rsid w:val="002C0325"/>
    <w:rPr>
      <w:rFonts w:ascii="Segoe UI" w:hAnsi="Segoe UI" w:cs="Segoe UI"/>
      <w:color w:val="0000FF"/>
      <w:sz w:val="18"/>
      <w:szCs w:val="18"/>
      <w:u w:val="single"/>
    </w:rPr>
  </w:style>
  <w:style w:type="paragraph" w:customStyle="1" w:styleId="Style1">
    <w:name w:val="Style1"/>
    <w:basedOn w:val="Normal"/>
    <w:qFormat/>
    <w:rsid w:val="002C0325"/>
    <w:pPr>
      <w:suppressAutoHyphens/>
      <w:autoSpaceDN w:val="0"/>
      <w:spacing w:line="276" w:lineRule="auto"/>
      <w:jc w:val="both"/>
    </w:pPr>
    <w:rPr>
      <w:rFonts w:ascii="Times New Roman" w:eastAsia="Calibri" w:hAnsi="Times New Roman" w:cs="Times New Roman"/>
      <w:kern w:val="0"/>
      <w:sz w:val="24"/>
      <w:szCs w:val="24"/>
      <w14:ligatures w14:val="none"/>
    </w:rPr>
  </w:style>
  <w:style w:type="character" w:customStyle="1" w:styleId="Style1Char">
    <w:name w:val="Style1 Char"/>
    <w:basedOn w:val="DefaultParagraphFont"/>
    <w:rsid w:val="002C0325"/>
    <w:rPr>
      <w:rFonts w:ascii="Times New Roman" w:hAnsi="Times New Roman" w:cs="Times New Roman"/>
      <w:sz w:val="24"/>
      <w:szCs w:val="24"/>
      <w:lang w:val="en-IE"/>
    </w:rPr>
  </w:style>
  <w:style w:type="paragraph" w:customStyle="1" w:styleId="doc-ti">
    <w:name w:val="doc-ti"/>
    <w:basedOn w:val="Normal"/>
    <w:rsid w:val="002C0325"/>
    <w:pPr>
      <w:suppressAutoHyphens/>
      <w:autoSpaceDN w:val="0"/>
      <w:spacing w:before="100" w:after="100" w:line="240" w:lineRule="auto"/>
    </w:pPr>
    <w:rPr>
      <w:rFonts w:ascii="Times New Roman" w:eastAsia="Times New Roman" w:hAnsi="Times New Roman" w:cs="Times New Roman"/>
      <w:kern w:val="0"/>
      <w:sz w:val="24"/>
      <w:szCs w:val="24"/>
      <w:lang w:val="en-US"/>
      <w14:ligatures w14:val="none"/>
    </w:rPr>
  </w:style>
  <w:style w:type="numbering" w:customStyle="1" w:styleId="LFO3">
    <w:name w:val="LFO3"/>
    <w:basedOn w:val="NoList"/>
    <w:rsid w:val="002C0325"/>
    <w:pPr>
      <w:numPr>
        <w:numId w:val="1"/>
      </w:numPr>
    </w:pPr>
  </w:style>
  <w:style w:type="table" w:styleId="TableGrid">
    <w:name w:val="Table Grid"/>
    <w:basedOn w:val="TableNormal"/>
    <w:uiPriority w:val="39"/>
    <w:rsid w:val="002C0325"/>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2C0325"/>
    <w:pPr>
      <w:numPr>
        <w:numId w:val="4"/>
      </w:numPr>
    </w:pPr>
  </w:style>
  <w:style w:type="paragraph" w:customStyle="1" w:styleId="Style3">
    <w:name w:val="Style3"/>
    <w:basedOn w:val="ListParagraph"/>
    <w:link w:val="Style3Char"/>
    <w:qFormat/>
    <w:rsid w:val="002C0325"/>
    <w:pPr>
      <w:numPr>
        <w:numId w:val="2"/>
      </w:numPr>
      <w:ind w:left="567" w:hanging="567"/>
    </w:pPr>
  </w:style>
  <w:style w:type="character" w:customStyle="1" w:styleId="Style3Char">
    <w:name w:val="Style3 Char"/>
    <w:basedOn w:val="ListParagraphChar"/>
    <w:link w:val="Style3"/>
    <w:rsid w:val="002C0325"/>
    <w:rPr>
      <w:rFonts w:ascii="Times New Roman" w:eastAsia="Calibri" w:hAnsi="Times New Roman" w:cs="Times New Roman"/>
      <w:kern w:val="0"/>
      <w:sz w:val="24"/>
      <w:lang w:val="en-US"/>
      <w14:ligatures w14:val="none"/>
    </w:rPr>
  </w:style>
  <w:style w:type="paragraph" w:customStyle="1" w:styleId="ContNum">
    <w:name w:val="ContNum"/>
    <w:basedOn w:val="Normal"/>
    <w:uiPriority w:val="1"/>
    <w:qFormat/>
    <w:rsid w:val="002C0325"/>
    <w:pPr>
      <w:numPr>
        <w:numId w:val="6"/>
      </w:numPr>
      <w:spacing w:after="240" w:line="240" w:lineRule="auto"/>
      <w:jc w:val="both"/>
    </w:pPr>
    <w:rPr>
      <w:rFonts w:ascii="Times New Roman" w:eastAsia="Times New Roman" w:hAnsi="Times New Roman" w:cs="Times New Roman"/>
      <w:kern w:val="0"/>
      <w:sz w:val="24"/>
      <w:szCs w:val="20"/>
      <w:lang w:val="en-GB" w:eastAsia="en-IE"/>
      <w14:ligatures w14:val="none"/>
    </w:rPr>
  </w:style>
  <w:style w:type="paragraph" w:customStyle="1" w:styleId="ContNumLevel2">
    <w:name w:val="ContNum (Level 2)"/>
    <w:basedOn w:val="Normal"/>
    <w:uiPriority w:val="1"/>
    <w:rsid w:val="002C0325"/>
    <w:pPr>
      <w:numPr>
        <w:ilvl w:val="1"/>
        <w:numId w:val="6"/>
      </w:numPr>
      <w:spacing w:after="240" w:line="240" w:lineRule="auto"/>
      <w:jc w:val="both"/>
    </w:pPr>
    <w:rPr>
      <w:rFonts w:ascii="Times New Roman" w:eastAsia="Times New Roman" w:hAnsi="Times New Roman" w:cs="Times New Roman"/>
      <w:kern w:val="0"/>
      <w:sz w:val="24"/>
      <w:szCs w:val="20"/>
      <w:lang w:val="en-GB" w:eastAsia="en-IE"/>
      <w14:ligatures w14:val="none"/>
    </w:rPr>
  </w:style>
  <w:style w:type="paragraph" w:customStyle="1" w:styleId="ContNumLevel3">
    <w:name w:val="ContNum (Level 3)"/>
    <w:basedOn w:val="Normal"/>
    <w:uiPriority w:val="1"/>
    <w:rsid w:val="002C0325"/>
    <w:pPr>
      <w:numPr>
        <w:ilvl w:val="2"/>
        <w:numId w:val="6"/>
      </w:numPr>
      <w:spacing w:after="240" w:line="240" w:lineRule="auto"/>
      <w:jc w:val="both"/>
    </w:pPr>
    <w:rPr>
      <w:rFonts w:ascii="Times New Roman" w:eastAsia="Times New Roman" w:hAnsi="Times New Roman" w:cs="Times New Roman"/>
      <w:kern w:val="0"/>
      <w:sz w:val="24"/>
      <w:szCs w:val="20"/>
      <w:lang w:val="en-GB" w:eastAsia="en-IE"/>
      <w14:ligatures w14:val="none"/>
    </w:rPr>
  </w:style>
  <w:style w:type="character" w:customStyle="1" w:styleId="eop">
    <w:name w:val="eop"/>
    <w:basedOn w:val="DefaultParagraphFont"/>
    <w:rsid w:val="002C0325"/>
  </w:style>
  <w:style w:type="paragraph" w:customStyle="1" w:styleId="paragraph">
    <w:name w:val="paragraph"/>
    <w:basedOn w:val="Normal"/>
    <w:rsid w:val="002C0325"/>
    <w:pPr>
      <w:keepLines/>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customStyle="1" w:styleId="UnresolvedMention14">
    <w:name w:val="Unresolved Mention14"/>
    <w:basedOn w:val="DefaultParagraphFont"/>
    <w:uiPriority w:val="99"/>
    <w:semiHidden/>
    <w:unhideWhenUsed/>
    <w:rsid w:val="002C0325"/>
    <w:rPr>
      <w:color w:val="605E5C"/>
      <w:shd w:val="clear" w:color="auto" w:fill="E1DFDD"/>
    </w:rPr>
  </w:style>
  <w:style w:type="character" w:customStyle="1" w:styleId="Mention1">
    <w:name w:val="Mention1"/>
    <w:basedOn w:val="DefaultParagraphFont"/>
    <w:uiPriority w:val="99"/>
    <w:unhideWhenUsed/>
    <w:rsid w:val="002C0325"/>
    <w:rPr>
      <w:color w:val="2B579A"/>
      <w:shd w:val="clear" w:color="auto" w:fill="E1DFDD"/>
    </w:rPr>
  </w:style>
  <w:style w:type="paragraph" w:customStyle="1" w:styleId="Headerlevel2">
    <w:name w:val="Header level 2"/>
    <w:basedOn w:val="ListParagraph"/>
    <w:qFormat/>
    <w:rsid w:val="002C0325"/>
    <w:pPr>
      <w:numPr>
        <w:ilvl w:val="1"/>
        <w:numId w:val="5"/>
      </w:numPr>
      <w:spacing w:before="120" w:after="120" w:line="276" w:lineRule="auto"/>
      <w:jc w:val="both"/>
    </w:pPr>
    <w:rPr>
      <w:b/>
      <w:bCs/>
      <w:noProof/>
      <w:lang w:val="en-IE"/>
    </w:rPr>
  </w:style>
  <w:style w:type="paragraph" w:customStyle="1" w:styleId="Tableofcontentsstyle">
    <w:name w:val="Table of contents style"/>
    <w:basedOn w:val="TOC1"/>
    <w:link w:val="TableofcontentsstyleChar"/>
    <w:qFormat/>
    <w:rsid w:val="002C0325"/>
    <w:rPr>
      <w:b w:val="0"/>
      <w:bCs/>
      <w:noProof/>
    </w:rPr>
  </w:style>
  <w:style w:type="character" w:customStyle="1" w:styleId="TOC1Char">
    <w:name w:val="TOC 1 Char"/>
    <w:basedOn w:val="DefaultParagraphFont"/>
    <w:link w:val="TOC1"/>
    <w:uiPriority w:val="39"/>
    <w:rsid w:val="002C0325"/>
    <w:rPr>
      <w:rFonts w:ascii="Times New Roman" w:eastAsia="Calibri" w:hAnsi="Times New Roman" w:cs="Times New Roman"/>
      <w:b/>
      <w:kern w:val="0"/>
      <w:lang w:val="en-GB"/>
      <w14:ligatures w14:val="none"/>
    </w:rPr>
  </w:style>
  <w:style w:type="character" w:customStyle="1" w:styleId="TableofcontentsstyleChar">
    <w:name w:val="Table of contents style Char"/>
    <w:basedOn w:val="TOC1Char"/>
    <w:link w:val="Tableofcontentsstyle"/>
    <w:rsid w:val="002C0325"/>
    <w:rPr>
      <w:rFonts w:ascii="Times New Roman" w:eastAsia="Calibri" w:hAnsi="Times New Roman" w:cs="Times New Roman"/>
      <w:b w:val="0"/>
      <w:bCs/>
      <w:noProof/>
      <w:kern w:val="0"/>
      <w:lang w:val="en-GB"/>
      <w14:ligatures w14:val="none"/>
    </w:rPr>
  </w:style>
  <w:style w:type="table" w:styleId="ListTable7Colorful-Accent1">
    <w:name w:val="List Table 7 Colorful Accent 1"/>
    <w:basedOn w:val="TableNormal"/>
    <w:uiPriority w:val="52"/>
    <w:rsid w:val="002C0325"/>
    <w:pPr>
      <w:spacing w:after="0" w:line="240" w:lineRule="auto"/>
    </w:pPr>
    <w:rPr>
      <w:color w:val="2F5496" w:themeColor="accent1" w:themeShade="BF"/>
      <w:kern w:val="0"/>
      <w:lang w:val="en-US"/>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112305">
      <w:bodyDiv w:val="1"/>
      <w:marLeft w:val="0"/>
      <w:marRight w:val="0"/>
      <w:marTop w:val="0"/>
      <w:marBottom w:val="0"/>
      <w:divBdr>
        <w:top w:val="none" w:sz="0" w:space="0" w:color="auto"/>
        <w:left w:val="none" w:sz="0" w:space="0" w:color="auto"/>
        <w:bottom w:val="none" w:sz="0" w:space="0" w:color="auto"/>
        <w:right w:val="none" w:sz="0" w:space="0" w:color="auto"/>
      </w:divBdr>
    </w:div>
    <w:div w:id="209362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_rels/footnotes.xml.rels><?xml version="1.0" encoding="UTF-8" standalone="yes"?>
<Relationships xmlns="http://schemas.openxmlformats.org/package/2006/relationships"><Relationship Id="rId26" Type="http://schemas.openxmlformats.org/officeDocument/2006/relationships/hyperlink" Target="https://www.ifj.org/actions/projects/europe/rewriting-the-story-gender-media-and-politics" TargetMode="External"/><Relationship Id="rId21" Type="http://schemas.openxmlformats.org/officeDocument/2006/relationships/hyperlink" Target="https://ecnl.org/news/launching-macs-monitoring-action-civic-space" TargetMode="External"/><Relationship Id="rId42" Type="http://schemas.openxmlformats.org/officeDocument/2006/relationships/hyperlink" Target="https://digital-strategy.ec.europa.eu/en/policies/multimedia-actions" TargetMode="External"/><Relationship Id="rId47" Type="http://schemas.openxmlformats.org/officeDocument/2006/relationships/hyperlink" Target="https://cordis.europa.eu/project/id/101095424" TargetMode="External"/><Relationship Id="rId63" Type="http://schemas.openxmlformats.org/officeDocument/2006/relationships/hyperlink" Target="https://www.arsalgarve.min-saude.pt/noticias/sns-do-algarve-vai-ser-reforcado-com-mais-unidades-de-saude-moveis-de-proximidade/" TargetMode="External"/><Relationship Id="rId68" Type="http://schemas.openxmlformats.org/officeDocument/2006/relationships/hyperlink" Target="https://bip.brpo.gov.pl/sites/default/files/2024-06/Handbook%20-%20Application%20of%20the%20Charter%20of%20Fundamental%20Rights%20%28EN%29.pdf" TargetMode="External"/><Relationship Id="rId84" Type="http://schemas.openxmlformats.org/officeDocument/2006/relationships/hyperlink" Target="https://ahu.mlsp.government.bg/portal/page/86" TargetMode="External"/><Relationship Id="rId89" Type="http://schemas.openxmlformats.org/officeDocument/2006/relationships/hyperlink" Target="https://mj.gouvernement.lu/fr/support/appel-a-projets-2023/appel-a-projets-2023-projets.html" TargetMode="External"/><Relationship Id="rId112" Type="http://schemas.openxmlformats.org/officeDocument/2006/relationships/hyperlink" Target="https://commission.europa.eu/document/download/1458e83d-5b4f-4f1b-ba40-1656be3c81f4_en?filename=Seminar%203%20-%20Support.pdf" TargetMode="External"/><Relationship Id="rId2" Type="http://schemas.openxmlformats.org/officeDocument/2006/relationships/hyperlink" Target="https://commission.europa.eu/document/download/435ae4e8-f5f4-432b-a391-b05468474a1e_en?filename=COM_2023_786_1_EN_ACT_part1_v3.pdf" TargetMode="External"/><Relationship Id="rId16" Type="http://schemas.openxmlformats.org/officeDocument/2006/relationships/hyperlink" Target="https://fra.europa.eu/en/publication/2022/charter-case-studies-trainers-manual" TargetMode="External"/><Relationship Id="rId29" Type="http://schemas.openxmlformats.org/officeDocument/2006/relationships/hyperlink" Target="https://help.elearning.ext.coe.int/" TargetMode="External"/><Relationship Id="rId107" Type="http://schemas.openxmlformats.org/officeDocument/2006/relationships/hyperlink" Target="https://www.consilium.europa.eu/en/press/press-releases/2024/06/25/council-greenlights-agreements-on-the-eea-and-norwegian-financial-mechanisms-for-2021-2028/" TargetMode="External"/><Relationship Id="rId11" Type="http://schemas.openxmlformats.org/officeDocument/2006/relationships/hyperlink" Target="https://commission.europa.eu/aid-development-cooperation-fundamental-rights/your-rights-eu/eu-charter-fundamental-rights_en" TargetMode="External"/><Relationship Id="rId24" Type="http://schemas.openxmlformats.org/officeDocument/2006/relationships/hyperlink" Target="https://minorityrights.org/mario/" TargetMode="External"/><Relationship Id="rId32" Type="http://schemas.openxmlformats.org/officeDocument/2006/relationships/hyperlink" Target="https://victim-support.eu/what-we-do/our-projects/previous/prjct-infovictims-iii/" TargetMode="External"/><Relationship Id="rId37" Type="http://schemas.openxmlformats.org/officeDocument/2006/relationships/hyperlink" Target="https://www.betterinternetforkids.eu/home" TargetMode="External"/><Relationship Id="rId40" Type="http://schemas.openxmlformats.org/officeDocument/2006/relationships/hyperlink" Target="https://digital-strategy.ec.europa.eu/en/policies/news-initiative" TargetMode="External"/><Relationship Id="rId45" Type="http://schemas.openxmlformats.org/officeDocument/2006/relationships/hyperlink" Target="https://project-act.eu/" TargetMode="External"/><Relationship Id="rId53" Type="http://schemas.openxmlformats.org/officeDocument/2006/relationships/hyperlink" Target="https://ec.europa.eu/economy_finance/recovery-and-resilience-scoreboard/index.html" TargetMode="External"/><Relationship Id="rId58" Type="http://schemas.openxmlformats.org/officeDocument/2006/relationships/hyperlink" Target="https://ec.europa.eu/info/funding-tenders/opportunities/portal/screen/opportunities/topic-details/amif-2022-ag-call-thb?order=DESC&amp;pageNumber=1&amp;pageSize=50&amp;sortBy=startDate&amp;status=31094503&amp;programmePeriod=2021%20-%202027&amp;frameworkProgramme=43251447" TargetMode="External"/><Relationship Id="rId66" Type="http://schemas.openxmlformats.org/officeDocument/2006/relationships/hyperlink" Target="https://fra.europa.eu/en/publication/2023/eu-funds" TargetMode="External"/><Relationship Id="rId74" Type="http://schemas.openxmlformats.org/officeDocument/2006/relationships/hyperlink" Target="https://europa.eu/!GVFhVT" TargetMode="External"/><Relationship Id="rId79" Type="http://schemas.openxmlformats.org/officeDocument/2006/relationships/hyperlink" Target="https://fra.europa.eu/sites/default/files/fra_uploads/report-key-findings-fra-civic-space-consultation-covering-2023.pdf" TargetMode="External"/><Relationship Id="rId87" Type="http://schemas.openxmlformats.org/officeDocument/2006/relationships/hyperlink" Target="https://rkrattsbaser.gov.se/sfst?bet=2002:989" TargetMode="External"/><Relationship Id="rId102" Type="http://schemas.openxmlformats.org/officeDocument/2006/relationships/hyperlink" Target="https://fra.europa.eu/en/project/2022/supporting-national-human-rights-institutions-monitoring-fundamental-rights-and" TargetMode="External"/><Relationship Id="rId110" Type="http://schemas.openxmlformats.org/officeDocument/2006/relationships/hyperlink" Target="https://fra.europa.eu/sites/default/files/fra_uploads/report-key-findings-fra-civic-space-consultation-covering-2023.pdf" TargetMode="External"/><Relationship Id="rId5" Type="http://schemas.openxmlformats.org/officeDocument/2006/relationships/hyperlink" Target="https://fra.europa.eu/en/themes/civil-society" TargetMode="External"/><Relationship Id="rId61" Type="http://schemas.openxmlformats.org/officeDocument/2006/relationships/hyperlink" Target="https://www.pelastakaalapset.fi/en/finnish-hotline-nettivihje/learn-more-about-our-work/child-sexual-abuse-prevention-and-education-csape-2022-2024-project/" TargetMode="External"/><Relationship Id="rId82" Type="http://schemas.openxmlformats.org/officeDocument/2006/relationships/hyperlink" Target="https://www.gov.ie/en/press-release/b890b-minister-joe-obrien-announces-ireland-against-racism-funding-call/" TargetMode="External"/><Relationship Id="rId90" Type="http://schemas.openxmlformats.org/officeDocument/2006/relationships/hyperlink" Target="https://hannah-arendt-initiative.de/hannah-arendt-initiative-english/" TargetMode="External"/><Relationship Id="rId95" Type="http://schemas.openxmlformats.org/officeDocument/2006/relationships/hyperlink" Target="https://www.eeagrants.ro/files/upload-dir/776-lista-proiecte-apel-1-ro-sanatate.pdf" TargetMode="External"/><Relationship Id="rId19" Type="http://schemas.openxmlformats.org/officeDocument/2006/relationships/hyperlink" Target="https://ec.europa.eu/info/funding-tenders/opportunities/portal/screen/opportunities/calls-for-proposals?isExactMatch=true&amp;status=31094501,31094502&amp;frameworkProgramme=43251589&amp;order=DESC&amp;pageNumber=1&amp;pageSize=50&amp;sortBy=startDate" TargetMode="External"/><Relationship Id="rId14" Type="http://schemas.openxmlformats.org/officeDocument/2006/relationships/hyperlink" Target="https://e-learning.fra.europa.eu/" TargetMode="External"/><Relationship Id="rId22" Type="http://schemas.openxmlformats.org/officeDocument/2006/relationships/hyperlink" Target="https://eooh.eu/" TargetMode="External"/><Relationship Id="rId27" Type="http://schemas.openxmlformats.org/officeDocument/2006/relationships/hyperlink" Target="https://commission.europa.eu/funding-tenders/find-funding/eu-funding-programmes/justice-programme_en" TargetMode="External"/><Relationship Id="rId30" Type="http://schemas.openxmlformats.org/officeDocument/2006/relationships/hyperlink" Target="https://www.julia-project.eu/" TargetMode="External"/><Relationship Id="rId35" Type="http://schemas.openxmlformats.org/officeDocument/2006/relationships/hyperlink" Target="https://european-training-platform.e-justice.europa.eu/about-platform" TargetMode="External"/><Relationship Id="rId43" Type="http://schemas.openxmlformats.org/officeDocument/2006/relationships/hyperlink" Target="https://www.disabilityartsinternational.org/europe-beyond-access/" TargetMode="External"/><Relationship Id="rId48" Type="http://schemas.openxmlformats.org/officeDocument/2006/relationships/hyperlink" Target="https://rea.ec.europa.eu/news/creating-safer-space-children-online-2024-02-06_en" TargetMode="External"/><Relationship Id="rId56" Type="http://schemas.openxmlformats.org/officeDocument/2006/relationships/hyperlink" Target="https://home-affairs.ec.europa.eu/funding/internal-security-funds_en" TargetMode="External"/><Relationship Id="rId64" Type="http://schemas.openxmlformats.org/officeDocument/2006/relationships/hyperlink" Target="https://commission.europa.eu/funding-tenders/find-funding/funding-management-mode_en" TargetMode="External"/><Relationship Id="rId69" Type="http://schemas.openxmlformats.org/officeDocument/2006/relationships/hyperlink" Target="https://gmr.lbg.ac.at/echofunds-enhancing-charter-compliance-of-eu-funds/?lang=en" TargetMode="External"/><Relationship Id="rId77" Type="http://schemas.openxmlformats.org/officeDocument/2006/relationships/hyperlink" Target="https://europa.eu/!qb7FNq" TargetMode="External"/><Relationship Id="rId100" Type="http://schemas.openxmlformats.org/officeDocument/2006/relationships/hyperlink" Target="https://www.ihrec.ie/documents/strategy-statement-2022-2024/" TargetMode="External"/><Relationship Id="rId105" Type="http://schemas.openxmlformats.org/officeDocument/2006/relationships/hyperlink" Target="https://eeagrants.org/" TargetMode="External"/><Relationship Id="rId113" Type="http://schemas.openxmlformats.org/officeDocument/2006/relationships/hyperlink" Target="https://sdgs.un.org/goals" TargetMode="External"/><Relationship Id="rId8" Type="http://schemas.openxmlformats.org/officeDocument/2006/relationships/hyperlink" Target="https://fra.europa.eu/en/cooperation/civil-society" TargetMode="External"/><Relationship Id="rId51" Type="http://schemas.openxmlformats.org/officeDocument/2006/relationships/hyperlink" Target="https://agriculture.ec.europa.eu/common-agricultural-policy/financing-cap/cap-funds_en" TargetMode="External"/><Relationship Id="rId72" Type="http://schemas.openxmlformats.org/officeDocument/2006/relationships/hyperlink" Target="https://anti-fraud.ec.europa.eu/policy/union-anti-fraud-programme-uafp_en" TargetMode="External"/><Relationship Id="rId80" Type="http://schemas.openxmlformats.org/officeDocument/2006/relationships/hyperlink" Target="https://fra.europa.eu/sites/default/files/fra_uploads/report-key-findings-fra-civic-space-consultation-covering-2023.pdf" TargetMode="External"/><Relationship Id="rId85" Type="http://schemas.openxmlformats.org/officeDocument/2006/relationships/hyperlink" Target="https://www.ikg-wien.at/Likrat" TargetMode="External"/><Relationship Id="rId93" Type="http://schemas.openxmlformats.org/officeDocument/2006/relationships/hyperlink" Target="https://fra.europa.eu/en/publication/2023/civic-space-2023-update" TargetMode="External"/><Relationship Id="rId98" Type="http://schemas.openxmlformats.org/officeDocument/2006/relationships/hyperlink" Target="https://www.antidiskriminierungsstelle.de/SharedDocs/downloads/DE/ueber_uns/foerderricht%20linie.pdf" TargetMode="External"/><Relationship Id="rId3" Type="http://schemas.openxmlformats.org/officeDocument/2006/relationships/hyperlink" Target="https://eur-lex.europa.eu/legal-content/EN/TXT/?uri=CELEX:52022DC0716" TargetMode="External"/><Relationship Id="rId12" Type="http://schemas.openxmlformats.org/officeDocument/2006/relationships/hyperlink" Target="https://fra.europa.eu/en/event/2023/1st-annual-eu-charterxchange" TargetMode="External"/><Relationship Id="rId17" Type="http://schemas.openxmlformats.org/officeDocument/2006/relationships/hyperlink" Target="https://fra.europa.eu/en/publication/2022/charter-case-studies-trainers-manual" TargetMode="External"/><Relationship Id="rId25" Type="http://schemas.openxmlformats.org/officeDocument/2006/relationships/hyperlink" Target="https://empoweringchildren.gov.mt/" TargetMode="External"/><Relationship Id="rId33" Type="http://schemas.openxmlformats.org/officeDocument/2006/relationships/hyperlink" Target="https://e-justice.europa.eu/home?plang=en&amp;action=home" TargetMode="External"/><Relationship Id="rId38" Type="http://schemas.openxmlformats.org/officeDocument/2006/relationships/hyperlink" Target="https://edmo.eu/" TargetMode="External"/><Relationship Id="rId46" Type="http://schemas.openxmlformats.org/officeDocument/2006/relationships/hyperlink" Target="https://erasmus-plus.ec.europa.eu/document/implementation-guidelines-erasmus-and-european-solidarity-corps-inclusion-and-diversity-strategy" TargetMode="External"/><Relationship Id="rId59" Type="http://schemas.openxmlformats.org/officeDocument/2006/relationships/hyperlink" Target="https://ec.europa.eu/info/funding-tenders/opportunities/portal/screen/opportunities/projects-details/43251530/101137969/BMVI?isExactMatch=true&amp;frameworkProgramme=43251530&amp;order=DESC&amp;pageNumber=NaN&amp;sortBy=title" TargetMode="External"/><Relationship Id="rId67" Type="http://schemas.openxmlformats.org/officeDocument/2006/relationships/hyperlink" Target="https://www.snslp.sk/wp-content/uploads/EU_funds_ENG_web.pdf" TargetMode="External"/><Relationship Id="rId103" Type="http://schemas.openxmlformats.org/officeDocument/2006/relationships/hyperlink" Target="https://ennhri.org/news-and-blog/strengthening-nhris-to-advance-eu-common-values-and-the-eu-charter-of-fundamental-rights-outcomes-of-fra-conference-on-nhris/" TargetMode="External"/><Relationship Id="rId108" Type="http://schemas.openxmlformats.org/officeDocument/2006/relationships/hyperlink" Target="https://eeagrants.org/news/projects-helping-roma-communities-get-out-slums" TargetMode="External"/><Relationship Id="rId20" Type="http://schemas.openxmlformats.org/officeDocument/2006/relationships/hyperlink" Target="https://commission.europa.eu/about-european-commission/departments-and-executive-agencies/justice-and-consumers/justice-and-consumers-funding-tenders/funding-programmes/citizens-equality-rights-and-values-programme/cerv-national-contact-points_en" TargetMode="External"/><Relationship Id="rId41" Type="http://schemas.openxmlformats.org/officeDocument/2006/relationships/hyperlink" Target="https://digital-strategy.ec.europa.eu/en/news/third-generation-eu-supported-journalism-partnerships-ready-help-news-sector" TargetMode="External"/><Relationship Id="rId54" Type="http://schemas.openxmlformats.org/officeDocument/2006/relationships/hyperlink" Target="https://commission.europa.eu/funding-tenders/find-funding/eu-funding-programmes/technical-support-instrument/technical-support-instrument-tsi_en" TargetMode="External"/><Relationship Id="rId62" Type="http://schemas.openxmlformats.org/officeDocument/2006/relationships/hyperlink" Target="https://ec.europa.eu/regional_policy/en/projects/Croatia/the-e-schools-project-moves-croatian-children-and-teachers-towards-digital-education" TargetMode="External"/><Relationship Id="rId70" Type="http://schemas.openxmlformats.org/officeDocument/2006/relationships/hyperlink" Target="https://commission.europa.eu/strategy-and-policy/eu-budget/how-it-works/annual-lifecycle/implementation/anti-fraud-measures/edes_en" TargetMode="External"/><Relationship Id="rId75" Type="http://schemas.openxmlformats.org/officeDocument/2006/relationships/hyperlink" Target="https://europa.eu/!4w6YWN" TargetMode="External"/><Relationship Id="rId83" Type="http://schemas.openxmlformats.org/officeDocument/2006/relationships/hyperlink" Target="https://transparencia.gob.es/transparencia/transparencia_Home/index/PublicidadActiva/Contratos/PlanesSubvenciones.html?imprimir=1" TargetMode="External"/><Relationship Id="rId88" Type="http://schemas.openxmlformats.org/officeDocument/2006/relationships/hyperlink" Target="https://www.pap.hacienda.gob.es/bdnstrans/GE/es/inicio" TargetMode="External"/><Relationship Id="rId91" Type="http://schemas.openxmlformats.org/officeDocument/2006/relationships/hyperlink" Target="https://www.plataformaong.org/alianzas-estatales.php" TargetMode="External"/><Relationship Id="rId96" Type="http://schemas.openxmlformats.org/officeDocument/2006/relationships/hyperlink" Target="https://www.coe.int/en/web/children/barnahus-project-in-slovenia" TargetMode="External"/><Relationship Id="rId111" Type="http://schemas.openxmlformats.org/officeDocument/2006/relationships/hyperlink" Target="https://www.gmfus.org/democracy-work/engaging-central-europe" TargetMode="External"/><Relationship Id="rId1" Type="http://schemas.openxmlformats.org/officeDocument/2006/relationships/hyperlink" Target="https://commission.europa.eu/aid-development-cooperation-fundamental-rights/your-rights-eu/eu-charter-fundamental-rights/application-charter/eu-strategy-strengthen-application-charter_en" TargetMode="External"/><Relationship Id="rId6" Type="http://schemas.openxmlformats.org/officeDocument/2006/relationships/hyperlink" Target="https://commission.europa.eu/document/90e15f95-0c5d-466d-95e0-d324d6c55f57_en" TargetMode="External"/><Relationship Id="rId15" Type="http://schemas.openxmlformats.org/officeDocument/2006/relationships/hyperlink" Target="https://e-learning.fra.europa.eu/" TargetMode="External"/><Relationship Id="rId23" Type="http://schemas.openxmlformats.org/officeDocument/2006/relationships/hyperlink" Target="https://ec.europa.eu/info/funding-tenders/opportunities/portal/screen/opportunities/topic-details/cerv-2023-char-liti-whistle" TargetMode="External"/><Relationship Id="rId28" Type="http://schemas.openxmlformats.org/officeDocument/2006/relationships/hyperlink" Target="https://ejtn.eu/" TargetMode="External"/><Relationship Id="rId36" Type="http://schemas.openxmlformats.org/officeDocument/2006/relationships/hyperlink" Target="https://digital-strategy.ec.europa.eu/en/activities/digital-programme" TargetMode="External"/><Relationship Id="rId49" Type="http://schemas.openxmlformats.org/officeDocument/2006/relationships/hyperlink" Target="https://cordis.europa.eu/project/id/101121282" TargetMode="External"/><Relationship Id="rId57" Type="http://schemas.openxmlformats.org/officeDocument/2006/relationships/hyperlink" Target="https://prd.frontex.europa.eu/document/fundamental-rights-strategy/" TargetMode="External"/><Relationship Id="rId106" Type="http://schemas.openxmlformats.org/officeDocument/2006/relationships/hyperlink" Target="https://www.efta.int/sites/default/files/documents/legal-texts/eea/the-eea-agreement/Protocols%20to%20the%20Agreement/protocol38c.pdf" TargetMode="External"/><Relationship Id="rId114" Type="http://schemas.openxmlformats.org/officeDocument/2006/relationships/hyperlink" Target="https://www.eeas.europa.eu/council-europe/eu-projects-council-europe_en?s=51" TargetMode="External"/><Relationship Id="rId10" Type="http://schemas.openxmlformats.org/officeDocument/2006/relationships/hyperlink" Target="https://e-justice.europa.eu/512/EN/your_rights" TargetMode="External"/><Relationship Id="rId31" Type="http://schemas.openxmlformats.org/officeDocument/2006/relationships/hyperlink" Target="https://www.digirights.net/" TargetMode="External"/><Relationship Id="rId44" Type="http://schemas.openxmlformats.org/officeDocument/2006/relationships/hyperlink" Target="https://education.ec.europa.eu/education-levels/higher-education/european-universities-initiative/about?" TargetMode="External"/><Relationship Id="rId52" Type="http://schemas.openxmlformats.org/officeDocument/2006/relationships/hyperlink" Target="https://cordis.europa.eu/project/id/101052342" TargetMode="External"/><Relationship Id="rId60" Type="http://schemas.openxmlformats.org/officeDocument/2006/relationships/hyperlink" Target="https://greece.iom.int/rightlines-drawing-fundamental-rights-policies-and-actions-greek-and-cypriot-borders" TargetMode="External"/><Relationship Id="rId65" Type="http://schemas.openxmlformats.org/officeDocument/2006/relationships/hyperlink" Target="https://fra.europa.eu/en/publication/2023/eu-funds" TargetMode="External"/><Relationship Id="rId73" Type="http://schemas.openxmlformats.org/officeDocument/2006/relationships/hyperlink" Target="https://www.nonincrimina.com/" TargetMode="External"/><Relationship Id="rId78" Type="http://schemas.openxmlformats.org/officeDocument/2006/relationships/hyperlink" Target="https://europa.eu/!fn6kcM" TargetMode="External"/><Relationship Id="rId81" Type="http://schemas.openxmlformats.org/officeDocument/2006/relationships/hyperlink" Target="https://www.bundeskanzleramt.gv.at/service/foerderungen-des-bundeskanzleramtes/frauenprojektfoerderungen.html" TargetMode="External"/><Relationship Id="rId86" Type="http://schemas.openxmlformats.org/officeDocument/2006/relationships/hyperlink" Target="https://www.wiesenthalpreis.at/home" TargetMode="External"/><Relationship Id="rId94" Type="http://schemas.openxmlformats.org/officeDocument/2006/relationships/hyperlink" Target="https://fra.europa.eu/sites/default/files/fra_uploads/report-key-findings-fra-civic-space-consultation-covering-2023.pdf" TargetMode="External"/><Relationship Id="rId99" Type="http://schemas.openxmlformats.org/officeDocument/2006/relationships/hyperlink" Target="https://www.gesetze-im-internet.de/englisch_agg/englisch_agg.html" TargetMode="External"/><Relationship Id="rId101" Type="http://schemas.openxmlformats.org/officeDocument/2006/relationships/hyperlink" Target="https://aditus.org.mt/our-work/projects/rooting-for-rights/" TargetMode="External"/><Relationship Id="rId4" Type="http://schemas.openxmlformats.org/officeDocument/2006/relationships/hyperlink" Target="https://eur-lex.europa.eu/legal-content/EN/TXT/?uri=CELEX:52021DC0819" TargetMode="External"/><Relationship Id="rId9" Type="http://schemas.openxmlformats.org/officeDocument/2006/relationships/hyperlink" Target="https://commission.europa.eu/system/files/2017-09/opperational-guidance-fundamental-rights-in-impact-assessments_en.pdf" TargetMode="External"/><Relationship Id="rId13" Type="http://schemas.openxmlformats.org/officeDocument/2006/relationships/hyperlink" Target="https://fra.europa.eu/en/eu-charter/fra-charter-resources" TargetMode="External"/><Relationship Id="rId18" Type="http://schemas.openxmlformats.org/officeDocument/2006/relationships/hyperlink" Target="https://commission.europa.eu/system/files/2022-12/c_2022_8588_1_en_annexe_acte_autonome_cp_part1_v2.pdf" TargetMode="External"/><Relationship Id="rId39" Type="http://schemas.openxmlformats.org/officeDocument/2006/relationships/hyperlink" Target="https://culture.ec.europa.eu/creative-europe" TargetMode="External"/><Relationship Id="rId109" Type="http://schemas.openxmlformats.org/officeDocument/2006/relationships/hyperlink" Target="https://www.usaid.gov/" TargetMode="External"/><Relationship Id="rId34" Type="http://schemas.openxmlformats.org/officeDocument/2006/relationships/hyperlink" Target="https://e-justice.europa.eu/581/EN/fundamental_rights" TargetMode="External"/><Relationship Id="rId50" Type="http://schemas.openxmlformats.org/officeDocument/2006/relationships/hyperlink" Target="https://cordis.europa.eu/project/id/101052342" TargetMode="External"/><Relationship Id="rId55" Type="http://schemas.openxmlformats.org/officeDocument/2006/relationships/hyperlink" Target="https://home-affairs.ec.europa.eu/funding/asylum-migration-and-integration-funds_en" TargetMode="External"/><Relationship Id="rId76" Type="http://schemas.openxmlformats.org/officeDocument/2006/relationships/hyperlink" Target="https://europa.eu/!XGGHtB" TargetMode="External"/><Relationship Id="rId97" Type="http://schemas.openxmlformats.org/officeDocument/2006/relationships/hyperlink" Target="https://ennhri.org/wp-content/uploads/2022/05/ENNHRI-Statement-on-NHRIs-Monitoring-Fundamental-Rights-Compliance-Of-EU-Funds.pdf" TargetMode="External"/><Relationship Id="rId104" Type="http://schemas.openxmlformats.org/officeDocument/2006/relationships/hyperlink" Target="https://fra.europa.eu/sites/default/files/fra_uploads/report-key-findings-fra-civic-space-consultation-covering-2023.pdf" TargetMode="External"/><Relationship Id="rId7" Type="http://schemas.openxmlformats.org/officeDocument/2006/relationships/hyperlink" Target="https://www.europarl.europa.eu/factsheets/en/sheet/29/multiannual-financial-framework" TargetMode="External"/><Relationship Id="rId71" Type="http://schemas.openxmlformats.org/officeDocument/2006/relationships/hyperlink" Target="https://ec.europa.eu/info/funding-tenders/opportunities/docs/2021-2027/horizon/agr-contr/unit-mga_he_en.pdf" TargetMode="External"/><Relationship Id="rId92" Type="http://schemas.openxmlformats.org/officeDocument/2006/relationships/hyperlink" Target="https://oportunitati-ue.go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B6E9C-86C8-4EEC-9F52-69933F94A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14222</Words>
  <Characters>81071</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cp:revision>
  <dcterms:created xsi:type="dcterms:W3CDTF">2024-10-09T16:25:00Z</dcterms:created>
  <dcterms:modified xsi:type="dcterms:W3CDTF">2024-10-10T07:21:00Z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CP-008</vt:lpwstr>
  </property>
  <property fmtid="{D5CDD505-2E9C-101B-9397-08002B2CF9AE}" pid="7" name="Last edited using">
    <vt:lpwstr>LW 8.1, Build 20220902</vt:lpwstr>
  </property>
  <property fmtid="{D5CDD505-2E9C-101B-9397-08002B2CF9AE}" pid="8" name="Created using">
    <vt:lpwstr>LW 9.0, Build 20230317</vt:lpwstr>
  </property>
  <property fmtid="{D5CDD505-2E9C-101B-9397-08002B2CF9AE}" pid="9" name="MSIP_Label_6bd9ddd1-4d20-43f6-abfa-fc3c07406f94_Enabled">
    <vt:lpwstr>true</vt:lpwstr>
  </property>
  <property fmtid="{D5CDD505-2E9C-101B-9397-08002B2CF9AE}" pid="10" name="MSIP_Label_6bd9ddd1-4d20-43f6-abfa-fc3c07406f94_SetDate">
    <vt:lpwstr>2024-09-05T14:43:17Z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8e0cfcf8-01e5-4b6b-be0b-2de1b9e2be08</vt:lpwstr>
  </property>
  <property fmtid="{D5CDD505-2E9C-101B-9397-08002B2CF9AE}" pid="15" name="MSIP_Label_6bd9ddd1-4d20-43f6-abfa-fc3c07406f94_ContentBits">
    <vt:lpwstr>0</vt:lpwstr>
  </property>
</Properties>
</file>