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C7CBE" w14:textId="33EEF6C2" w:rsidR="006D7C54" w:rsidRPr="00310516" w:rsidRDefault="00700CE1" w:rsidP="00700CE1">
      <w:pPr>
        <w:pStyle w:val="Pagedecouverture"/>
        <w:rPr>
          <w:noProof/>
        </w:rPr>
      </w:pPr>
      <w:bookmarkStart w:id="0" w:name="LW_BM_COVERPAGE"/>
      <w:r>
        <w:rPr>
          <w:noProof/>
        </w:rPr>
        <w:pict w14:anchorId="19C22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B3281328-8029-4D94-ACFA-624B1E76FFF8" style="width:455.25pt;height:405.75pt">
            <v:imagedata r:id="rId11" o:title=""/>
          </v:shape>
        </w:pict>
      </w:r>
    </w:p>
    <w:bookmarkEnd w:id="0"/>
    <w:p w14:paraId="6F0A417D" w14:textId="77777777" w:rsidR="006D7C54" w:rsidRPr="00310516" w:rsidRDefault="006D7C54">
      <w:pPr>
        <w:rPr>
          <w:rFonts w:ascii="Times New Roman" w:hAnsi="Times New Roman" w:cs="Times New Roman"/>
          <w:noProof/>
          <w:sz w:val="24"/>
          <w:szCs w:val="24"/>
        </w:rPr>
        <w:sectPr w:rsidR="006D7C54" w:rsidRPr="00310516" w:rsidSect="00700CE1">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2"/>
          <w:cols w:space="720"/>
          <w:docGrid w:linePitch="360"/>
        </w:sectPr>
      </w:pPr>
    </w:p>
    <w:p w14:paraId="777F48A6" w14:textId="77777777" w:rsidR="00C53945" w:rsidRPr="00310516" w:rsidRDefault="000605E4" w:rsidP="003524B5">
      <w:pPr>
        <w:spacing w:after="120"/>
        <w:jc w:val="center"/>
        <w:rPr>
          <w:rFonts w:ascii="Times New Roman" w:hAnsi="Times New Roman" w:cs="Times New Roman"/>
          <w:b/>
          <w:noProof/>
          <w:sz w:val="24"/>
          <w:szCs w:val="24"/>
        </w:rPr>
      </w:pPr>
      <w:bookmarkStart w:id="1" w:name="_GoBack"/>
      <w:bookmarkEnd w:id="1"/>
      <w:r w:rsidRPr="00310516">
        <w:rPr>
          <w:rFonts w:ascii="Times New Roman" w:hAnsi="Times New Roman" w:cs="Times New Roman"/>
          <w:b/>
          <w:noProof/>
          <w:sz w:val="24"/>
          <w:szCs w:val="24"/>
        </w:rPr>
        <w:lastRenderedPageBreak/>
        <w:t xml:space="preserve">REPORT FROM THE COMMISSION </w:t>
      </w:r>
    </w:p>
    <w:p w14:paraId="69130C67" w14:textId="77777777" w:rsidR="00110300" w:rsidRPr="00310516" w:rsidRDefault="000605E4" w:rsidP="003524B5">
      <w:pPr>
        <w:spacing w:after="120"/>
        <w:jc w:val="center"/>
        <w:rPr>
          <w:rFonts w:ascii="Times New Roman" w:hAnsi="Times New Roman" w:cs="Times New Roman"/>
          <w:b/>
          <w:noProof/>
          <w:sz w:val="24"/>
          <w:szCs w:val="24"/>
        </w:rPr>
      </w:pPr>
      <w:r w:rsidRPr="00310516">
        <w:rPr>
          <w:rFonts w:ascii="Times New Roman" w:hAnsi="Times New Roman" w:cs="Times New Roman"/>
          <w:b/>
          <w:noProof/>
          <w:sz w:val="24"/>
          <w:szCs w:val="24"/>
        </w:rPr>
        <w:t xml:space="preserve">TO THE EUROPEAN PARLIAMENT AND THE COUNCIL </w:t>
      </w:r>
    </w:p>
    <w:p w14:paraId="1ACFAE40" w14:textId="14C9E669" w:rsidR="00076422" w:rsidRDefault="000605E4" w:rsidP="00076422">
      <w:pPr>
        <w:spacing w:after="120"/>
        <w:jc w:val="center"/>
        <w:rPr>
          <w:rFonts w:ascii="Times New Roman" w:hAnsi="Times New Roman" w:cs="Times New Roman"/>
          <w:b/>
          <w:noProof/>
          <w:sz w:val="24"/>
          <w:szCs w:val="24"/>
        </w:rPr>
      </w:pPr>
      <w:r w:rsidRPr="00310516">
        <w:rPr>
          <w:rFonts w:ascii="Times New Roman" w:hAnsi="Times New Roman" w:cs="Times New Roman"/>
          <w:b/>
          <w:noProof/>
          <w:sz w:val="24"/>
          <w:szCs w:val="24"/>
        </w:rPr>
        <w:t>on the exercise of the power to adopt delegated acts conferred on the Co</w:t>
      </w:r>
      <w:r w:rsidR="00C33368" w:rsidRPr="00310516">
        <w:rPr>
          <w:rFonts w:ascii="Times New Roman" w:hAnsi="Times New Roman" w:cs="Times New Roman"/>
          <w:b/>
          <w:noProof/>
          <w:sz w:val="24"/>
          <w:szCs w:val="24"/>
        </w:rPr>
        <w:t xml:space="preserve">mmission pursuant to </w:t>
      </w:r>
      <w:r w:rsidR="00073E97">
        <w:rPr>
          <w:rFonts w:ascii="Times New Roman" w:hAnsi="Times New Roman" w:cs="Times New Roman"/>
          <w:b/>
          <w:noProof/>
          <w:sz w:val="24"/>
          <w:szCs w:val="24"/>
        </w:rPr>
        <w:t xml:space="preserve">Council </w:t>
      </w:r>
      <w:r w:rsidR="00076422" w:rsidRPr="00310516">
        <w:rPr>
          <w:rFonts w:ascii="Times New Roman" w:hAnsi="Times New Roman" w:cs="Times New Roman"/>
          <w:b/>
          <w:noProof/>
          <w:sz w:val="24"/>
          <w:szCs w:val="24"/>
        </w:rPr>
        <w:t xml:space="preserve">Directive </w:t>
      </w:r>
      <w:bookmarkStart w:id="2" w:name="_Hlk166243448"/>
      <w:r w:rsidR="00076422" w:rsidRPr="00310516">
        <w:rPr>
          <w:rFonts w:ascii="Times New Roman" w:hAnsi="Times New Roman" w:cs="Times New Roman"/>
          <w:b/>
          <w:noProof/>
          <w:sz w:val="24"/>
          <w:szCs w:val="24"/>
        </w:rPr>
        <w:t>86/278/E</w:t>
      </w:r>
      <w:r w:rsidR="001C1C01">
        <w:rPr>
          <w:rFonts w:ascii="Times New Roman" w:hAnsi="Times New Roman" w:cs="Times New Roman"/>
          <w:b/>
          <w:noProof/>
          <w:sz w:val="24"/>
          <w:szCs w:val="24"/>
        </w:rPr>
        <w:t>E</w:t>
      </w:r>
      <w:r w:rsidR="00076422" w:rsidRPr="00310516">
        <w:rPr>
          <w:rFonts w:ascii="Times New Roman" w:hAnsi="Times New Roman" w:cs="Times New Roman"/>
          <w:b/>
          <w:noProof/>
          <w:sz w:val="24"/>
          <w:szCs w:val="24"/>
        </w:rPr>
        <w:t xml:space="preserve">C </w:t>
      </w:r>
      <w:bookmarkEnd w:id="2"/>
      <w:r w:rsidR="00076422" w:rsidRPr="00310516">
        <w:rPr>
          <w:rFonts w:ascii="Times New Roman" w:hAnsi="Times New Roman" w:cs="Times New Roman"/>
          <w:b/>
          <w:noProof/>
          <w:sz w:val="24"/>
          <w:szCs w:val="24"/>
        </w:rPr>
        <w:t xml:space="preserve">of 12 June 1986 on the protection of the environment, and in particular of the soil, when sewage sludge is used in agriculture, Directive 94/62/EC of 20 December 1994 on packaging and packaging waste, Directive 2000/53/EC of 18 September 2000 on end-of life vehicles, </w:t>
      </w:r>
      <w:r w:rsidR="004B41BC">
        <w:rPr>
          <w:rFonts w:ascii="Times New Roman" w:hAnsi="Times New Roman" w:cs="Times New Roman"/>
          <w:b/>
          <w:noProof/>
          <w:sz w:val="24"/>
          <w:szCs w:val="24"/>
        </w:rPr>
        <w:t xml:space="preserve">Regulation (EC) No 1013/2006 on shipments of waste, </w:t>
      </w:r>
      <w:r w:rsidR="00076422" w:rsidRPr="00310516">
        <w:rPr>
          <w:rFonts w:ascii="Times New Roman" w:hAnsi="Times New Roman" w:cs="Times New Roman"/>
          <w:b/>
          <w:noProof/>
          <w:sz w:val="24"/>
          <w:szCs w:val="24"/>
        </w:rPr>
        <w:t>Directive 2006/66/EC of 6 September 2006 on batteries and accumulators and waste batteries and accumulators</w:t>
      </w:r>
      <w:r w:rsidR="00B16C29">
        <w:rPr>
          <w:rFonts w:ascii="Times New Roman" w:hAnsi="Times New Roman" w:cs="Times New Roman"/>
          <w:b/>
          <w:noProof/>
          <w:sz w:val="24"/>
          <w:szCs w:val="24"/>
        </w:rPr>
        <w:t>,</w:t>
      </w:r>
      <w:r w:rsidR="00AA0334">
        <w:rPr>
          <w:rFonts w:ascii="Times New Roman" w:hAnsi="Times New Roman" w:cs="Times New Roman"/>
          <w:b/>
          <w:noProof/>
          <w:sz w:val="24"/>
          <w:szCs w:val="24"/>
        </w:rPr>
        <w:t xml:space="preserve"> and</w:t>
      </w:r>
      <w:r w:rsidR="00076422" w:rsidRPr="00310516">
        <w:rPr>
          <w:rFonts w:ascii="Times New Roman" w:hAnsi="Times New Roman" w:cs="Times New Roman"/>
          <w:b/>
          <w:noProof/>
          <w:sz w:val="24"/>
          <w:szCs w:val="24"/>
        </w:rPr>
        <w:t xml:space="preserve"> Directive 2008/98/EC of 19 November 2008 on waste</w:t>
      </w:r>
    </w:p>
    <w:p w14:paraId="2C5C9721" w14:textId="77777777" w:rsidR="00554217" w:rsidRPr="00310516" w:rsidRDefault="00554217" w:rsidP="00076422">
      <w:pPr>
        <w:spacing w:after="120"/>
        <w:jc w:val="center"/>
        <w:rPr>
          <w:rFonts w:ascii="Times New Roman" w:hAnsi="Times New Roman" w:cs="Times New Roman"/>
          <w:b/>
          <w:noProof/>
          <w:sz w:val="24"/>
          <w:szCs w:val="24"/>
        </w:rPr>
      </w:pPr>
    </w:p>
    <w:p w14:paraId="69E6EB93" w14:textId="3FE50685" w:rsidR="006B41D0" w:rsidRPr="004B41BC" w:rsidRDefault="006B41D0" w:rsidP="004B41BC">
      <w:pPr>
        <w:pStyle w:val="ListParagraph"/>
        <w:numPr>
          <w:ilvl w:val="0"/>
          <w:numId w:val="10"/>
        </w:numPr>
        <w:spacing w:after="120"/>
        <w:jc w:val="both"/>
        <w:rPr>
          <w:rFonts w:ascii="Times New Roman" w:hAnsi="Times New Roman" w:cs="Times New Roman"/>
          <w:b/>
          <w:bCs/>
          <w:noProof/>
          <w:sz w:val="24"/>
          <w:szCs w:val="24"/>
          <w:shd w:val="clear" w:color="auto" w:fill="FFFFFF"/>
        </w:rPr>
      </w:pPr>
      <w:r w:rsidRPr="00BA40EF">
        <w:rPr>
          <w:rFonts w:ascii="Times New Roman" w:hAnsi="Times New Roman" w:cs="Times New Roman"/>
          <w:b/>
          <w:bCs/>
          <w:noProof/>
          <w:sz w:val="24"/>
          <w:szCs w:val="24"/>
          <w:shd w:val="clear" w:color="auto" w:fill="FFFFFF"/>
        </w:rPr>
        <w:t>Introduction</w:t>
      </w:r>
    </w:p>
    <w:p w14:paraId="5E87B01C" w14:textId="20860242" w:rsidR="00073E97" w:rsidRPr="000B1F58" w:rsidRDefault="00073E97" w:rsidP="00073E97">
      <w:pPr>
        <w:spacing w:after="120"/>
        <w:jc w:val="both"/>
        <w:rPr>
          <w:rFonts w:ascii="Times New Roman" w:hAnsi="Times New Roman" w:cs="Times New Roman"/>
          <w:noProof/>
          <w:sz w:val="24"/>
          <w:szCs w:val="24"/>
          <w:shd w:val="clear" w:color="auto" w:fill="FFFFFF"/>
        </w:rPr>
      </w:pPr>
      <w:r>
        <w:rPr>
          <w:rFonts w:ascii="Times New Roman" w:hAnsi="Times New Roman" w:cs="Times New Roman"/>
          <w:noProof/>
          <w:sz w:val="24"/>
          <w:szCs w:val="24"/>
        </w:rPr>
        <w:t>T</w:t>
      </w:r>
      <w:r w:rsidRPr="000B1F58">
        <w:rPr>
          <w:rFonts w:ascii="Times New Roman" w:hAnsi="Times New Roman" w:cs="Times New Roman"/>
          <w:noProof/>
          <w:sz w:val="24"/>
          <w:szCs w:val="24"/>
        </w:rPr>
        <w:t xml:space="preserve">he Commission was conferred </w:t>
      </w:r>
      <w:r w:rsidR="005B5088">
        <w:rPr>
          <w:rFonts w:ascii="Times New Roman" w:hAnsi="Times New Roman" w:cs="Times New Roman"/>
          <w:noProof/>
          <w:sz w:val="24"/>
          <w:szCs w:val="24"/>
        </w:rPr>
        <w:t>on</w:t>
      </w:r>
      <w:r w:rsidR="005B5088" w:rsidRPr="000B1F58">
        <w:rPr>
          <w:rFonts w:ascii="Times New Roman" w:hAnsi="Times New Roman" w:cs="Times New Roman"/>
          <w:noProof/>
          <w:sz w:val="24"/>
          <w:szCs w:val="24"/>
        </w:rPr>
        <w:t xml:space="preserve"> </w:t>
      </w:r>
      <w:r w:rsidRPr="000B1F58">
        <w:rPr>
          <w:rFonts w:ascii="Times New Roman" w:hAnsi="Times New Roman" w:cs="Times New Roman"/>
          <w:noProof/>
          <w:sz w:val="24"/>
          <w:szCs w:val="24"/>
        </w:rPr>
        <w:t xml:space="preserve">the power to adopt delegated acts </w:t>
      </w:r>
      <w:r w:rsidRPr="000B1F58">
        <w:rPr>
          <w:rFonts w:ascii="Times New Roman" w:hAnsi="Times New Roman" w:cs="Times New Roman"/>
          <w:noProof/>
          <w:sz w:val="24"/>
          <w:szCs w:val="24"/>
          <w:shd w:val="clear" w:color="auto" w:fill="FFFFFF"/>
        </w:rPr>
        <w:t>for a period of five years, starting from 4 July 2018</w:t>
      </w:r>
      <w:r w:rsidR="0035129A">
        <w:rPr>
          <w:rFonts w:ascii="Times New Roman" w:hAnsi="Times New Roman" w:cs="Times New Roman"/>
          <w:noProof/>
          <w:sz w:val="24"/>
          <w:szCs w:val="24"/>
          <w:shd w:val="clear" w:color="auto" w:fill="FFFFFF"/>
        </w:rPr>
        <w:t>,</w:t>
      </w:r>
      <w:r>
        <w:rPr>
          <w:rFonts w:ascii="Times New Roman" w:hAnsi="Times New Roman" w:cs="Times New Roman"/>
          <w:noProof/>
          <w:sz w:val="24"/>
          <w:szCs w:val="24"/>
          <w:shd w:val="clear" w:color="auto" w:fill="FFFFFF"/>
        </w:rPr>
        <w:t xml:space="preserve"> </w:t>
      </w:r>
      <w:r w:rsidR="00752AE0">
        <w:rPr>
          <w:rFonts w:ascii="Times New Roman" w:hAnsi="Times New Roman" w:cs="Times New Roman"/>
          <w:noProof/>
          <w:sz w:val="24"/>
          <w:szCs w:val="24"/>
          <w:shd w:val="clear" w:color="auto" w:fill="FFFFFF"/>
        </w:rPr>
        <w:t>under</w:t>
      </w:r>
      <w:r w:rsidRPr="000B1F58">
        <w:rPr>
          <w:rFonts w:ascii="Times New Roman" w:hAnsi="Times New Roman" w:cs="Times New Roman"/>
          <w:noProof/>
          <w:sz w:val="24"/>
          <w:szCs w:val="24"/>
          <w:shd w:val="clear" w:color="auto" w:fill="FFFFFF"/>
        </w:rPr>
        <w:t xml:space="preserve">: </w:t>
      </w:r>
    </w:p>
    <w:p w14:paraId="167C08E7" w14:textId="209916E0" w:rsidR="00073E97" w:rsidRPr="000B1F58" w:rsidRDefault="00073E97" w:rsidP="00073E97">
      <w:pPr>
        <w:pStyle w:val="ListParagraph"/>
        <w:numPr>
          <w:ilvl w:val="0"/>
          <w:numId w:val="24"/>
        </w:numPr>
        <w:spacing w:after="120"/>
        <w:jc w:val="both"/>
        <w:rPr>
          <w:rFonts w:ascii="Times New Roman" w:hAnsi="Times New Roman" w:cs="Times New Roman"/>
          <w:noProof/>
          <w:sz w:val="24"/>
          <w:szCs w:val="24"/>
          <w:shd w:val="clear" w:color="auto" w:fill="FFFFFF"/>
        </w:rPr>
      </w:pPr>
      <w:r w:rsidRPr="000B1F58">
        <w:rPr>
          <w:rFonts w:ascii="Times New Roman" w:hAnsi="Times New Roman" w:cs="Times New Roman"/>
          <w:noProof/>
          <w:sz w:val="24"/>
          <w:szCs w:val="24"/>
          <w:shd w:val="clear" w:color="auto" w:fill="FFFFFF"/>
        </w:rPr>
        <w:t>Article 15a(2)</w:t>
      </w:r>
      <w:r w:rsidR="0035129A">
        <w:rPr>
          <w:rFonts w:ascii="Times New Roman" w:hAnsi="Times New Roman" w:cs="Times New Roman"/>
          <w:noProof/>
          <w:sz w:val="24"/>
          <w:szCs w:val="24"/>
          <w:shd w:val="clear" w:color="auto" w:fill="FFFFFF"/>
        </w:rPr>
        <w:t>,</w:t>
      </w:r>
      <w:r w:rsidRPr="000B1F58">
        <w:rPr>
          <w:rFonts w:ascii="Times New Roman" w:hAnsi="Times New Roman" w:cs="Times New Roman"/>
          <w:noProof/>
          <w:sz w:val="24"/>
          <w:szCs w:val="24"/>
          <w:shd w:val="clear" w:color="auto" w:fill="FFFFFF"/>
        </w:rPr>
        <w:t xml:space="preserve"> first sentence</w:t>
      </w:r>
      <w:r w:rsidR="0035129A">
        <w:rPr>
          <w:rFonts w:ascii="Times New Roman" w:hAnsi="Times New Roman" w:cs="Times New Roman"/>
          <w:noProof/>
          <w:sz w:val="24"/>
          <w:szCs w:val="24"/>
          <w:shd w:val="clear" w:color="auto" w:fill="FFFFFF"/>
        </w:rPr>
        <w:t>,</w:t>
      </w:r>
      <w:r w:rsidRPr="000B1F58">
        <w:rPr>
          <w:rFonts w:ascii="Times New Roman" w:hAnsi="Times New Roman" w:cs="Times New Roman"/>
          <w:noProof/>
          <w:sz w:val="24"/>
          <w:szCs w:val="24"/>
          <w:shd w:val="clear" w:color="auto" w:fill="FFFFFF"/>
        </w:rPr>
        <w:t xml:space="preserve"> of </w:t>
      </w:r>
      <w:r w:rsidRPr="1463D20E">
        <w:rPr>
          <w:rFonts w:ascii="Times New Roman" w:hAnsi="Times New Roman" w:cs="Times New Roman"/>
          <w:noProof/>
          <w:sz w:val="24"/>
          <w:szCs w:val="24"/>
          <w:shd w:val="clear" w:color="auto" w:fill="FFFFFF"/>
        </w:rPr>
        <w:t xml:space="preserve">Council Directive </w:t>
      </w:r>
      <w:r w:rsidRPr="00073E97">
        <w:rPr>
          <w:rFonts w:ascii="Times New Roman" w:hAnsi="Times New Roman" w:cs="Times New Roman"/>
          <w:noProof/>
          <w:sz w:val="24"/>
          <w:szCs w:val="24"/>
          <w:shd w:val="clear" w:color="auto" w:fill="FFFFFF"/>
        </w:rPr>
        <w:t>86/278/E</w:t>
      </w:r>
      <w:r w:rsidR="001C1C01">
        <w:rPr>
          <w:rFonts w:ascii="Times New Roman" w:hAnsi="Times New Roman" w:cs="Times New Roman"/>
          <w:noProof/>
          <w:sz w:val="24"/>
          <w:szCs w:val="24"/>
          <w:shd w:val="clear" w:color="auto" w:fill="FFFFFF"/>
        </w:rPr>
        <w:t>E</w:t>
      </w:r>
      <w:r w:rsidRPr="00073E97">
        <w:rPr>
          <w:rFonts w:ascii="Times New Roman" w:hAnsi="Times New Roman" w:cs="Times New Roman"/>
          <w:noProof/>
          <w:sz w:val="24"/>
          <w:szCs w:val="24"/>
          <w:shd w:val="clear" w:color="auto" w:fill="FFFFFF"/>
        </w:rPr>
        <w:t xml:space="preserve">C </w:t>
      </w:r>
      <w:r w:rsidRPr="1463D20E">
        <w:rPr>
          <w:rFonts w:ascii="Times New Roman" w:hAnsi="Times New Roman" w:cs="Times New Roman"/>
          <w:noProof/>
          <w:sz w:val="24"/>
          <w:szCs w:val="24"/>
          <w:shd w:val="clear" w:color="auto" w:fill="FFFFFF"/>
        </w:rPr>
        <w:t>of 12 June 1986 on the protection of the environment, and in particular of the soil, when sewage sludge is used in agriculture</w:t>
      </w:r>
      <w:r w:rsidRPr="1463D20E">
        <w:rPr>
          <w:rStyle w:val="FootnoteReference"/>
          <w:rFonts w:ascii="Times New Roman" w:hAnsi="Times New Roman" w:cs="Times New Roman"/>
          <w:noProof/>
          <w:sz w:val="24"/>
          <w:szCs w:val="24"/>
          <w:shd w:val="clear" w:color="auto" w:fill="FFFFFF"/>
        </w:rPr>
        <w:footnoteReference w:id="2"/>
      </w:r>
      <w:r w:rsidR="00752AE0">
        <w:rPr>
          <w:rFonts w:ascii="Times New Roman" w:hAnsi="Times New Roman" w:cs="Times New Roman"/>
          <w:noProof/>
          <w:sz w:val="24"/>
          <w:szCs w:val="24"/>
          <w:shd w:val="clear" w:color="auto" w:fill="FFFFFF"/>
        </w:rPr>
        <w:t>,</w:t>
      </w:r>
    </w:p>
    <w:p w14:paraId="2F6E3A85" w14:textId="4124BB22" w:rsidR="00073E97" w:rsidRPr="000B1F58" w:rsidRDefault="00073E97" w:rsidP="00073E97">
      <w:pPr>
        <w:pStyle w:val="ListParagraph"/>
        <w:numPr>
          <w:ilvl w:val="0"/>
          <w:numId w:val="24"/>
        </w:numPr>
        <w:spacing w:after="120"/>
        <w:jc w:val="both"/>
        <w:rPr>
          <w:rFonts w:ascii="Times New Roman" w:hAnsi="Times New Roman" w:cs="Times New Roman"/>
          <w:noProof/>
          <w:sz w:val="24"/>
          <w:szCs w:val="24"/>
          <w:shd w:val="clear" w:color="auto" w:fill="FFFFFF"/>
        </w:rPr>
      </w:pPr>
      <w:r w:rsidRPr="000B1F58">
        <w:rPr>
          <w:rFonts w:ascii="Times New Roman" w:hAnsi="Times New Roman" w:cs="Times New Roman"/>
          <w:noProof/>
          <w:sz w:val="24"/>
          <w:szCs w:val="24"/>
          <w:shd w:val="clear" w:color="auto" w:fill="FFFFFF"/>
        </w:rPr>
        <w:t>Article 21a(2), first sentence</w:t>
      </w:r>
      <w:r w:rsidR="0035129A">
        <w:rPr>
          <w:rFonts w:ascii="Times New Roman" w:hAnsi="Times New Roman" w:cs="Times New Roman"/>
          <w:noProof/>
          <w:sz w:val="24"/>
          <w:szCs w:val="24"/>
          <w:shd w:val="clear" w:color="auto" w:fill="FFFFFF"/>
        </w:rPr>
        <w:t>,</w:t>
      </w:r>
      <w:r w:rsidRPr="000B1F58">
        <w:rPr>
          <w:rFonts w:ascii="Times New Roman" w:hAnsi="Times New Roman" w:cs="Times New Roman"/>
          <w:noProof/>
          <w:sz w:val="24"/>
          <w:szCs w:val="24"/>
          <w:shd w:val="clear" w:color="auto" w:fill="FFFFFF"/>
        </w:rPr>
        <w:t xml:space="preserve"> of </w:t>
      </w:r>
      <w:r w:rsidR="0035129A">
        <w:rPr>
          <w:rFonts w:ascii="Times New Roman" w:hAnsi="Times New Roman" w:cs="Times New Roman"/>
          <w:noProof/>
          <w:sz w:val="24"/>
          <w:szCs w:val="24"/>
          <w:shd w:val="clear" w:color="auto" w:fill="FFFFFF"/>
        </w:rPr>
        <w:t xml:space="preserve">the </w:t>
      </w:r>
      <w:r w:rsidR="00752AE0" w:rsidRPr="00310516">
        <w:rPr>
          <w:rFonts w:ascii="Times New Roman" w:hAnsi="Times New Roman" w:cs="Times New Roman"/>
          <w:noProof/>
          <w:sz w:val="24"/>
          <w:szCs w:val="24"/>
        </w:rPr>
        <w:t>European Parliament and Council Directive 94/62/EC of 20 December 1994 on packaging and packaging waste</w:t>
      </w:r>
      <w:r w:rsidR="00752AE0" w:rsidRPr="00310516">
        <w:rPr>
          <w:rStyle w:val="FootnoteReference"/>
          <w:rFonts w:ascii="Times New Roman" w:hAnsi="Times New Roman" w:cs="Times New Roman"/>
          <w:noProof/>
          <w:sz w:val="24"/>
          <w:szCs w:val="24"/>
        </w:rPr>
        <w:footnoteReference w:id="3"/>
      </w:r>
      <w:r w:rsidR="00752AE0">
        <w:rPr>
          <w:rFonts w:ascii="Times New Roman" w:hAnsi="Times New Roman" w:cs="Times New Roman"/>
          <w:noProof/>
          <w:sz w:val="24"/>
          <w:szCs w:val="24"/>
        </w:rPr>
        <w:t>,</w:t>
      </w:r>
    </w:p>
    <w:p w14:paraId="32C7C76D" w14:textId="3D2DB3D7" w:rsidR="00073E97" w:rsidRPr="000B1F58" w:rsidRDefault="00073E97" w:rsidP="00073E97">
      <w:pPr>
        <w:pStyle w:val="ListParagraph"/>
        <w:numPr>
          <w:ilvl w:val="0"/>
          <w:numId w:val="24"/>
        </w:numPr>
        <w:spacing w:after="120"/>
        <w:jc w:val="both"/>
        <w:rPr>
          <w:rFonts w:ascii="Times New Roman" w:hAnsi="Times New Roman" w:cs="Times New Roman"/>
          <w:noProof/>
          <w:sz w:val="24"/>
          <w:szCs w:val="24"/>
          <w:shd w:val="clear" w:color="auto" w:fill="FFFFFF"/>
        </w:rPr>
      </w:pPr>
      <w:r w:rsidRPr="000B1F58">
        <w:rPr>
          <w:rFonts w:ascii="Times New Roman" w:hAnsi="Times New Roman" w:cs="Times New Roman"/>
          <w:noProof/>
          <w:sz w:val="24"/>
          <w:szCs w:val="24"/>
          <w:shd w:val="clear" w:color="auto" w:fill="FFFFFF"/>
        </w:rPr>
        <w:t>Article 9a(2), first sentence</w:t>
      </w:r>
      <w:r w:rsidR="0035129A">
        <w:rPr>
          <w:rFonts w:ascii="Times New Roman" w:hAnsi="Times New Roman" w:cs="Times New Roman"/>
          <w:noProof/>
          <w:sz w:val="24"/>
          <w:szCs w:val="24"/>
          <w:shd w:val="clear" w:color="auto" w:fill="FFFFFF"/>
        </w:rPr>
        <w:t>,</w:t>
      </w:r>
      <w:r w:rsidRPr="000B1F58">
        <w:rPr>
          <w:rFonts w:ascii="Times New Roman" w:hAnsi="Times New Roman" w:cs="Times New Roman"/>
          <w:noProof/>
          <w:sz w:val="24"/>
          <w:szCs w:val="24"/>
          <w:shd w:val="clear" w:color="auto" w:fill="FFFFFF"/>
        </w:rPr>
        <w:t xml:space="preserve"> of </w:t>
      </w:r>
      <w:r w:rsidR="00752AE0" w:rsidRPr="00310516">
        <w:rPr>
          <w:rFonts w:ascii="Times New Roman" w:hAnsi="Times New Roman" w:cs="Times New Roman"/>
          <w:noProof/>
          <w:sz w:val="24"/>
          <w:szCs w:val="24"/>
        </w:rPr>
        <w:t>Directive 2000/53/EC of the European Parliament and of the Council of 18 September 2000 on end-of life vehicles</w:t>
      </w:r>
      <w:r w:rsidR="00752AE0" w:rsidRPr="00310516">
        <w:rPr>
          <w:rStyle w:val="FootnoteReference"/>
          <w:rFonts w:ascii="Times New Roman" w:hAnsi="Times New Roman" w:cs="Times New Roman"/>
          <w:noProof/>
          <w:sz w:val="24"/>
          <w:szCs w:val="24"/>
        </w:rPr>
        <w:footnoteReference w:id="4"/>
      </w:r>
      <w:r w:rsidR="00752AE0">
        <w:rPr>
          <w:rFonts w:ascii="Times New Roman" w:hAnsi="Times New Roman" w:cs="Times New Roman"/>
          <w:noProof/>
          <w:sz w:val="24"/>
          <w:szCs w:val="24"/>
        </w:rPr>
        <w:t xml:space="preserve">, </w:t>
      </w:r>
    </w:p>
    <w:p w14:paraId="353A6289" w14:textId="0453FE05" w:rsidR="00073E97" w:rsidRPr="000B1F58" w:rsidRDefault="00073E97" w:rsidP="00073E97">
      <w:pPr>
        <w:pStyle w:val="ListParagraph"/>
        <w:numPr>
          <w:ilvl w:val="0"/>
          <w:numId w:val="24"/>
        </w:numPr>
        <w:spacing w:after="120"/>
        <w:jc w:val="both"/>
        <w:rPr>
          <w:rFonts w:ascii="Times New Roman" w:hAnsi="Times New Roman" w:cs="Times New Roman"/>
          <w:noProof/>
          <w:sz w:val="24"/>
          <w:szCs w:val="24"/>
          <w:shd w:val="clear" w:color="auto" w:fill="FFFFFF"/>
        </w:rPr>
      </w:pPr>
      <w:r w:rsidRPr="000B1F58">
        <w:rPr>
          <w:rFonts w:ascii="Times New Roman" w:hAnsi="Times New Roman" w:cs="Times New Roman"/>
          <w:noProof/>
          <w:sz w:val="24"/>
          <w:szCs w:val="24"/>
          <w:shd w:val="clear" w:color="auto" w:fill="FFFFFF"/>
        </w:rPr>
        <w:t>Article 38a(2), first sentence</w:t>
      </w:r>
      <w:r w:rsidR="0035129A">
        <w:rPr>
          <w:rFonts w:ascii="Times New Roman" w:hAnsi="Times New Roman" w:cs="Times New Roman"/>
          <w:noProof/>
          <w:sz w:val="24"/>
          <w:szCs w:val="24"/>
          <w:shd w:val="clear" w:color="auto" w:fill="FFFFFF"/>
        </w:rPr>
        <w:t>,</w:t>
      </w:r>
      <w:r w:rsidRPr="000B1F58">
        <w:rPr>
          <w:rFonts w:ascii="Times New Roman" w:hAnsi="Times New Roman" w:cs="Times New Roman"/>
          <w:noProof/>
          <w:sz w:val="24"/>
          <w:szCs w:val="24"/>
          <w:shd w:val="clear" w:color="auto" w:fill="FFFFFF"/>
        </w:rPr>
        <w:t xml:space="preserve"> of </w:t>
      </w:r>
      <w:r w:rsidR="001A7F1F" w:rsidRPr="00AE3B65">
        <w:rPr>
          <w:rFonts w:ascii="Times New Roman" w:hAnsi="Times New Roman" w:cs="Times New Roman"/>
          <w:noProof/>
          <w:sz w:val="24"/>
          <w:szCs w:val="24"/>
        </w:rPr>
        <w:t>Directive 2008/98/EC of the European Parliament and of the Council of 19 November 2008 on waste and repealing certain Directives</w:t>
      </w:r>
      <w:r w:rsidR="001A7F1F" w:rsidRPr="00AE3B65">
        <w:rPr>
          <w:rStyle w:val="FootnoteReference"/>
          <w:rFonts w:ascii="Times New Roman" w:hAnsi="Times New Roman" w:cs="Times New Roman"/>
          <w:noProof/>
          <w:sz w:val="24"/>
          <w:szCs w:val="24"/>
        </w:rPr>
        <w:footnoteReference w:id="5"/>
      </w:r>
      <w:r w:rsidR="001278EC">
        <w:rPr>
          <w:rFonts w:ascii="Times New Roman" w:hAnsi="Times New Roman" w:cs="Times New Roman"/>
          <w:noProof/>
          <w:sz w:val="24"/>
          <w:szCs w:val="24"/>
        </w:rPr>
        <w:t>.</w:t>
      </w:r>
    </w:p>
    <w:p w14:paraId="0553730C" w14:textId="4640205A" w:rsidR="00BC7B96" w:rsidRDefault="00752AE0" w:rsidP="00073E97">
      <w:pPr>
        <w:spacing w:after="120"/>
        <w:jc w:val="both"/>
        <w:rPr>
          <w:rFonts w:ascii="Times New Roman" w:hAnsi="Times New Roman" w:cs="Times New Roman"/>
          <w:noProof/>
          <w:sz w:val="24"/>
          <w:szCs w:val="24"/>
          <w:shd w:val="clear" w:color="auto" w:fill="FFFFFF"/>
        </w:rPr>
      </w:pPr>
      <w:r>
        <w:rPr>
          <w:rFonts w:ascii="Times New Roman" w:hAnsi="Times New Roman" w:cs="Times New Roman"/>
          <w:noProof/>
          <w:sz w:val="24"/>
          <w:szCs w:val="24"/>
          <w:shd w:val="clear" w:color="auto" w:fill="FFFFFF"/>
        </w:rPr>
        <w:t>Under</w:t>
      </w:r>
      <w:r w:rsidR="00073E97" w:rsidRPr="000B1F58">
        <w:rPr>
          <w:rFonts w:ascii="Times New Roman" w:hAnsi="Times New Roman" w:cs="Times New Roman"/>
          <w:noProof/>
          <w:sz w:val="24"/>
          <w:szCs w:val="24"/>
          <w:shd w:val="clear" w:color="auto" w:fill="FFFFFF"/>
        </w:rPr>
        <w:t xml:space="preserve"> Article 58a(2), first sentence</w:t>
      </w:r>
      <w:r w:rsidR="0035129A">
        <w:rPr>
          <w:rFonts w:ascii="Times New Roman" w:hAnsi="Times New Roman" w:cs="Times New Roman"/>
          <w:noProof/>
          <w:sz w:val="24"/>
          <w:szCs w:val="24"/>
          <w:shd w:val="clear" w:color="auto" w:fill="FFFFFF"/>
        </w:rPr>
        <w:t>,</w:t>
      </w:r>
      <w:r w:rsidR="00073E97" w:rsidRPr="000B1F58">
        <w:rPr>
          <w:rFonts w:ascii="Times New Roman" w:hAnsi="Times New Roman" w:cs="Times New Roman"/>
          <w:noProof/>
          <w:sz w:val="24"/>
          <w:szCs w:val="24"/>
          <w:shd w:val="clear" w:color="auto" w:fill="FFFFFF"/>
        </w:rPr>
        <w:t xml:space="preserve"> of the </w:t>
      </w:r>
      <w:r w:rsidR="00D32DDF">
        <w:rPr>
          <w:rFonts w:ascii="Times New Roman" w:eastAsia="Times New Roman" w:hAnsi="Times New Roman" w:cs="Times New Roman"/>
          <w:noProof/>
          <w:sz w:val="24"/>
          <w:szCs w:val="24"/>
          <w:lang w:eastAsia="en-GB"/>
        </w:rPr>
        <w:t>Regulation (EC) No 1013/2006 of the European Parliament and of the Council of 14 June 2006 on shipments of waste</w:t>
      </w:r>
      <w:r w:rsidR="00D32DDF">
        <w:rPr>
          <w:rStyle w:val="FootnoteReference"/>
          <w:rFonts w:ascii="Times New Roman" w:eastAsia="Times New Roman" w:hAnsi="Times New Roman" w:cs="Times New Roman"/>
          <w:noProof/>
          <w:sz w:val="24"/>
          <w:szCs w:val="24"/>
          <w:lang w:eastAsia="en-GB"/>
        </w:rPr>
        <w:footnoteReference w:id="6"/>
      </w:r>
      <w:r w:rsidR="00073E97" w:rsidRPr="000B1F58">
        <w:rPr>
          <w:rFonts w:ascii="Times New Roman" w:hAnsi="Times New Roman" w:cs="Times New Roman"/>
          <w:noProof/>
          <w:sz w:val="24"/>
          <w:szCs w:val="24"/>
          <w:shd w:val="clear" w:color="auto" w:fill="FFFFFF"/>
        </w:rPr>
        <w:t xml:space="preserve">, </w:t>
      </w:r>
      <w:r w:rsidR="001278EC">
        <w:rPr>
          <w:rFonts w:ascii="Times New Roman" w:hAnsi="Times New Roman" w:cs="Times New Roman"/>
          <w:noProof/>
          <w:sz w:val="24"/>
          <w:szCs w:val="24"/>
          <w:shd w:val="clear" w:color="auto" w:fill="FFFFFF"/>
        </w:rPr>
        <w:t xml:space="preserve">and under </w:t>
      </w:r>
      <w:r w:rsidR="001278EC" w:rsidRPr="000B1F58">
        <w:rPr>
          <w:rFonts w:ascii="Times New Roman" w:hAnsi="Times New Roman" w:cs="Times New Roman"/>
          <w:noProof/>
          <w:sz w:val="24"/>
          <w:szCs w:val="24"/>
          <w:shd w:val="clear" w:color="auto" w:fill="FFFFFF"/>
        </w:rPr>
        <w:t xml:space="preserve">Article 23a(2), first sentence, of </w:t>
      </w:r>
      <w:r w:rsidR="001278EC" w:rsidRPr="00310516">
        <w:rPr>
          <w:rFonts w:ascii="Times New Roman" w:hAnsi="Times New Roman" w:cs="Times New Roman"/>
          <w:bCs/>
          <w:noProof/>
          <w:sz w:val="24"/>
          <w:szCs w:val="24"/>
          <w:shd w:val="clear" w:color="auto" w:fill="FFFFFF"/>
        </w:rPr>
        <w:t xml:space="preserve">Directive 2006/66/EC of </w:t>
      </w:r>
      <w:r w:rsidR="001278EC">
        <w:rPr>
          <w:rFonts w:ascii="Times New Roman" w:hAnsi="Times New Roman" w:cs="Times New Roman"/>
          <w:bCs/>
          <w:noProof/>
          <w:sz w:val="24"/>
          <w:szCs w:val="24"/>
          <w:shd w:val="clear" w:color="auto" w:fill="FFFFFF"/>
        </w:rPr>
        <w:t xml:space="preserve">the </w:t>
      </w:r>
      <w:r w:rsidR="001278EC" w:rsidRPr="00310516">
        <w:rPr>
          <w:rFonts w:ascii="Times New Roman" w:hAnsi="Times New Roman" w:cs="Times New Roman"/>
          <w:bCs/>
          <w:noProof/>
          <w:sz w:val="24"/>
          <w:szCs w:val="24"/>
          <w:shd w:val="clear" w:color="auto" w:fill="FFFFFF"/>
        </w:rPr>
        <w:t>European Parliament and of the Council of 6 September 2006 on batteries and accumulators and waste batteries and accumulators</w:t>
      </w:r>
      <w:r w:rsidR="001278EC" w:rsidRPr="00310516">
        <w:rPr>
          <w:rStyle w:val="FootnoteReference"/>
          <w:rFonts w:ascii="Times New Roman" w:hAnsi="Times New Roman" w:cs="Times New Roman"/>
          <w:bCs/>
          <w:noProof/>
          <w:sz w:val="24"/>
          <w:szCs w:val="24"/>
          <w:shd w:val="clear" w:color="auto" w:fill="FFFFFF"/>
        </w:rPr>
        <w:footnoteReference w:id="7"/>
      </w:r>
      <w:r w:rsidR="001278EC">
        <w:rPr>
          <w:rFonts w:ascii="Times New Roman" w:hAnsi="Times New Roman" w:cs="Times New Roman"/>
          <w:noProof/>
          <w:sz w:val="24"/>
          <w:szCs w:val="24"/>
          <w:shd w:val="clear" w:color="auto" w:fill="FFFFFF"/>
        </w:rPr>
        <w:t xml:space="preserve"> </w:t>
      </w:r>
      <w:r w:rsidR="00073E97" w:rsidRPr="000B1F58">
        <w:rPr>
          <w:rFonts w:ascii="Times New Roman" w:hAnsi="Times New Roman" w:cs="Times New Roman"/>
          <w:noProof/>
          <w:sz w:val="24"/>
          <w:szCs w:val="24"/>
        </w:rPr>
        <w:t xml:space="preserve">the Commission was conferred </w:t>
      </w:r>
      <w:r w:rsidR="008136B1">
        <w:rPr>
          <w:rFonts w:ascii="Times New Roman" w:hAnsi="Times New Roman" w:cs="Times New Roman"/>
          <w:noProof/>
          <w:sz w:val="24"/>
          <w:szCs w:val="24"/>
        </w:rPr>
        <w:t>on</w:t>
      </w:r>
      <w:r w:rsidR="00073E97" w:rsidRPr="000B1F58">
        <w:rPr>
          <w:rFonts w:ascii="Times New Roman" w:hAnsi="Times New Roman" w:cs="Times New Roman"/>
          <w:noProof/>
          <w:sz w:val="24"/>
          <w:szCs w:val="24"/>
        </w:rPr>
        <w:t xml:space="preserve"> the power to adopt delegated acts </w:t>
      </w:r>
      <w:r w:rsidR="00073E97" w:rsidRPr="000B1F58">
        <w:rPr>
          <w:rFonts w:ascii="Times New Roman" w:hAnsi="Times New Roman" w:cs="Times New Roman"/>
          <w:noProof/>
          <w:sz w:val="24"/>
          <w:szCs w:val="24"/>
          <w:shd w:val="clear" w:color="auto" w:fill="FFFFFF"/>
        </w:rPr>
        <w:t>for a period of five years starting from 17 July 2014</w:t>
      </w:r>
      <w:r w:rsidR="001278EC">
        <w:rPr>
          <w:rFonts w:ascii="Times New Roman" w:hAnsi="Times New Roman" w:cs="Times New Roman"/>
          <w:noProof/>
          <w:sz w:val="24"/>
          <w:szCs w:val="24"/>
          <w:shd w:val="clear" w:color="auto" w:fill="FFFFFF"/>
        </w:rPr>
        <w:t xml:space="preserve"> and </w:t>
      </w:r>
      <w:r w:rsidR="00073E97" w:rsidRPr="000B1F58">
        <w:rPr>
          <w:rFonts w:ascii="Times New Roman" w:hAnsi="Times New Roman" w:cs="Times New Roman"/>
          <w:noProof/>
          <w:sz w:val="24"/>
          <w:szCs w:val="24"/>
          <w:shd w:val="clear" w:color="auto" w:fill="FFFFFF"/>
        </w:rPr>
        <w:t>30 December 2013</w:t>
      </w:r>
      <w:r w:rsidR="001278EC">
        <w:rPr>
          <w:rFonts w:ascii="Times New Roman" w:hAnsi="Times New Roman" w:cs="Times New Roman"/>
          <w:noProof/>
          <w:sz w:val="24"/>
          <w:szCs w:val="24"/>
          <w:shd w:val="clear" w:color="auto" w:fill="FFFFFF"/>
        </w:rPr>
        <w:t>, respectively</w:t>
      </w:r>
      <w:r w:rsidR="00073E97" w:rsidRPr="000B1F58">
        <w:rPr>
          <w:rFonts w:ascii="Times New Roman" w:hAnsi="Times New Roman" w:cs="Times New Roman"/>
          <w:noProof/>
          <w:sz w:val="24"/>
          <w:szCs w:val="24"/>
          <w:shd w:val="clear" w:color="auto" w:fill="FFFFFF"/>
        </w:rPr>
        <w:t xml:space="preserve">. </w:t>
      </w:r>
    </w:p>
    <w:p w14:paraId="6CF56BB0" w14:textId="6F6809F8" w:rsidR="00073E97" w:rsidRPr="000B1F58" w:rsidRDefault="00073E97" w:rsidP="00073E97">
      <w:pPr>
        <w:spacing w:after="120"/>
        <w:jc w:val="both"/>
        <w:rPr>
          <w:rFonts w:ascii="Times New Roman" w:hAnsi="Times New Roman" w:cs="Times New Roman"/>
          <w:noProof/>
          <w:sz w:val="24"/>
          <w:szCs w:val="24"/>
          <w:shd w:val="clear" w:color="auto" w:fill="FFFFFF"/>
        </w:rPr>
      </w:pPr>
      <w:r w:rsidRPr="000B1F58">
        <w:rPr>
          <w:rFonts w:ascii="Times New Roman" w:hAnsi="Times New Roman" w:cs="Times New Roman"/>
          <w:noProof/>
          <w:sz w:val="24"/>
          <w:szCs w:val="24"/>
          <w:shd w:val="clear" w:color="auto" w:fill="FFFFFF"/>
        </w:rPr>
        <w:t xml:space="preserve">The Commission is required to draw up a report in respect of the delegation of power not later than 9 months before the end of the five-year period. The delegation of power shall be tacitly extended for periods of an identical duration, unless the European Parliament or the Council opposes such extension not later than three months before the end of each period. </w:t>
      </w:r>
    </w:p>
    <w:p w14:paraId="2CF999F3" w14:textId="23E635D2" w:rsidR="00BC7B96" w:rsidRDefault="00073E97" w:rsidP="00073E97">
      <w:pPr>
        <w:spacing w:after="120"/>
        <w:jc w:val="both"/>
        <w:rPr>
          <w:rFonts w:ascii="Times New Roman" w:hAnsi="Times New Roman" w:cs="Times New Roman"/>
          <w:noProof/>
          <w:sz w:val="24"/>
          <w:szCs w:val="24"/>
          <w:shd w:val="clear" w:color="auto" w:fill="FFFFFF"/>
        </w:rPr>
      </w:pPr>
      <w:r w:rsidRPr="000B1F58">
        <w:rPr>
          <w:rFonts w:ascii="Times New Roman" w:hAnsi="Times New Roman" w:cs="Times New Roman"/>
          <w:noProof/>
          <w:sz w:val="24"/>
          <w:szCs w:val="24"/>
          <w:shd w:val="clear" w:color="auto" w:fill="FFFFFF"/>
        </w:rPr>
        <w:lastRenderedPageBreak/>
        <w:t xml:space="preserve">Reports on the exercise of powers under </w:t>
      </w:r>
      <w:r w:rsidR="00D32DDF">
        <w:rPr>
          <w:rFonts w:ascii="Times New Roman" w:hAnsi="Times New Roman" w:cs="Times New Roman"/>
          <w:noProof/>
          <w:sz w:val="24"/>
          <w:szCs w:val="24"/>
          <w:shd w:val="clear" w:color="auto" w:fill="FFFFFF"/>
        </w:rPr>
        <w:t xml:space="preserve">Regulation (EC) 1013/2006 </w:t>
      </w:r>
      <w:r w:rsidRPr="000B1F58">
        <w:rPr>
          <w:rFonts w:ascii="Times New Roman" w:hAnsi="Times New Roman" w:cs="Times New Roman"/>
          <w:noProof/>
          <w:sz w:val="24"/>
          <w:szCs w:val="24"/>
          <w:shd w:val="clear" w:color="auto" w:fill="FFFFFF"/>
        </w:rPr>
        <w:t>and Directive</w:t>
      </w:r>
      <w:r w:rsidR="00D32DDF">
        <w:rPr>
          <w:rFonts w:ascii="Times New Roman" w:hAnsi="Times New Roman" w:cs="Times New Roman"/>
          <w:noProof/>
          <w:sz w:val="24"/>
          <w:szCs w:val="24"/>
          <w:shd w:val="clear" w:color="auto" w:fill="FFFFFF"/>
        </w:rPr>
        <w:t xml:space="preserve"> </w:t>
      </w:r>
      <w:r w:rsidR="00D32DDF" w:rsidRPr="00310516">
        <w:rPr>
          <w:rFonts w:ascii="Times New Roman" w:hAnsi="Times New Roman" w:cs="Times New Roman"/>
          <w:bCs/>
          <w:noProof/>
          <w:sz w:val="24"/>
          <w:szCs w:val="24"/>
          <w:shd w:val="clear" w:color="auto" w:fill="FFFFFF"/>
        </w:rPr>
        <w:t>2006/66/EC</w:t>
      </w:r>
      <w:r w:rsidRPr="000B1F58">
        <w:rPr>
          <w:rFonts w:ascii="Times New Roman" w:hAnsi="Times New Roman" w:cs="Times New Roman"/>
          <w:noProof/>
          <w:sz w:val="24"/>
          <w:szCs w:val="24"/>
          <w:shd w:val="clear" w:color="auto" w:fill="FFFFFF"/>
        </w:rPr>
        <w:t xml:space="preserve"> were adopted</w:t>
      </w:r>
      <w:r w:rsidR="001278EC">
        <w:rPr>
          <w:rFonts w:ascii="Times New Roman" w:hAnsi="Times New Roman" w:cs="Times New Roman"/>
          <w:noProof/>
          <w:sz w:val="24"/>
          <w:szCs w:val="24"/>
          <w:shd w:val="clear" w:color="auto" w:fill="FFFFFF"/>
        </w:rPr>
        <w:t xml:space="preserve"> </w:t>
      </w:r>
      <w:r w:rsidRPr="000B1F58">
        <w:rPr>
          <w:rFonts w:ascii="Times New Roman" w:hAnsi="Times New Roman" w:cs="Times New Roman"/>
          <w:noProof/>
          <w:sz w:val="24"/>
          <w:szCs w:val="24"/>
          <w:shd w:val="clear" w:color="auto" w:fill="FFFFFF"/>
        </w:rPr>
        <w:t>on 22 November 2018</w:t>
      </w:r>
      <w:r w:rsidRPr="000B1F58">
        <w:rPr>
          <w:rStyle w:val="FootnoteReference"/>
          <w:rFonts w:ascii="Times New Roman" w:hAnsi="Times New Roman" w:cs="Times New Roman"/>
          <w:noProof/>
          <w:sz w:val="24"/>
          <w:szCs w:val="24"/>
          <w:shd w:val="clear" w:color="auto" w:fill="FFFFFF"/>
        </w:rPr>
        <w:footnoteReference w:id="8"/>
      </w:r>
      <w:r w:rsidRPr="000B1F58">
        <w:rPr>
          <w:rFonts w:ascii="Times New Roman" w:hAnsi="Times New Roman" w:cs="Times New Roman"/>
          <w:noProof/>
          <w:sz w:val="24"/>
          <w:szCs w:val="24"/>
          <w:shd w:val="clear" w:color="auto" w:fill="FFFFFF"/>
        </w:rPr>
        <w:t xml:space="preserve"> and 14 May 2018</w:t>
      </w:r>
      <w:r w:rsidRPr="000B1F58">
        <w:rPr>
          <w:rStyle w:val="FootnoteReference"/>
          <w:rFonts w:ascii="Times New Roman" w:hAnsi="Times New Roman" w:cs="Times New Roman"/>
          <w:noProof/>
          <w:sz w:val="24"/>
          <w:szCs w:val="24"/>
          <w:shd w:val="clear" w:color="auto" w:fill="FFFFFF"/>
        </w:rPr>
        <w:footnoteReference w:id="9"/>
      </w:r>
      <w:r w:rsidRPr="000B1F58">
        <w:rPr>
          <w:rFonts w:ascii="Times New Roman" w:hAnsi="Times New Roman" w:cs="Times New Roman"/>
          <w:noProof/>
          <w:sz w:val="24"/>
          <w:szCs w:val="24"/>
          <w:shd w:val="clear" w:color="auto" w:fill="FFFFFF"/>
        </w:rPr>
        <w:t xml:space="preserve">, respectively. As neither the European Parliament nor the Council opposed to the extension of </w:t>
      </w:r>
      <w:r w:rsidR="0035129A">
        <w:rPr>
          <w:rFonts w:ascii="Times New Roman" w:hAnsi="Times New Roman" w:cs="Times New Roman"/>
          <w:noProof/>
          <w:sz w:val="24"/>
          <w:szCs w:val="24"/>
          <w:shd w:val="clear" w:color="auto" w:fill="FFFFFF"/>
        </w:rPr>
        <w:t xml:space="preserve">the </w:t>
      </w:r>
      <w:r w:rsidRPr="000B1F58">
        <w:rPr>
          <w:rFonts w:ascii="Times New Roman" w:hAnsi="Times New Roman" w:cs="Times New Roman"/>
          <w:noProof/>
          <w:sz w:val="24"/>
          <w:szCs w:val="24"/>
          <w:shd w:val="clear" w:color="auto" w:fill="FFFFFF"/>
        </w:rPr>
        <w:t>Commission’s empowerments</w:t>
      </w:r>
      <w:r w:rsidR="0035129A">
        <w:rPr>
          <w:rFonts w:ascii="Times New Roman" w:hAnsi="Times New Roman" w:cs="Times New Roman"/>
          <w:noProof/>
          <w:sz w:val="24"/>
          <w:szCs w:val="24"/>
          <w:shd w:val="clear" w:color="auto" w:fill="FFFFFF"/>
        </w:rPr>
        <w:t>,</w:t>
      </w:r>
      <w:r w:rsidRPr="000B1F58">
        <w:rPr>
          <w:rFonts w:ascii="Times New Roman" w:hAnsi="Times New Roman" w:cs="Times New Roman"/>
          <w:noProof/>
          <w:sz w:val="24"/>
          <w:szCs w:val="24"/>
          <w:shd w:val="clear" w:color="auto" w:fill="FFFFFF"/>
        </w:rPr>
        <w:t xml:space="preserve"> the delegation of power to the Commission was tacitly extended to a period of an identical duration starting from 17 July 2019 and 30 December 2018. </w:t>
      </w:r>
    </w:p>
    <w:p w14:paraId="1E312F1C" w14:textId="35991B61" w:rsidR="00073E97" w:rsidRPr="000B1F58" w:rsidRDefault="00752AE0" w:rsidP="00073E97">
      <w:pPr>
        <w:spacing w:after="120"/>
        <w:jc w:val="both"/>
        <w:rPr>
          <w:rFonts w:ascii="Times New Roman" w:hAnsi="Times New Roman" w:cs="Times New Roman"/>
          <w:noProof/>
          <w:sz w:val="24"/>
          <w:szCs w:val="24"/>
          <w:shd w:val="clear" w:color="auto" w:fill="FFFFFF"/>
        </w:rPr>
      </w:pPr>
      <w:r w:rsidRPr="000B1F58">
        <w:rPr>
          <w:rFonts w:ascii="Times New Roman" w:hAnsi="Times New Roman" w:cs="Times New Roman"/>
          <w:noProof/>
          <w:sz w:val="24"/>
          <w:szCs w:val="24"/>
          <w:shd w:val="clear" w:color="auto" w:fill="FFFFFF"/>
        </w:rPr>
        <w:t xml:space="preserve">This report describes the Commission’s activity in the period starting from </w:t>
      </w:r>
      <w:r w:rsidR="00BC7B96">
        <w:rPr>
          <w:rFonts w:ascii="Times New Roman" w:hAnsi="Times New Roman" w:cs="Times New Roman"/>
          <w:noProof/>
          <w:sz w:val="24"/>
          <w:szCs w:val="24"/>
          <w:shd w:val="clear" w:color="auto" w:fill="FFFFFF"/>
        </w:rPr>
        <w:t>4 July 2018</w:t>
      </w:r>
      <w:r w:rsidR="00BC7B96" w:rsidRPr="003A2124">
        <w:rPr>
          <w:rFonts w:ascii="Times New Roman" w:hAnsi="Times New Roman" w:cs="Times New Roman"/>
          <w:noProof/>
          <w:sz w:val="24"/>
          <w:szCs w:val="24"/>
          <w:shd w:val="clear" w:color="auto" w:fill="FFFFFF"/>
        </w:rPr>
        <w:t>, 1</w:t>
      </w:r>
      <w:r w:rsidR="003A2124" w:rsidRPr="003A2124">
        <w:rPr>
          <w:rFonts w:ascii="Times New Roman" w:hAnsi="Times New Roman" w:cs="Times New Roman"/>
          <w:noProof/>
          <w:sz w:val="24"/>
          <w:szCs w:val="24"/>
          <w:shd w:val="clear" w:color="auto" w:fill="FFFFFF"/>
        </w:rPr>
        <w:t>7</w:t>
      </w:r>
      <w:r w:rsidR="00BC7B96">
        <w:rPr>
          <w:rFonts w:ascii="Times New Roman" w:hAnsi="Times New Roman" w:cs="Times New Roman"/>
          <w:noProof/>
          <w:sz w:val="24"/>
          <w:szCs w:val="24"/>
          <w:shd w:val="clear" w:color="auto" w:fill="FFFFFF"/>
        </w:rPr>
        <w:t xml:space="preserve"> July 2019</w:t>
      </w:r>
      <w:r w:rsidR="0035129A">
        <w:rPr>
          <w:rFonts w:ascii="Times New Roman" w:hAnsi="Times New Roman" w:cs="Times New Roman"/>
          <w:noProof/>
          <w:sz w:val="24"/>
          <w:szCs w:val="24"/>
          <w:shd w:val="clear" w:color="auto" w:fill="FFFFFF"/>
        </w:rPr>
        <w:t>,</w:t>
      </w:r>
      <w:r w:rsidR="00BC7B96">
        <w:rPr>
          <w:rFonts w:ascii="Times New Roman" w:hAnsi="Times New Roman" w:cs="Times New Roman"/>
          <w:noProof/>
          <w:sz w:val="24"/>
          <w:szCs w:val="24"/>
          <w:shd w:val="clear" w:color="auto" w:fill="FFFFFF"/>
        </w:rPr>
        <w:t xml:space="preserve"> and 30 December 2018, respectively</w:t>
      </w:r>
      <w:r w:rsidRPr="000B1F58">
        <w:rPr>
          <w:rFonts w:ascii="Times New Roman" w:hAnsi="Times New Roman" w:cs="Times New Roman"/>
          <w:noProof/>
          <w:sz w:val="24"/>
          <w:szCs w:val="24"/>
          <w:shd w:val="clear" w:color="auto" w:fill="FFFFFF"/>
        </w:rPr>
        <w:t xml:space="preserve">. </w:t>
      </w:r>
    </w:p>
    <w:p w14:paraId="5EBF6F4A" w14:textId="77777777" w:rsidR="00822036" w:rsidRPr="00BA40EF" w:rsidRDefault="00822036" w:rsidP="00BA40EF">
      <w:pPr>
        <w:spacing w:after="120"/>
        <w:jc w:val="both"/>
        <w:rPr>
          <w:rFonts w:ascii="Times New Roman" w:hAnsi="Times New Roman" w:cs="Times New Roman"/>
          <w:b/>
          <w:bCs/>
          <w:noProof/>
          <w:sz w:val="24"/>
          <w:szCs w:val="24"/>
          <w:shd w:val="clear" w:color="auto" w:fill="FFFFFF"/>
        </w:rPr>
      </w:pPr>
    </w:p>
    <w:p w14:paraId="771EAA92" w14:textId="12564F62" w:rsidR="00076422" w:rsidRPr="00310516" w:rsidRDefault="00076422" w:rsidP="00076422">
      <w:pPr>
        <w:pStyle w:val="ListParagraph"/>
        <w:numPr>
          <w:ilvl w:val="0"/>
          <w:numId w:val="10"/>
        </w:numPr>
        <w:spacing w:after="120"/>
        <w:ind w:left="284" w:hanging="284"/>
        <w:contextualSpacing w:val="0"/>
        <w:jc w:val="both"/>
        <w:rPr>
          <w:rFonts w:ascii="Times New Roman" w:hAnsi="Times New Roman" w:cs="Times New Roman"/>
          <w:b/>
          <w:bCs/>
          <w:noProof/>
          <w:sz w:val="24"/>
          <w:szCs w:val="24"/>
          <w:shd w:val="clear" w:color="auto" w:fill="FFFFFF"/>
        </w:rPr>
      </w:pPr>
      <w:r w:rsidRPr="00310516">
        <w:rPr>
          <w:rFonts w:ascii="Times New Roman" w:hAnsi="Times New Roman" w:cs="Times New Roman"/>
          <w:b/>
          <w:noProof/>
          <w:sz w:val="24"/>
          <w:szCs w:val="24"/>
        </w:rPr>
        <w:t xml:space="preserve">Directive </w:t>
      </w:r>
      <w:r w:rsidRPr="00310516">
        <w:rPr>
          <w:rFonts w:ascii="Times New Roman" w:hAnsi="Times New Roman" w:cs="Times New Roman"/>
          <w:b/>
          <w:bCs/>
          <w:noProof/>
          <w:sz w:val="24"/>
          <w:szCs w:val="24"/>
          <w:shd w:val="clear" w:color="auto" w:fill="FFFFFF"/>
        </w:rPr>
        <w:t>86/278/EEC</w:t>
      </w:r>
    </w:p>
    <w:p w14:paraId="7197927B" w14:textId="71EB61D7" w:rsidR="00076422" w:rsidRPr="00310516" w:rsidRDefault="20B46C24" w:rsidP="00373980">
      <w:pPr>
        <w:spacing w:after="120"/>
        <w:jc w:val="both"/>
        <w:rPr>
          <w:rFonts w:ascii="Times New Roman" w:hAnsi="Times New Roman" w:cs="Times New Roman"/>
          <w:noProof/>
          <w:sz w:val="24"/>
          <w:szCs w:val="24"/>
        </w:rPr>
      </w:pPr>
      <w:r w:rsidRPr="1463D20E">
        <w:rPr>
          <w:rFonts w:ascii="Times New Roman" w:hAnsi="Times New Roman" w:cs="Times New Roman"/>
          <w:noProof/>
          <w:sz w:val="24"/>
          <w:szCs w:val="24"/>
          <w:shd w:val="clear" w:color="auto" w:fill="FFFFFF"/>
        </w:rPr>
        <w:t xml:space="preserve">Directive </w:t>
      </w:r>
      <w:r w:rsidR="00752AE0">
        <w:rPr>
          <w:rFonts w:ascii="Times New Roman" w:hAnsi="Times New Roman" w:cs="Times New Roman"/>
          <w:noProof/>
          <w:sz w:val="24"/>
          <w:szCs w:val="24"/>
          <w:shd w:val="clear" w:color="auto" w:fill="FFFFFF"/>
        </w:rPr>
        <w:t>86/278/EEC</w:t>
      </w:r>
      <w:r w:rsidR="26B88CA6" w:rsidRPr="00373980">
        <w:rPr>
          <w:rFonts w:ascii="Times New Roman" w:hAnsi="Times New Roman" w:cs="Times New Roman"/>
          <w:noProof/>
          <w:sz w:val="24"/>
          <w:szCs w:val="24"/>
          <w:shd w:val="clear" w:color="auto" w:fill="FFFFFF"/>
        </w:rPr>
        <w:t xml:space="preserve"> </w:t>
      </w:r>
      <w:r w:rsidR="00791478" w:rsidRPr="00310516">
        <w:rPr>
          <w:rFonts w:ascii="Times New Roman" w:hAnsi="Times New Roman" w:cs="Times New Roman"/>
          <w:noProof/>
          <w:sz w:val="24"/>
          <w:szCs w:val="24"/>
        </w:rPr>
        <w:t>empowers the Commis</w:t>
      </w:r>
      <w:r w:rsidR="001C1C01">
        <w:rPr>
          <w:rFonts w:ascii="Times New Roman" w:hAnsi="Times New Roman" w:cs="Times New Roman"/>
          <w:noProof/>
          <w:sz w:val="24"/>
          <w:szCs w:val="24"/>
        </w:rPr>
        <w:t>s</w:t>
      </w:r>
      <w:r w:rsidR="00791478" w:rsidRPr="00310516">
        <w:rPr>
          <w:rFonts w:ascii="Times New Roman" w:hAnsi="Times New Roman" w:cs="Times New Roman"/>
          <w:noProof/>
          <w:sz w:val="24"/>
          <w:szCs w:val="24"/>
        </w:rPr>
        <w:t>ion to adopt delegated acts, as re</w:t>
      </w:r>
      <w:r w:rsidR="00791478">
        <w:rPr>
          <w:rFonts w:ascii="Times New Roman" w:hAnsi="Times New Roman" w:cs="Times New Roman"/>
          <w:noProof/>
          <w:sz w:val="24"/>
          <w:szCs w:val="24"/>
        </w:rPr>
        <w:t>ferr</w:t>
      </w:r>
      <w:r w:rsidR="00791478" w:rsidRPr="00310516">
        <w:rPr>
          <w:rFonts w:ascii="Times New Roman" w:hAnsi="Times New Roman" w:cs="Times New Roman"/>
          <w:noProof/>
          <w:sz w:val="24"/>
          <w:szCs w:val="24"/>
        </w:rPr>
        <w:t xml:space="preserve">ed to in Article 15a, in view of amending the Annexes </w:t>
      </w:r>
      <w:r w:rsidR="00791478">
        <w:rPr>
          <w:rFonts w:ascii="Times New Roman" w:hAnsi="Times New Roman" w:cs="Times New Roman"/>
          <w:noProof/>
          <w:sz w:val="24"/>
          <w:szCs w:val="24"/>
        </w:rPr>
        <w:t xml:space="preserve">and </w:t>
      </w:r>
      <w:r w:rsidR="00791478" w:rsidRPr="00310516">
        <w:rPr>
          <w:rFonts w:ascii="Times New Roman" w:hAnsi="Times New Roman" w:cs="Times New Roman"/>
          <w:noProof/>
          <w:sz w:val="24"/>
          <w:szCs w:val="24"/>
        </w:rPr>
        <w:t>adapt</w:t>
      </w:r>
      <w:r w:rsidR="0035129A">
        <w:rPr>
          <w:rFonts w:ascii="Times New Roman" w:hAnsi="Times New Roman" w:cs="Times New Roman"/>
          <w:noProof/>
          <w:sz w:val="24"/>
          <w:szCs w:val="24"/>
        </w:rPr>
        <w:t>ing</w:t>
      </w:r>
      <w:r w:rsidR="00791478" w:rsidRPr="00310516">
        <w:rPr>
          <w:rFonts w:ascii="Times New Roman" w:hAnsi="Times New Roman" w:cs="Times New Roman"/>
          <w:noProof/>
          <w:sz w:val="24"/>
          <w:szCs w:val="24"/>
        </w:rPr>
        <w:t xml:space="preserve"> them to technical and scientific progre</w:t>
      </w:r>
      <w:r w:rsidR="00791478">
        <w:rPr>
          <w:rFonts w:ascii="Times New Roman" w:hAnsi="Times New Roman" w:cs="Times New Roman"/>
          <w:noProof/>
          <w:sz w:val="24"/>
          <w:szCs w:val="24"/>
        </w:rPr>
        <w:t>ss</w:t>
      </w:r>
      <w:r w:rsidR="00B16C29">
        <w:rPr>
          <w:rFonts w:ascii="Times New Roman" w:hAnsi="Times New Roman" w:cs="Times New Roman"/>
          <w:noProof/>
          <w:sz w:val="24"/>
          <w:szCs w:val="24"/>
        </w:rPr>
        <w:t xml:space="preserve"> except for </w:t>
      </w:r>
      <w:r w:rsidR="00B16C29" w:rsidRPr="00B16C29">
        <w:rPr>
          <w:rFonts w:ascii="Times New Roman" w:hAnsi="Times New Roman" w:cs="Times New Roman"/>
          <w:noProof/>
          <w:sz w:val="24"/>
          <w:szCs w:val="24"/>
        </w:rPr>
        <w:t>the parameters and values listed in Annexes I A, I B and I C, any factors likely to affect the evaluation of those values, and the parameters for analysis referred to in Annexes II A and II B</w:t>
      </w:r>
      <w:r w:rsidR="00791478">
        <w:rPr>
          <w:rFonts w:ascii="Times New Roman" w:hAnsi="Times New Roman" w:cs="Times New Roman"/>
          <w:noProof/>
          <w:sz w:val="24"/>
          <w:szCs w:val="24"/>
        </w:rPr>
        <w:t>.</w:t>
      </w:r>
    </w:p>
    <w:p w14:paraId="5D880318" w14:textId="77777777" w:rsidR="00076422" w:rsidRPr="00310516" w:rsidRDefault="00076422" w:rsidP="00076422">
      <w:pPr>
        <w:pStyle w:val="ListParagraph"/>
        <w:numPr>
          <w:ilvl w:val="1"/>
          <w:numId w:val="10"/>
        </w:numPr>
        <w:spacing w:after="120"/>
        <w:ind w:left="567" w:hanging="567"/>
        <w:contextualSpacing w:val="0"/>
        <w:jc w:val="both"/>
        <w:rPr>
          <w:rFonts w:ascii="Times New Roman" w:hAnsi="Times New Roman" w:cs="Times New Roman"/>
          <w:b/>
          <w:noProof/>
          <w:sz w:val="24"/>
          <w:szCs w:val="24"/>
        </w:rPr>
      </w:pPr>
      <w:r w:rsidRPr="00310516">
        <w:rPr>
          <w:rFonts w:ascii="Times New Roman" w:hAnsi="Times New Roman" w:cs="Times New Roman"/>
          <w:b/>
          <w:noProof/>
          <w:sz w:val="24"/>
          <w:szCs w:val="24"/>
        </w:rPr>
        <w:t>Exercise of Delegation</w:t>
      </w:r>
    </w:p>
    <w:p w14:paraId="10E3B6D5" w14:textId="3B46C34A" w:rsidR="00916AB8" w:rsidRDefault="20B46C24" w:rsidP="00E72599">
      <w:pPr>
        <w:spacing w:after="120"/>
        <w:jc w:val="both"/>
        <w:rPr>
          <w:rFonts w:ascii="Times New Roman" w:hAnsi="Times New Roman" w:cs="Times New Roman"/>
          <w:bCs/>
          <w:noProof/>
          <w:sz w:val="24"/>
          <w:szCs w:val="24"/>
          <w:shd w:val="clear" w:color="auto" w:fill="FFFFFF"/>
        </w:rPr>
      </w:pPr>
      <w:r w:rsidRPr="1463D20E">
        <w:rPr>
          <w:rFonts w:ascii="Times New Roman" w:hAnsi="Times New Roman" w:cs="Times New Roman"/>
          <w:noProof/>
          <w:sz w:val="24"/>
          <w:szCs w:val="24"/>
        </w:rPr>
        <w:t xml:space="preserve">During the period covered by </w:t>
      </w:r>
      <w:r w:rsidR="0035129A" w:rsidRPr="1463D20E">
        <w:rPr>
          <w:rFonts w:ascii="Times New Roman" w:hAnsi="Times New Roman" w:cs="Times New Roman"/>
          <w:noProof/>
          <w:sz w:val="24"/>
          <w:szCs w:val="24"/>
        </w:rPr>
        <w:t>th</w:t>
      </w:r>
      <w:r w:rsidR="0035129A">
        <w:rPr>
          <w:rFonts w:ascii="Times New Roman" w:hAnsi="Times New Roman" w:cs="Times New Roman"/>
          <w:noProof/>
          <w:sz w:val="24"/>
          <w:szCs w:val="24"/>
        </w:rPr>
        <w:t>is</w:t>
      </w:r>
      <w:r w:rsidR="0035129A" w:rsidRPr="1463D20E">
        <w:rPr>
          <w:rFonts w:ascii="Times New Roman" w:hAnsi="Times New Roman" w:cs="Times New Roman"/>
          <w:noProof/>
          <w:sz w:val="24"/>
          <w:szCs w:val="24"/>
        </w:rPr>
        <w:t xml:space="preserve"> </w:t>
      </w:r>
      <w:r w:rsidR="0A868828" w:rsidRPr="1463D20E">
        <w:rPr>
          <w:rFonts w:ascii="Times New Roman" w:hAnsi="Times New Roman" w:cs="Times New Roman"/>
          <w:noProof/>
          <w:sz w:val="24"/>
          <w:szCs w:val="24"/>
        </w:rPr>
        <w:t>report</w:t>
      </w:r>
      <w:r w:rsidR="0035129A">
        <w:rPr>
          <w:rFonts w:ascii="Times New Roman" w:hAnsi="Times New Roman" w:cs="Times New Roman"/>
          <w:noProof/>
          <w:sz w:val="24"/>
          <w:szCs w:val="24"/>
        </w:rPr>
        <w:t>,</w:t>
      </w:r>
      <w:r w:rsidR="0A868828" w:rsidRPr="1463D20E">
        <w:rPr>
          <w:rFonts w:ascii="Times New Roman" w:hAnsi="Times New Roman" w:cs="Times New Roman"/>
          <w:noProof/>
          <w:sz w:val="24"/>
          <w:szCs w:val="24"/>
        </w:rPr>
        <w:t xml:space="preserve"> the</w:t>
      </w:r>
      <w:r w:rsidRPr="1463D20E">
        <w:rPr>
          <w:rFonts w:ascii="Times New Roman" w:hAnsi="Times New Roman" w:cs="Times New Roman"/>
          <w:noProof/>
          <w:sz w:val="24"/>
          <w:szCs w:val="24"/>
        </w:rPr>
        <w:t xml:space="preserve"> Commission did not make use of the delegated powers conferred </w:t>
      </w:r>
      <w:r w:rsidR="00B16C29">
        <w:rPr>
          <w:rFonts w:ascii="Times New Roman" w:hAnsi="Times New Roman" w:cs="Times New Roman"/>
          <w:noProof/>
          <w:sz w:val="24"/>
          <w:szCs w:val="24"/>
        </w:rPr>
        <w:t>up</w:t>
      </w:r>
      <w:r w:rsidRPr="1463D20E">
        <w:rPr>
          <w:rFonts w:ascii="Times New Roman" w:hAnsi="Times New Roman" w:cs="Times New Roman"/>
          <w:noProof/>
          <w:sz w:val="24"/>
          <w:szCs w:val="24"/>
        </w:rPr>
        <w:t xml:space="preserve">on it under </w:t>
      </w:r>
      <w:r w:rsidR="00752AE0" w:rsidRPr="1463D20E">
        <w:rPr>
          <w:rFonts w:ascii="Times New Roman" w:hAnsi="Times New Roman" w:cs="Times New Roman"/>
          <w:noProof/>
          <w:sz w:val="24"/>
          <w:szCs w:val="24"/>
          <w:shd w:val="clear" w:color="auto" w:fill="FFFFFF"/>
        </w:rPr>
        <w:t xml:space="preserve">Directive </w:t>
      </w:r>
      <w:r w:rsidR="00752AE0">
        <w:rPr>
          <w:rFonts w:ascii="Times New Roman" w:hAnsi="Times New Roman" w:cs="Times New Roman"/>
          <w:noProof/>
          <w:sz w:val="24"/>
          <w:szCs w:val="24"/>
          <w:shd w:val="clear" w:color="auto" w:fill="FFFFFF"/>
        </w:rPr>
        <w:t>86/278/EEC</w:t>
      </w:r>
      <w:r w:rsidRPr="1463D20E">
        <w:rPr>
          <w:rFonts w:ascii="Times New Roman" w:hAnsi="Times New Roman" w:cs="Times New Roman"/>
          <w:noProof/>
          <w:sz w:val="24"/>
          <w:szCs w:val="24"/>
        </w:rPr>
        <w:t>.</w:t>
      </w:r>
      <w:r w:rsidR="0035129A">
        <w:rPr>
          <w:rFonts w:ascii="Times New Roman" w:hAnsi="Times New Roman" w:cs="Times New Roman"/>
          <w:noProof/>
          <w:sz w:val="24"/>
          <w:szCs w:val="24"/>
        </w:rPr>
        <w:t xml:space="preserve"> </w:t>
      </w:r>
      <w:r w:rsidR="00E72599">
        <w:rPr>
          <w:rFonts w:ascii="Times New Roman" w:hAnsi="Times New Roman" w:cs="Times New Roman"/>
          <w:bCs/>
          <w:noProof/>
          <w:sz w:val="24"/>
          <w:szCs w:val="24"/>
          <w:shd w:val="clear" w:color="auto" w:fill="FFFFFF"/>
        </w:rPr>
        <w:t xml:space="preserve">None of </w:t>
      </w:r>
      <w:r w:rsidR="00791478">
        <w:rPr>
          <w:rFonts w:ascii="Times New Roman" w:hAnsi="Times New Roman" w:cs="Times New Roman"/>
          <w:bCs/>
          <w:noProof/>
          <w:sz w:val="24"/>
          <w:szCs w:val="24"/>
          <w:shd w:val="clear" w:color="auto" w:fill="FFFFFF"/>
        </w:rPr>
        <w:t>the above</w:t>
      </w:r>
      <w:r w:rsidR="00791478" w:rsidRPr="00310516">
        <w:rPr>
          <w:rFonts w:ascii="Times New Roman" w:hAnsi="Times New Roman" w:cs="Times New Roman"/>
          <w:bCs/>
          <w:noProof/>
          <w:sz w:val="24"/>
          <w:szCs w:val="24"/>
          <w:shd w:val="clear" w:color="auto" w:fill="FFFFFF"/>
        </w:rPr>
        <w:t xml:space="preserve">mentioned Annexes </w:t>
      </w:r>
      <w:r w:rsidR="00E72599">
        <w:rPr>
          <w:rFonts w:ascii="Times New Roman" w:hAnsi="Times New Roman" w:cs="Times New Roman"/>
          <w:bCs/>
          <w:noProof/>
          <w:sz w:val="24"/>
          <w:szCs w:val="24"/>
          <w:shd w:val="clear" w:color="auto" w:fill="FFFFFF"/>
        </w:rPr>
        <w:t xml:space="preserve">were adapted </w:t>
      </w:r>
      <w:r w:rsidR="00791478" w:rsidRPr="00310516">
        <w:rPr>
          <w:rFonts w:ascii="Times New Roman" w:hAnsi="Times New Roman" w:cs="Times New Roman"/>
          <w:bCs/>
          <w:noProof/>
          <w:sz w:val="24"/>
          <w:szCs w:val="24"/>
          <w:shd w:val="clear" w:color="auto" w:fill="FFFFFF"/>
        </w:rPr>
        <w:t>to scien</w:t>
      </w:r>
      <w:r w:rsidR="00791478">
        <w:rPr>
          <w:rFonts w:ascii="Times New Roman" w:hAnsi="Times New Roman" w:cs="Times New Roman"/>
          <w:bCs/>
          <w:noProof/>
          <w:sz w:val="24"/>
          <w:szCs w:val="24"/>
          <w:shd w:val="clear" w:color="auto" w:fill="FFFFFF"/>
        </w:rPr>
        <w:t xml:space="preserve">tific and technical progress. </w:t>
      </w:r>
      <w:r w:rsidR="00B16C29">
        <w:rPr>
          <w:rFonts w:ascii="Times New Roman" w:hAnsi="Times New Roman" w:cs="Times New Roman"/>
          <w:bCs/>
          <w:noProof/>
          <w:sz w:val="24"/>
          <w:szCs w:val="24"/>
          <w:shd w:val="clear" w:color="auto" w:fill="FFFFFF"/>
        </w:rPr>
        <w:t>A 2023</w:t>
      </w:r>
      <w:r w:rsidR="00791478">
        <w:rPr>
          <w:rFonts w:ascii="Times New Roman" w:hAnsi="Times New Roman" w:cs="Times New Roman"/>
          <w:bCs/>
          <w:noProof/>
          <w:sz w:val="24"/>
          <w:szCs w:val="24"/>
          <w:shd w:val="clear" w:color="auto" w:fill="FFFFFF"/>
        </w:rPr>
        <w:t xml:space="preserve"> </w:t>
      </w:r>
      <w:r w:rsidR="0035129A">
        <w:rPr>
          <w:rFonts w:ascii="Times New Roman" w:hAnsi="Times New Roman" w:cs="Times New Roman"/>
          <w:bCs/>
          <w:noProof/>
          <w:sz w:val="24"/>
          <w:szCs w:val="24"/>
          <w:shd w:val="clear" w:color="auto" w:fill="FFFFFF"/>
        </w:rPr>
        <w:t>e</w:t>
      </w:r>
      <w:r w:rsidR="00791478">
        <w:rPr>
          <w:rFonts w:ascii="Times New Roman" w:hAnsi="Times New Roman" w:cs="Times New Roman"/>
          <w:bCs/>
          <w:noProof/>
          <w:sz w:val="24"/>
          <w:szCs w:val="24"/>
          <w:shd w:val="clear" w:color="auto" w:fill="FFFFFF"/>
        </w:rPr>
        <w:t xml:space="preserve">valuation of </w:t>
      </w:r>
      <w:r w:rsidR="00B16C29">
        <w:rPr>
          <w:rFonts w:ascii="Times New Roman" w:hAnsi="Times New Roman" w:cs="Times New Roman"/>
          <w:bCs/>
          <w:noProof/>
          <w:sz w:val="24"/>
          <w:szCs w:val="24"/>
          <w:shd w:val="clear" w:color="auto" w:fill="FFFFFF"/>
        </w:rPr>
        <w:t xml:space="preserve">the </w:t>
      </w:r>
      <w:r w:rsidR="00752AE0" w:rsidRPr="1463D20E">
        <w:rPr>
          <w:rFonts w:ascii="Times New Roman" w:hAnsi="Times New Roman" w:cs="Times New Roman"/>
          <w:noProof/>
          <w:sz w:val="24"/>
          <w:szCs w:val="24"/>
          <w:shd w:val="clear" w:color="auto" w:fill="FFFFFF"/>
        </w:rPr>
        <w:t>Directive</w:t>
      </w:r>
      <w:r w:rsidR="00362B8F">
        <w:rPr>
          <w:rStyle w:val="FootnoteReference"/>
          <w:rFonts w:ascii="Times New Roman" w:hAnsi="Times New Roman" w:cs="Times New Roman"/>
          <w:bCs/>
          <w:noProof/>
          <w:sz w:val="24"/>
          <w:szCs w:val="24"/>
          <w:shd w:val="clear" w:color="auto" w:fill="FFFFFF"/>
        </w:rPr>
        <w:footnoteReference w:id="10"/>
      </w:r>
      <w:r w:rsidR="00B16C29">
        <w:rPr>
          <w:rFonts w:ascii="Times New Roman" w:hAnsi="Times New Roman" w:cs="Times New Roman"/>
          <w:bCs/>
          <w:noProof/>
          <w:sz w:val="24"/>
          <w:szCs w:val="24"/>
          <w:shd w:val="clear" w:color="auto" w:fill="FFFFFF"/>
        </w:rPr>
        <w:t xml:space="preserve"> concluded that </w:t>
      </w:r>
      <w:r w:rsidR="00B16C29" w:rsidRPr="00B16C29">
        <w:rPr>
          <w:rFonts w:ascii="Times New Roman" w:hAnsi="Times New Roman" w:cs="Times New Roman"/>
          <w:bCs/>
          <w:noProof/>
          <w:sz w:val="24"/>
          <w:szCs w:val="24"/>
          <w:shd w:val="clear" w:color="auto" w:fill="FFFFFF"/>
        </w:rPr>
        <w:t>adaptation of the Directive to the latest scientific and technical progress (notably on the set of pollutants to be covered and their appropriate limit values) would be needed</w:t>
      </w:r>
      <w:r w:rsidR="00B16C29">
        <w:rPr>
          <w:rFonts w:ascii="Times New Roman" w:hAnsi="Times New Roman" w:cs="Times New Roman"/>
          <w:bCs/>
          <w:noProof/>
          <w:sz w:val="24"/>
          <w:szCs w:val="24"/>
          <w:shd w:val="clear" w:color="auto" w:fill="FFFFFF"/>
        </w:rPr>
        <w:t>. This, however, goes beyond the current empowerment contained in Article 15a.</w:t>
      </w:r>
    </w:p>
    <w:p w14:paraId="040E94F3" w14:textId="4D192B51" w:rsidR="00076422" w:rsidRPr="007F430D" w:rsidRDefault="00076422" w:rsidP="007F430D">
      <w:pPr>
        <w:spacing w:after="120"/>
        <w:jc w:val="both"/>
        <w:rPr>
          <w:rFonts w:ascii="Times New Roman" w:hAnsi="Times New Roman" w:cs="Times New Roman"/>
          <w:bCs/>
          <w:noProof/>
          <w:sz w:val="24"/>
          <w:szCs w:val="24"/>
          <w:shd w:val="clear" w:color="auto" w:fill="FFFFFF"/>
        </w:rPr>
      </w:pPr>
    </w:p>
    <w:p w14:paraId="2311514A" w14:textId="71A1BC05" w:rsidR="00F16FA6" w:rsidRPr="00916AB8" w:rsidRDefault="002803A0" w:rsidP="00916AB8">
      <w:pPr>
        <w:pStyle w:val="ListParagraph"/>
        <w:numPr>
          <w:ilvl w:val="0"/>
          <w:numId w:val="10"/>
        </w:numPr>
        <w:spacing w:after="120"/>
        <w:jc w:val="both"/>
        <w:rPr>
          <w:rFonts w:ascii="Times New Roman" w:hAnsi="Times New Roman" w:cs="Times New Roman"/>
          <w:b/>
          <w:noProof/>
          <w:sz w:val="24"/>
          <w:szCs w:val="24"/>
        </w:rPr>
      </w:pPr>
      <w:r w:rsidRPr="00310516">
        <w:rPr>
          <w:rFonts w:ascii="Times New Roman" w:hAnsi="Times New Roman" w:cs="Times New Roman"/>
          <w:b/>
          <w:noProof/>
          <w:sz w:val="24"/>
          <w:szCs w:val="24"/>
        </w:rPr>
        <w:t xml:space="preserve">Directive </w:t>
      </w:r>
      <w:r w:rsidR="00E72599" w:rsidRPr="00310516">
        <w:rPr>
          <w:rFonts w:ascii="Times New Roman" w:hAnsi="Times New Roman" w:cs="Times New Roman"/>
          <w:b/>
          <w:noProof/>
          <w:sz w:val="24"/>
          <w:szCs w:val="24"/>
        </w:rPr>
        <w:t>94/62/EC</w:t>
      </w:r>
    </w:p>
    <w:p w14:paraId="53E2E20F" w14:textId="2FA03357" w:rsidR="002806AC" w:rsidRPr="00310516" w:rsidRDefault="002803A0" w:rsidP="003524B5">
      <w:pPr>
        <w:spacing w:after="120"/>
        <w:jc w:val="both"/>
        <w:rPr>
          <w:rFonts w:ascii="Times New Roman" w:hAnsi="Times New Roman" w:cs="Times New Roman"/>
          <w:noProof/>
          <w:sz w:val="24"/>
          <w:szCs w:val="24"/>
        </w:rPr>
      </w:pPr>
      <w:r w:rsidRPr="00310516">
        <w:rPr>
          <w:rFonts w:ascii="Times New Roman" w:hAnsi="Times New Roman" w:cs="Times New Roman"/>
          <w:noProof/>
          <w:sz w:val="24"/>
          <w:szCs w:val="24"/>
        </w:rPr>
        <w:t>Directive 94/62/EC</w:t>
      </w:r>
      <w:r w:rsidR="00752AE0">
        <w:rPr>
          <w:rFonts w:ascii="Times New Roman" w:hAnsi="Times New Roman" w:cs="Times New Roman"/>
          <w:noProof/>
          <w:sz w:val="24"/>
          <w:szCs w:val="24"/>
        </w:rPr>
        <w:t xml:space="preserve"> </w:t>
      </w:r>
      <w:r w:rsidR="002806AC" w:rsidRPr="00310516">
        <w:rPr>
          <w:rFonts w:ascii="Times New Roman" w:hAnsi="Times New Roman" w:cs="Times New Roman"/>
          <w:noProof/>
          <w:sz w:val="24"/>
          <w:szCs w:val="24"/>
        </w:rPr>
        <w:t>empowers the Commis</w:t>
      </w:r>
      <w:r w:rsidR="001C1C01">
        <w:rPr>
          <w:rFonts w:ascii="Times New Roman" w:hAnsi="Times New Roman" w:cs="Times New Roman"/>
          <w:noProof/>
          <w:sz w:val="24"/>
          <w:szCs w:val="24"/>
        </w:rPr>
        <w:t>s</w:t>
      </w:r>
      <w:r w:rsidR="002806AC" w:rsidRPr="00310516">
        <w:rPr>
          <w:rFonts w:ascii="Times New Roman" w:hAnsi="Times New Roman" w:cs="Times New Roman"/>
          <w:noProof/>
          <w:sz w:val="24"/>
          <w:szCs w:val="24"/>
        </w:rPr>
        <w:t xml:space="preserve">ion to adopt delegated acts, as </w:t>
      </w:r>
      <w:r w:rsidR="004E6ADE">
        <w:rPr>
          <w:rFonts w:ascii="Times New Roman" w:hAnsi="Times New Roman" w:cs="Times New Roman"/>
          <w:noProof/>
          <w:sz w:val="24"/>
          <w:szCs w:val="24"/>
        </w:rPr>
        <w:t>referred</w:t>
      </w:r>
      <w:r w:rsidR="00CA16C4">
        <w:rPr>
          <w:rFonts w:ascii="Times New Roman" w:hAnsi="Times New Roman" w:cs="Times New Roman"/>
          <w:noProof/>
          <w:sz w:val="24"/>
          <w:szCs w:val="24"/>
        </w:rPr>
        <w:t xml:space="preserve"> </w:t>
      </w:r>
      <w:r w:rsidR="002806AC" w:rsidRPr="00310516">
        <w:rPr>
          <w:rFonts w:ascii="Times New Roman" w:hAnsi="Times New Roman" w:cs="Times New Roman"/>
          <w:noProof/>
          <w:sz w:val="24"/>
          <w:szCs w:val="24"/>
        </w:rPr>
        <w:t xml:space="preserve">to in Article </w:t>
      </w:r>
      <w:r w:rsidR="00313027" w:rsidRPr="00310516">
        <w:rPr>
          <w:rFonts w:ascii="Times New Roman" w:hAnsi="Times New Roman" w:cs="Times New Roman"/>
          <w:noProof/>
          <w:sz w:val="24"/>
          <w:szCs w:val="24"/>
        </w:rPr>
        <w:t>21a, in</w:t>
      </w:r>
      <w:r w:rsidR="00D7787C" w:rsidRPr="00310516">
        <w:rPr>
          <w:rFonts w:ascii="Times New Roman" w:hAnsi="Times New Roman" w:cs="Times New Roman"/>
          <w:noProof/>
          <w:sz w:val="24"/>
          <w:szCs w:val="24"/>
        </w:rPr>
        <w:t xml:space="preserve"> </w:t>
      </w:r>
      <w:r w:rsidR="00313027" w:rsidRPr="00310516">
        <w:rPr>
          <w:rFonts w:ascii="Times New Roman" w:hAnsi="Times New Roman" w:cs="Times New Roman"/>
          <w:noProof/>
          <w:sz w:val="24"/>
          <w:szCs w:val="24"/>
        </w:rPr>
        <w:t>view of:</w:t>
      </w:r>
    </w:p>
    <w:p w14:paraId="420736F6" w14:textId="047C7578" w:rsidR="009278A5" w:rsidRPr="00310516" w:rsidRDefault="009278A5" w:rsidP="003524B5">
      <w:pPr>
        <w:pStyle w:val="ListParagraph"/>
        <w:numPr>
          <w:ilvl w:val="0"/>
          <w:numId w:val="3"/>
        </w:numPr>
        <w:spacing w:after="120"/>
        <w:contextualSpacing w:val="0"/>
        <w:jc w:val="both"/>
        <w:rPr>
          <w:rFonts w:ascii="Times New Roman" w:hAnsi="Times New Roman" w:cs="Times New Roman"/>
          <w:noProof/>
          <w:sz w:val="24"/>
          <w:szCs w:val="24"/>
        </w:rPr>
      </w:pPr>
      <w:r w:rsidRPr="00310516">
        <w:rPr>
          <w:rFonts w:ascii="Times New Roman" w:hAnsi="Times New Roman" w:cs="Times New Roman"/>
          <w:noProof/>
          <w:sz w:val="24"/>
          <w:szCs w:val="24"/>
        </w:rPr>
        <w:t xml:space="preserve">determining the conditions under which the sum of concentration levels of lead, cadmium, mercury and hexavalent chromium present in packaging specified in Article 11(1) do not apply to recycled materials and to product loops which are in a closed and controlled chain, as well as determining the types of packaging which are exempted from the requirement regarding the content of </w:t>
      </w:r>
      <w:r w:rsidR="00E65C07">
        <w:rPr>
          <w:rFonts w:ascii="Times New Roman" w:hAnsi="Times New Roman" w:cs="Times New Roman"/>
          <w:noProof/>
          <w:sz w:val="24"/>
          <w:szCs w:val="24"/>
        </w:rPr>
        <w:t xml:space="preserve">these </w:t>
      </w:r>
      <w:r w:rsidRPr="00310516">
        <w:rPr>
          <w:rFonts w:ascii="Times New Roman" w:hAnsi="Times New Roman" w:cs="Times New Roman"/>
          <w:noProof/>
          <w:sz w:val="24"/>
          <w:szCs w:val="24"/>
        </w:rPr>
        <w:t>heavy metals in packaging and packaging component</w:t>
      </w:r>
      <w:r w:rsidR="00E65C07">
        <w:rPr>
          <w:rFonts w:ascii="Times New Roman" w:hAnsi="Times New Roman" w:cs="Times New Roman"/>
          <w:noProof/>
          <w:sz w:val="24"/>
          <w:szCs w:val="24"/>
        </w:rPr>
        <w:t>s</w:t>
      </w:r>
      <w:r w:rsidRPr="00310516">
        <w:rPr>
          <w:rFonts w:ascii="Times New Roman" w:hAnsi="Times New Roman" w:cs="Times New Roman"/>
          <w:noProof/>
          <w:sz w:val="24"/>
          <w:szCs w:val="24"/>
        </w:rPr>
        <w:t xml:space="preserve"> laid down in the third indent </w:t>
      </w:r>
      <w:r w:rsidR="00E65C07">
        <w:rPr>
          <w:rFonts w:ascii="Times New Roman" w:hAnsi="Times New Roman" w:cs="Times New Roman"/>
          <w:noProof/>
          <w:sz w:val="24"/>
          <w:szCs w:val="24"/>
        </w:rPr>
        <w:t>of Article 11(1)</w:t>
      </w:r>
      <w:r w:rsidRPr="00310516">
        <w:rPr>
          <w:rFonts w:ascii="Times New Roman" w:hAnsi="Times New Roman" w:cs="Times New Roman"/>
          <w:noProof/>
          <w:sz w:val="24"/>
          <w:szCs w:val="24"/>
        </w:rPr>
        <w:t>, as provided for in Article 11(3);</w:t>
      </w:r>
    </w:p>
    <w:p w14:paraId="29D44938" w14:textId="77777777" w:rsidR="002806AC" w:rsidRPr="00310516" w:rsidRDefault="00475542" w:rsidP="003524B5">
      <w:pPr>
        <w:pStyle w:val="ListParagraph"/>
        <w:numPr>
          <w:ilvl w:val="0"/>
          <w:numId w:val="3"/>
        </w:numPr>
        <w:spacing w:after="120"/>
        <w:contextualSpacing w:val="0"/>
        <w:jc w:val="both"/>
        <w:rPr>
          <w:rFonts w:ascii="Times New Roman" w:hAnsi="Times New Roman" w:cs="Times New Roman"/>
          <w:noProof/>
          <w:sz w:val="24"/>
          <w:szCs w:val="24"/>
        </w:rPr>
      </w:pPr>
      <w:r w:rsidRPr="00310516">
        <w:rPr>
          <w:rFonts w:ascii="Times New Roman" w:hAnsi="Times New Roman" w:cs="Times New Roman"/>
          <w:noProof/>
          <w:sz w:val="24"/>
          <w:szCs w:val="24"/>
        </w:rPr>
        <w:t>amending</w:t>
      </w:r>
      <w:r w:rsidR="00F61EBD" w:rsidRPr="00310516">
        <w:rPr>
          <w:rFonts w:ascii="Times New Roman" w:hAnsi="Times New Roman" w:cs="Times New Roman"/>
          <w:noProof/>
          <w:sz w:val="24"/>
          <w:szCs w:val="24"/>
        </w:rPr>
        <w:t xml:space="preserve"> the illustrative examples for the definition</w:t>
      </w:r>
      <w:r w:rsidR="00A13CB0" w:rsidRPr="00310516">
        <w:rPr>
          <w:rFonts w:ascii="Times New Roman" w:hAnsi="Times New Roman" w:cs="Times New Roman"/>
          <w:noProof/>
          <w:sz w:val="24"/>
          <w:szCs w:val="24"/>
        </w:rPr>
        <w:t xml:space="preserve"> of packaging listed in Annex I</w:t>
      </w:r>
      <w:r w:rsidR="00716621" w:rsidRPr="00310516">
        <w:rPr>
          <w:rFonts w:ascii="Times New Roman" w:hAnsi="Times New Roman" w:cs="Times New Roman"/>
          <w:noProof/>
          <w:sz w:val="24"/>
          <w:szCs w:val="24"/>
        </w:rPr>
        <w:t>,</w:t>
      </w:r>
      <w:r w:rsidR="00A13CB0" w:rsidRPr="00310516">
        <w:rPr>
          <w:rFonts w:ascii="Times New Roman" w:hAnsi="Times New Roman" w:cs="Times New Roman"/>
          <w:noProof/>
          <w:sz w:val="24"/>
          <w:szCs w:val="24"/>
        </w:rPr>
        <w:t xml:space="preserve"> </w:t>
      </w:r>
      <w:r w:rsidR="00716621" w:rsidRPr="00310516">
        <w:rPr>
          <w:rFonts w:ascii="Times New Roman" w:hAnsi="Times New Roman" w:cs="Times New Roman"/>
          <w:noProof/>
          <w:sz w:val="24"/>
          <w:szCs w:val="24"/>
        </w:rPr>
        <w:t>as provided for in Article 19(2)</w:t>
      </w:r>
      <w:r w:rsidR="00A312FA" w:rsidRPr="00310516">
        <w:rPr>
          <w:rFonts w:ascii="Times New Roman" w:hAnsi="Times New Roman" w:cs="Times New Roman"/>
          <w:noProof/>
          <w:sz w:val="24"/>
          <w:szCs w:val="24"/>
        </w:rPr>
        <w:t>;</w:t>
      </w:r>
    </w:p>
    <w:p w14:paraId="7C5240A7" w14:textId="35B31E50" w:rsidR="00786D86" w:rsidRDefault="00EE0362" w:rsidP="00786D86">
      <w:pPr>
        <w:pStyle w:val="ListParagraph"/>
        <w:numPr>
          <w:ilvl w:val="0"/>
          <w:numId w:val="3"/>
        </w:numPr>
        <w:spacing w:after="120"/>
        <w:contextualSpacing w:val="0"/>
        <w:jc w:val="both"/>
        <w:rPr>
          <w:rFonts w:ascii="Times New Roman" w:hAnsi="Times New Roman" w:cs="Times New Roman"/>
          <w:noProof/>
          <w:sz w:val="24"/>
          <w:szCs w:val="24"/>
        </w:rPr>
      </w:pPr>
      <w:r w:rsidRPr="00310516">
        <w:rPr>
          <w:rFonts w:ascii="Times New Roman" w:hAnsi="Times New Roman" w:cs="Times New Roman"/>
          <w:noProof/>
          <w:sz w:val="24"/>
          <w:szCs w:val="24"/>
          <w:shd w:val="clear" w:color="auto" w:fill="FFFFFF"/>
        </w:rPr>
        <w:lastRenderedPageBreak/>
        <w:t>supplement</w:t>
      </w:r>
      <w:r w:rsidR="00475542" w:rsidRPr="00310516">
        <w:rPr>
          <w:rFonts w:ascii="Times New Roman" w:hAnsi="Times New Roman" w:cs="Times New Roman"/>
          <w:noProof/>
          <w:sz w:val="24"/>
          <w:szCs w:val="24"/>
          <w:shd w:val="clear" w:color="auto" w:fill="FFFFFF"/>
        </w:rPr>
        <w:t xml:space="preserve">ing </w:t>
      </w:r>
      <w:r w:rsidR="009659F7" w:rsidRPr="00310516">
        <w:rPr>
          <w:rFonts w:ascii="Times New Roman" w:hAnsi="Times New Roman" w:cs="Times New Roman"/>
          <w:noProof/>
          <w:sz w:val="24"/>
          <w:szCs w:val="24"/>
          <w:shd w:val="clear" w:color="auto" w:fill="FFFFFF"/>
        </w:rPr>
        <w:t xml:space="preserve">the </w:t>
      </w:r>
      <w:r w:rsidR="00752AE0">
        <w:rPr>
          <w:rFonts w:ascii="Times New Roman" w:hAnsi="Times New Roman" w:cs="Times New Roman"/>
          <w:noProof/>
          <w:sz w:val="24"/>
          <w:szCs w:val="24"/>
          <w:shd w:val="clear" w:color="auto" w:fill="FFFFFF"/>
        </w:rPr>
        <w:t>Directive</w:t>
      </w:r>
      <w:r w:rsidRPr="00310516">
        <w:rPr>
          <w:rFonts w:ascii="Times New Roman" w:hAnsi="Times New Roman" w:cs="Times New Roman"/>
          <w:noProof/>
          <w:sz w:val="24"/>
          <w:szCs w:val="24"/>
          <w:shd w:val="clear" w:color="auto" w:fill="FFFFFF"/>
        </w:rPr>
        <w:t xml:space="preserve"> where necessary to deal with any difficulties encountered in applying </w:t>
      </w:r>
      <w:r w:rsidR="00B46EE6">
        <w:rPr>
          <w:rFonts w:ascii="Times New Roman" w:hAnsi="Times New Roman" w:cs="Times New Roman"/>
          <w:noProof/>
          <w:sz w:val="24"/>
          <w:szCs w:val="24"/>
          <w:shd w:val="clear" w:color="auto" w:fill="FFFFFF"/>
        </w:rPr>
        <w:t>its</w:t>
      </w:r>
      <w:r w:rsidRPr="00310516">
        <w:rPr>
          <w:rFonts w:ascii="Times New Roman" w:hAnsi="Times New Roman" w:cs="Times New Roman"/>
          <w:noProof/>
          <w:sz w:val="24"/>
          <w:szCs w:val="24"/>
          <w:shd w:val="clear" w:color="auto" w:fill="FFFFFF"/>
        </w:rPr>
        <w:t xml:space="preserve"> provisions, in particular to inert packaging materials placed on the market in very small quantities (i.e. approximately 0</w:t>
      </w:r>
      <w:r w:rsidR="00CA16C4">
        <w:rPr>
          <w:rFonts w:ascii="Times New Roman" w:hAnsi="Times New Roman" w:cs="Times New Roman"/>
          <w:noProof/>
          <w:sz w:val="24"/>
          <w:szCs w:val="24"/>
          <w:shd w:val="clear" w:color="auto" w:fill="FFFFFF"/>
        </w:rPr>
        <w:t>.</w:t>
      </w:r>
      <w:r w:rsidRPr="00310516">
        <w:rPr>
          <w:rFonts w:ascii="Times New Roman" w:hAnsi="Times New Roman" w:cs="Times New Roman"/>
          <w:noProof/>
          <w:sz w:val="24"/>
          <w:szCs w:val="24"/>
          <w:shd w:val="clear" w:color="auto" w:fill="FFFFFF"/>
        </w:rPr>
        <w:t xml:space="preserve">1 % by weight) in the </w:t>
      </w:r>
      <w:r w:rsidR="00E65C07">
        <w:rPr>
          <w:rFonts w:ascii="Times New Roman" w:hAnsi="Times New Roman" w:cs="Times New Roman"/>
          <w:noProof/>
          <w:sz w:val="24"/>
          <w:szCs w:val="24"/>
          <w:shd w:val="clear" w:color="auto" w:fill="FFFFFF"/>
        </w:rPr>
        <w:t>EU</w:t>
      </w:r>
      <w:r w:rsidRPr="00310516">
        <w:rPr>
          <w:rFonts w:ascii="Times New Roman" w:hAnsi="Times New Roman" w:cs="Times New Roman"/>
          <w:noProof/>
          <w:sz w:val="24"/>
          <w:szCs w:val="24"/>
          <w:shd w:val="clear" w:color="auto" w:fill="FFFFFF"/>
        </w:rPr>
        <w:t>, primary packaging for medical devices and pharmaceutical products, small packaging and luxury packaging</w:t>
      </w:r>
      <w:r w:rsidR="00716621" w:rsidRPr="00310516">
        <w:rPr>
          <w:rFonts w:ascii="Times New Roman" w:hAnsi="Times New Roman" w:cs="Times New Roman"/>
          <w:noProof/>
          <w:sz w:val="24"/>
          <w:szCs w:val="24"/>
        </w:rPr>
        <w:t>,</w:t>
      </w:r>
      <w:r w:rsidR="00446BF0" w:rsidRPr="00310516">
        <w:rPr>
          <w:rFonts w:ascii="Times New Roman" w:hAnsi="Times New Roman" w:cs="Times New Roman"/>
          <w:noProof/>
          <w:sz w:val="24"/>
          <w:szCs w:val="24"/>
        </w:rPr>
        <w:t xml:space="preserve"> </w:t>
      </w:r>
      <w:r w:rsidR="00716621" w:rsidRPr="00310516">
        <w:rPr>
          <w:rFonts w:ascii="Times New Roman" w:hAnsi="Times New Roman" w:cs="Times New Roman"/>
          <w:noProof/>
          <w:sz w:val="24"/>
          <w:szCs w:val="24"/>
        </w:rPr>
        <w:t>as provided for in Article 20</w:t>
      </w:r>
      <w:r w:rsidR="00A312FA" w:rsidRPr="00310516">
        <w:rPr>
          <w:rFonts w:ascii="Times New Roman" w:hAnsi="Times New Roman" w:cs="Times New Roman"/>
          <w:noProof/>
          <w:sz w:val="24"/>
          <w:szCs w:val="24"/>
        </w:rPr>
        <w:t>.</w:t>
      </w:r>
    </w:p>
    <w:p w14:paraId="0ADB46BD" w14:textId="28B405AA" w:rsidR="00786D86" w:rsidRPr="00843F57" w:rsidRDefault="00B16C29" w:rsidP="00843F57">
      <w:pPr>
        <w:spacing w:after="120"/>
        <w:jc w:val="both"/>
        <w:rPr>
          <w:rFonts w:ascii="Times New Roman" w:hAnsi="Times New Roman" w:cs="Times New Roman"/>
          <w:noProof/>
          <w:sz w:val="24"/>
          <w:szCs w:val="24"/>
        </w:rPr>
      </w:pPr>
      <w:r>
        <w:rPr>
          <w:rFonts w:ascii="Times New Roman" w:hAnsi="Times New Roman" w:cs="Times New Roman"/>
          <w:noProof/>
          <w:sz w:val="24"/>
          <w:szCs w:val="24"/>
        </w:rPr>
        <w:t>A</w:t>
      </w:r>
      <w:r w:rsidR="2512959E">
        <w:rPr>
          <w:rFonts w:ascii="Times New Roman" w:hAnsi="Times New Roman" w:cs="Times New Roman"/>
          <w:noProof/>
          <w:sz w:val="24"/>
          <w:szCs w:val="24"/>
        </w:rPr>
        <w:t>n</w:t>
      </w:r>
      <w:r>
        <w:rPr>
          <w:rFonts w:ascii="Times New Roman" w:hAnsi="Times New Roman" w:cs="Times New Roman"/>
          <w:noProof/>
          <w:sz w:val="24"/>
          <w:szCs w:val="24"/>
        </w:rPr>
        <w:t xml:space="preserve"> agreement on the </w:t>
      </w:r>
      <w:r w:rsidR="00786D86" w:rsidRPr="00843F57">
        <w:rPr>
          <w:rFonts w:ascii="Times New Roman" w:hAnsi="Times New Roman" w:cs="Times New Roman"/>
          <w:noProof/>
          <w:sz w:val="24"/>
          <w:szCs w:val="24"/>
        </w:rPr>
        <w:t>proposal for a</w:t>
      </w:r>
      <w:r w:rsidR="00314C65">
        <w:rPr>
          <w:rFonts w:ascii="Times New Roman" w:hAnsi="Times New Roman" w:cs="Times New Roman"/>
          <w:noProof/>
          <w:sz w:val="24"/>
          <w:szCs w:val="24"/>
        </w:rPr>
        <w:t xml:space="preserve"> new</w:t>
      </w:r>
      <w:r w:rsidR="00786D86" w:rsidRPr="00843F57">
        <w:rPr>
          <w:rFonts w:ascii="Times New Roman" w:hAnsi="Times New Roman" w:cs="Times New Roman"/>
          <w:noProof/>
          <w:sz w:val="24"/>
          <w:szCs w:val="24"/>
        </w:rPr>
        <w:t xml:space="preserve"> Packaging and Packaging Waste Regulation</w:t>
      </w:r>
      <w:r w:rsidR="00786D86">
        <w:rPr>
          <w:rStyle w:val="FootnoteReference"/>
          <w:rFonts w:ascii="Times New Roman" w:hAnsi="Times New Roman" w:cs="Times New Roman"/>
          <w:noProof/>
          <w:sz w:val="24"/>
          <w:szCs w:val="24"/>
        </w:rPr>
        <w:footnoteReference w:id="11"/>
      </w:r>
      <w:r w:rsidR="00786D86" w:rsidRPr="00843F57">
        <w:rPr>
          <w:rFonts w:ascii="Times New Roman" w:hAnsi="Times New Roman" w:cs="Times New Roman"/>
          <w:noProof/>
          <w:sz w:val="24"/>
          <w:szCs w:val="24"/>
        </w:rPr>
        <w:t xml:space="preserve"> was </w:t>
      </w:r>
      <w:r w:rsidR="0035129A">
        <w:rPr>
          <w:rFonts w:ascii="Times New Roman" w:hAnsi="Times New Roman" w:cs="Times New Roman"/>
          <w:noProof/>
          <w:sz w:val="24"/>
          <w:szCs w:val="24"/>
        </w:rPr>
        <w:t xml:space="preserve">reached on </w:t>
      </w:r>
      <w:r w:rsidR="00121FF7">
        <w:rPr>
          <w:rFonts w:ascii="Times New Roman" w:hAnsi="Times New Roman" w:cs="Times New Roman"/>
          <w:noProof/>
          <w:sz w:val="24"/>
          <w:szCs w:val="24"/>
        </w:rPr>
        <w:t>4 March 2023</w:t>
      </w:r>
      <w:r w:rsidR="7B31269A">
        <w:rPr>
          <w:rFonts w:ascii="Times New Roman" w:hAnsi="Times New Roman" w:cs="Times New Roman"/>
          <w:noProof/>
          <w:sz w:val="24"/>
          <w:szCs w:val="24"/>
        </w:rPr>
        <w:t xml:space="preserve"> and was provisionally approved by </w:t>
      </w:r>
      <w:r w:rsidR="68107E3A">
        <w:rPr>
          <w:rFonts w:ascii="Times New Roman" w:hAnsi="Times New Roman" w:cs="Times New Roman"/>
          <w:noProof/>
          <w:sz w:val="24"/>
          <w:szCs w:val="24"/>
        </w:rPr>
        <w:t>the</w:t>
      </w:r>
      <w:r w:rsidR="7B31269A">
        <w:rPr>
          <w:rFonts w:ascii="Times New Roman" w:hAnsi="Times New Roman" w:cs="Times New Roman"/>
          <w:noProof/>
          <w:sz w:val="24"/>
          <w:szCs w:val="24"/>
        </w:rPr>
        <w:t xml:space="preserve"> co-legislators</w:t>
      </w:r>
      <w:r w:rsidR="00786D86" w:rsidRPr="00843F57">
        <w:rPr>
          <w:rFonts w:ascii="Times New Roman" w:hAnsi="Times New Roman" w:cs="Times New Roman"/>
          <w:noProof/>
          <w:sz w:val="24"/>
          <w:szCs w:val="24"/>
        </w:rPr>
        <w:t xml:space="preserve">. The present empowerments contained in </w:t>
      </w:r>
      <w:r w:rsidR="00752AE0">
        <w:rPr>
          <w:rFonts w:ascii="Times New Roman" w:hAnsi="Times New Roman" w:cs="Times New Roman"/>
          <w:noProof/>
          <w:sz w:val="24"/>
          <w:szCs w:val="24"/>
        </w:rPr>
        <w:t xml:space="preserve">Directive 94/62/EC </w:t>
      </w:r>
      <w:r w:rsidR="00786D86" w:rsidRPr="00843F57">
        <w:rPr>
          <w:rFonts w:ascii="Times New Roman" w:hAnsi="Times New Roman" w:cs="Times New Roman"/>
          <w:noProof/>
          <w:sz w:val="24"/>
          <w:szCs w:val="24"/>
        </w:rPr>
        <w:t xml:space="preserve">remain relevant and should be maintained until the </w:t>
      </w:r>
      <w:r w:rsidR="00173029">
        <w:rPr>
          <w:rFonts w:ascii="Times New Roman" w:hAnsi="Times New Roman" w:cs="Times New Roman"/>
          <w:noProof/>
          <w:sz w:val="24"/>
          <w:szCs w:val="24"/>
        </w:rPr>
        <w:t>entry into force</w:t>
      </w:r>
      <w:r w:rsidR="00173029" w:rsidRPr="00843F57">
        <w:rPr>
          <w:rFonts w:ascii="Times New Roman" w:hAnsi="Times New Roman" w:cs="Times New Roman"/>
          <w:noProof/>
          <w:sz w:val="24"/>
          <w:szCs w:val="24"/>
        </w:rPr>
        <w:t xml:space="preserve"> </w:t>
      </w:r>
      <w:r w:rsidR="00786D86" w:rsidRPr="00843F57">
        <w:rPr>
          <w:rFonts w:ascii="Times New Roman" w:hAnsi="Times New Roman" w:cs="Times New Roman"/>
          <w:noProof/>
          <w:sz w:val="24"/>
          <w:szCs w:val="24"/>
        </w:rPr>
        <w:t>of the new Regulation</w:t>
      </w:r>
      <w:r w:rsidR="70FBD752" w:rsidRPr="00843F57">
        <w:rPr>
          <w:rFonts w:ascii="Times New Roman" w:hAnsi="Times New Roman" w:cs="Times New Roman"/>
          <w:noProof/>
          <w:sz w:val="24"/>
          <w:szCs w:val="24"/>
        </w:rPr>
        <w:t>, which is expected in 2025</w:t>
      </w:r>
      <w:r w:rsidR="00786D86" w:rsidRPr="00843F57">
        <w:rPr>
          <w:rFonts w:ascii="Times New Roman" w:hAnsi="Times New Roman" w:cs="Times New Roman"/>
          <w:noProof/>
          <w:sz w:val="24"/>
          <w:szCs w:val="24"/>
        </w:rPr>
        <w:t xml:space="preserve">. </w:t>
      </w:r>
    </w:p>
    <w:p w14:paraId="249DF20B" w14:textId="77777777" w:rsidR="006D7C54" w:rsidRPr="00310516" w:rsidRDefault="0041227E" w:rsidP="003524B5">
      <w:pPr>
        <w:pStyle w:val="ListParagraph"/>
        <w:numPr>
          <w:ilvl w:val="1"/>
          <w:numId w:val="10"/>
        </w:numPr>
        <w:spacing w:after="120"/>
        <w:ind w:left="567" w:hanging="567"/>
        <w:contextualSpacing w:val="0"/>
        <w:jc w:val="both"/>
        <w:rPr>
          <w:rFonts w:ascii="Times New Roman" w:hAnsi="Times New Roman" w:cs="Times New Roman"/>
          <w:b/>
          <w:noProof/>
          <w:sz w:val="24"/>
          <w:szCs w:val="24"/>
        </w:rPr>
      </w:pPr>
      <w:r w:rsidRPr="00310516">
        <w:rPr>
          <w:rFonts w:ascii="Times New Roman" w:hAnsi="Times New Roman" w:cs="Times New Roman"/>
          <w:b/>
          <w:noProof/>
          <w:sz w:val="24"/>
          <w:szCs w:val="24"/>
        </w:rPr>
        <w:t>Exercise o</w:t>
      </w:r>
      <w:r w:rsidR="00533CD6" w:rsidRPr="00310516">
        <w:rPr>
          <w:rFonts w:ascii="Times New Roman" w:hAnsi="Times New Roman" w:cs="Times New Roman"/>
          <w:b/>
          <w:noProof/>
          <w:sz w:val="24"/>
          <w:szCs w:val="24"/>
        </w:rPr>
        <w:t>f Delegation</w:t>
      </w:r>
    </w:p>
    <w:p w14:paraId="4FDFD59F" w14:textId="5C880174" w:rsidR="00AD657E" w:rsidRPr="002B2E40" w:rsidRDefault="00321200" w:rsidP="003524B5">
      <w:pPr>
        <w:spacing w:after="120"/>
        <w:jc w:val="both"/>
        <w:rPr>
          <w:rFonts w:ascii="Times New Roman" w:hAnsi="Times New Roman" w:cs="Times New Roman"/>
          <w:noProof/>
          <w:sz w:val="24"/>
          <w:szCs w:val="24"/>
        </w:rPr>
      </w:pPr>
      <w:r w:rsidRPr="00310516">
        <w:rPr>
          <w:rFonts w:ascii="Times New Roman" w:hAnsi="Times New Roman" w:cs="Times New Roman"/>
          <w:noProof/>
          <w:sz w:val="24"/>
          <w:szCs w:val="24"/>
        </w:rPr>
        <w:t xml:space="preserve">During the period covered by </w:t>
      </w:r>
      <w:r w:rsidR="00B16C29">
        <w:rPr>
          <w:rFonts w:ascii="Times New Roman" w:hAnsi="Times New Roman" w:cs="Times New Roman"/>
          <w:noProof/>
          <w:sz w:val="24"/>
          <w:szCs w:val="24"/>
        </w:rPr>
        <w:t xml:space="preserve">this </w:t>
      </w:r>
      <w:r w:rsidRPr="00310516">
        <w:rPr>
          <w:rFonts w:ascii="Times New Roman" w:hAnsi="Times New Roman" w:cs="Times New Roman"/>
          <w:noProof/>
          <w:sz w:val="24"/>
          <w:szCs w:val="24"/>
        </w:rPr>
        <w:t>report, the Commission di</w:t>
      </w:r>
      <w:r w:rsidR="00C90E36" w:rsidRPr="00310516">
        <w:rPr>
          <w:rFonts w:ascii="Times New Roman" w:hAnsi="Times New Roman" w:cs="Times New Roman"/>
          <w:noProof/>
          <w:sz w:val="24"/>
          <w:szCs w:val="24"/>
        </w:rPr>
        <w:t>d</w:t>
      </w:r>
      <w:r w:rsidRPr="00310516">
        <w:rPr>
          <w:rFonts w:ascii="Times New Roman" w:hAnsi="Times New Roman" w:cs="Times New Roman"/>
          <w:noProof/>
          <w:sz w:val="24"/>
          <w:szCs w:val="24"/>
        </w:rPr>
        <w:t xml:space="preserve"> not make use</w:t>
      </w:r>
      <w:r w:rsidR="00C90E36" w:rsidRPr="00310516">
        <w:rPr>
          <w:rFonts w:ascii="Times New Roman" w:hAnsi="Times New Roman" w:cs="Times New Roman"/>
          <w:noProof/>
          <w:sz w:val="24"/>
          <w:szCs w:val="24"/>
        </w:rPr>
        <w:t xml:space="preserve"> </w:t>
      </w:r>
      <w:r w:rsidRPr="00310516">
        <w:rPr>
          <w:rFonts w:ascii="Times New Roman" w:hAnsi="Times New Roman" w:cs="Times New Roman"/>
          <w:noProof/>
          <w:sz w:val="24"/>
          <w:szCs w:val="24"/>
        </w:rPr>
        <w:t xml:space="preserve">of the delegated powers conferred </w:t>
      </w:r>
      <w:r w:rsidR="00B16C29">
        <w:rPr>
          <w:rFonts w:ascii="Times New Roman" w:hAnsi="Times New Roman" w:cs="Times New Roman"/>
          <w:noProof/>
          <w:sz w:val="24"/>
          <w:szCs w:val="24"/>
        </w:rPr>
        <w:t>up</w:t>
      </w:r>
      <w:r w:rsidRPr="00310516">
        <w:rPr>
          <w:rFonts w:ascii="Times New Roman" w:hAnsi="Times New Roman" w:cs="Times New Roman"/>
          <w:noProof/>
          <w:sz w:val="24"/>
          <w:szCs w:val="24"/>
        </w:rPr>
        <w:t xml:space="preserve">on it under </w:t>
      </w:r>
      <w:r w:rsidR="00752AE0">
        <w:rPr>
          <w:rFonts w:ascii="Times New Roman" w:hAnsi="Times New Roman" w:cs="Times New Roman"/>
          <w:noProof/>
          <w:sz w:val="24"/>
          <w:szCs w:val="24"/>
        </w:rPr>
        <w:t>Directive 94/62/EC</w:t>
      </w:r>
      <w:r w:rsidRPr="00310516">
        <w:rPr>
          <w:rFonts w:ascii="Times New Roman" w:hAnsi="Times New Roman" w:cs="Times New Roman"/>
          <w:noProof/>
          <w:sz w:val="24"/>
          <w:szCs w:val="24"/>
        </w:rPr>
        <w:t>.</w:t>
      </w:r>
      <w:r w:rsidR="002B2E40">
        <w:rPr>
          <w:rFonts w:ascii="Times New Roman" w:hAnsi="Times New Roman" w:cs="Times New Roman"/>
          <w:noProof/>
          <w:sz w:val="24"/>
          <w:szCs w:val="24"/>
        </w:rPr>
        <w:t xml:space="preserve"> </w:t>
      </w:r>
      <w:r w:rsidR="00AD657E">
        <w:rPr>
          <w:rFonts w:ascii="Times New Roman" w:hAnsi="Times New Roman" w:cs="Times New Roman"/>
          <w:noProof/>
          <w:sz w:val="24"/>
          <w:szCs w:val="24"/>
        </w:rPr>
        <w:t xml:space="preserve">However, Commission </w:t>
      </w:r>
      <w:r w:rsidR="009863B1">
        <w:rPr>
          <w:rFonts w:ascii="Times New Roman" w:hAnsi="Times New Roman" w:cs="Times New Roman"/>
          <w:noProof/>
          <w:sz w:val="24"/>
          <w:szCs w:val="24"/>
        </w:rPr>
        <w:t>acts</w:t>
      </w:r>
      <w:r w:rsidR="00AD657E">
        <w:rPr>
          <w:rFonts w:ascii="Times New Roman" w:hAnsi="Times New Roman" w:cs="Times New Roman"/>
          <w:noProof/>
          <w:sz w:val="24"/>
          <w:szCs w:val="24"/>
        </w:rPr>
        <w:t xml:space="preserve"> had been adopted in the areas </w:t>
      </w:r>
      <w:r w:rsidR="00AD657E">
        <w:rPr>
          <w:rFonts w:ascii="Times New Roman" w:hAnsi="Times New Roman" w:cs="Times New Roman"/>
          <w:noProof/>
          <w:sz w:val="24"/>
          <w:szCs w:val="24"/>
          <w:lang w:val="en-US"/>
        </w:rPr>
        <w:t>covered by the delegation of powers prior to the period covered by this report</w:t>
      </w:r>
      <w:r w:rsidR="006058A2">
        <w:rPr>
          <w:rFonts w:ascii="Times New Roman" w:hAnsi="Times New Roman" w:cs="Times New Roman"/>
          <w:noProof/>
          <w:sz w:val="24"/>
          <w:szCs w:val="24"/>
          <w:lang w:val="en-US"/>
        </w:rPr>
        <w:t>, based on former empowerment</w:t>
      </w:r>
      <w:r w:rsidR="009849AD">
        <w:rPr>
          <w:rFonts w:ascii="Times New Roman" w:hAnsi="Times New Roman" w:cs="Times New Roman"/>
          <w:noProof/>
          <w:sz w:val="24"/>
          <w:szCs w:val="24"/>
          <w:lang w:val="en-US"/>
        </w:rPr>
        <w:t>s</w:t>
      </w:r>
      <w:r w:rsidR="006058A2">
        <w:rPr>
          <w:rFonts w:ascii="Times New Roman" w:hAnsi="Times New Roman" w:cs="Times New Roman"/>
          <w:noProof/>
          <w:sz w:val="24"/>
          <w:szCs w:val="24"/>
          <w:lang w:val="en-US"/>
        </w:rPr>
        <w:t xml:space="preserve"> preceding the revision of the Directive in</w:t>
      </w:r>
      <w:r w:rsidR="009147AE">
        <w:rPr>
          <w:rFonts w:ascii="Times New Roman" w:hAnsi="Times New Roman" w:cs="Times New Roman"/>
          <w:noProof/>
          <w:sz w:val="24"/>
          <w:szCs w:val="24"/>
          <w:lang w:val="en-US"/>
        </w:rPr>
        <w:t xml:space="preserve"> 2018</w:t>
      </w:r>
      <w:r w:rsidR="009147AE">
        <w:rPr>
          <w:rStyle w:val="FootnoteReference"/>
          <w:rFonts w:ascii="Times New Roman" w:hAnsi="Times New Roman" w:cs="Times New Roman"/>
          <w:noProof/>
          <w:sz w:val="24"/>
          <w:szCs w:val="24"/>
          <w:lang w:val="en-US"/>
        </w:rPr>
        <w:footnoteReference w:id="12"/>
      </w:r>
      <w:r w:rsidR="0035129A">
        <w:rPr>
          <w:rFonts w:ascii="Times New Roman" w:hAnsi="Times New Roman" w:cs="Times New Roman"/>
          <w:noProof/>
          <w:sz w:val="24"/>
          <w:szCs w:val="24"/>
          <w:lang w:val="en-US"/>
        </w:rPr>
        <w:t>, as detailed below.</w:t>
      </w:r>
    </w:p>
    <w:p w14:paraId="7C5A720E" w14:textId="33294AA7" w:rsidR="00FB62F4" w:rsidRPr="00310516" w:rsidRDefault="00B923E1" w:rsidP="003524B5">
      <w:pPr>
        <w:pStyle w:val="ListParagraph"/>
        <w:numPr>
          <w:ilvl w:val="2"/>
          <w:numId w:val="10"/>
        </w:numPr>
        <w:spacing w:after="120"/>
        <w:ind w:left="851" w:hanging="851"/>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Exemptions from restrictions on heavy metals in packaging</w:t>
      </w:r>
      <w:r w:rsidR="00FB62F4" w:rsidRPr="00310516">
        <w:rPr>
          <w:rFonts w:ascii="Times New Roman" w:hAnsi="Times New Roman" w:cs="Times New Roman"/>
          <w:b/>
          <w:noProof/>
          <w:sz w:val="24"/>
          <w:szCs w:val="24"/>
        </w:rPr>
        <w:t xml:space="preserve"> </w:t>
      </w:r>
    </w:p>
    <w:p w14:paraId="34D6731B" w14:textId="51A4505D" w:rsidR="00A75C2B" w:rsidRDefault="00A75C2B" w:rsidP="00706E1E">
      <w:pPr>
        <w:spacing w:after="120"/>
        <w:jc w:val="both"/>
        <w:rPr>
          <w:rFonts w:ascii="Times New Roman" w:hAnsi="Times New Roman" w:cs="Times New Roman"/>
          <w:bCs/>
          <w:noProof/>
          <w:sz w:val="24"/>
          <w:szCs w:val="24"/>
          <w:shd w:val="clear" w:color="auto" w:fill="FFFFFF"/>
        </w:rPr>
      </w:pPr>
      <w:r w:rsidRPr="00A75C2B">
        <w:rPr>
          <w:rFonts w:ascii="Times New Roman" w:hAnsi="Times New Roman" w:cs="Times New Roman"/>
          <w:bCs/>
          <w:noProof/>
          <w:sz w:val="24"/>
          <w:szCs w:val="24"/>
          <w:shd w:val="clear" w:color="auto" w:fill="FFFFFF"/>
        </w:rPr>
        <w:t>Purs</w:t>
      </w:r>
      <w:r>
        <w:rPr>
          <w:rFonts w:ascii="Times New Roman" w:hAnsi="Times New Roman" w:cs="Times New Roman"/>
          <w:bCs/>
          <w:noProof/>
          <w:sz w:val="24"/>
          <w:szCs w:val="24"/>
          <w:shd w:val="clear" w:color="auto" w:fill="FFFFFF"/>
        </w:rPr>
        <w:t xml:space="preserve">uant to Article 11(1) of </w:t>
      </w:r>
      <w:r w:rsidR="00752AE0">
        <w:rPr>
          <w:rFonts w:ascii="Times New Roman" w:hAnsi="Times New Roman" w:cs="Times New Roman"/>
          <w:noProof/>
          <w:sz w:val="24"/>
          <w:szCs w:val="24"/>
        </w:rPr>
        <w:t>Directive 94/62/EC</w:t>
      </w:r>
      <w:r>
        <w:rPr>
          <w:rFonts w:ascii="Times New Roman" w:hAnsi="Times New Roman" w:cs="Times New Roman"/>
          <w:bCs/>
          <w:noProof/>
          <w:sz w:val="24"/>
          <w:szCs w:val="24"/>
          <w:shd w:val="clear" w:color="auto" w:fill="FFFFFF"/>
        </w:rPr>
        <w:t xml:space="preserve">, Member States </w:t>
      </w:r>
      <w:r w:rsidRPr="00A75C2B">
        <w:rPr>
          <w:rFonts w:ascii="Times New Roman" w:hAnsi="Times New Roman" w:cs="Times New Roman"/>
          <w:bCs/>
          <w:noProof/>
          <w:sz w:val="24"/>
          <w:szCs w:val="24"/>
          <w:shd w:val="clear" w:color="auto" w:fill="FFFFFF"/>
        </w:rPr>
        <w:t>shall ensure that the sum of concentration levels of lead, cadmium, mercury and hexavalent chromium present in packaging or packaging components shall not exceed 100 ppm by weight</w:t>
      </w:r>
      <w:r>
        <w:rPr>
          <w:rFonts w:ascii="Times New Roman" w:hAnsi="Times New Roman" w:cs="Times New Roman"/>
          <w:bCs/>
          <w:noProof/>
          <w:sz w:val="24"/>
          <w:szCs w:val="24"/>
          <w:shd w:val="clear" w:color="auto" w:fill="FFFFFF"/>
        </w:rPr>
        <w:t>.</w:t>
      </w:r>
    </w:p>
    <w:p w14:paraId="220A9B91" w14:textId="547608EA" w:rsidR="00F5215F" w:rsidRDefault="00A75C2B" w:rsidP="78C0FDD1">
      <w:pPr>
        <w:spacing w:after="120"/>
        <w:jc w:val="both"/>
        <w:rPr>
          <w:rFonts w:ascii="Times New Roman" w:hAnsi="Times New Roman" w:cs="Times New Roman"/>
          <w:noProof/>
          <w:sz w:val="24"/>
          <w:szCs w:val="24"/>
          <w:shd w:val="clear" w:color="auto" w:fill="FFFFFF"/>
        </w:rPr>
      </w:pPr>
      <w:r w:rsidRPr="78C0FDD1">
        <w:rPr>
          <w:rFonts w:ascii="Times New Roman" w:hAnsi="Times New Roman" w:cs="Times New Roman"/>
          <w:noProof/>
          <w:sz w:val="24"/>
          <w:szCs w:val="24"/>
          <w:shd w:val="clear" w:color="auto" w:fill="FFFFFF"/>
        </w:rPr>
        <w:t>Accord</w:t>
      </w:r>
      <w:r w:rsidR="00AD657E" w:rsidRPr="78C0FDD1">
        <w:rPr>
          <w:rFonts w:ascii="Times New Roman" w:hAnsi="Times New Roman" w:cs="Times New Roman"/>
          <w:noProof/>
          <w:sz w:val="24"/>
          <w:szCs w:val="24"/>
          <w:shd w:val="clear" w:color="auto" w:fill="FFFFFF"/>
        </w:rPr>
        <w:t>i</w:t>
      </w:r>
      <w:r w:rsidRPr="78C0FDD1">
        <w:rPr>
          <w:rFonts w:ascii="Times New Roman" w:hAnsi="Times New Roman" w:cs="Times New Roman"/>
          <w:noProof/>
          <w:sz w:val="24"/>
          <w:szCs w:val="24"/>
          <w:shd w:val="clear" w:color="auto" w:fill="FFFFFF"/>
        </w:rPr>
        <w:t xml:space="preserve">ng to </w:t>
      </w:r>
      <w:r w:rsidRPr="78C0FDD1">
        <w:rPr>
          <w:rFonts w:ascii="Times New Roman" w:hAnsi="Times New Roman" w:cs="Times New Roman"/>
          <w:noProof/>
          <w:sz w:val="24"/>
          <w:szCs w:val="24"/>
        </w:rPr>
        <w:t xml:space="preserve">former </w:t>
      </w:r>
      <w:r w:rsidRPr="78C0FDD1">
        <w:rPr>
          <w:rFonts w:ascii="Times New Roman" w:hAnsi="Times New Roman" w:cs="Times New Roman"/>
          <w:noProof/>
          <w:sz w:val="24"/>
          <w:szCs w:val="24"/>
          <w:shd w:val="clear" w:color="auto" w:fill="FFFFFF"/>
        </w:rPr>
        <w:t>Article 11(3)</w:t>
      </w:r>
      <w:r w:rsidR="4380E305" w:rsidRPr="78C0FDD1">
        <w:rPr>
          <w:rFonts w:ascii="Times New Roman" w:hAnsi="Times New Roman" w:cs="Times New Roman"/>
          <w:noProof/>
          <w:sz w:val="24"/>
          <w:szCs w:val="24"/>
          <w:shd w:val="clear" w:color="auto" w:fill="FFFFFF"/>
        </w:rPr>
        <w:t xml:space="preserve"> of Directive 94/62/EC</w:t>
      </w:r>
      <w:r w:rsidR="007D062D" w:rsidRPr="78C0FDD1">
        <w:rPr>
          <w:rFonts w:ascii="Times New Roman" w:hAnsi="Times New Roman" w:cs="Times New Roman"/>
          <w:noProof/>
          <w:sz w:val="24"/>
          <w:szCs w:val="24"/>
          <w:shd w:val="clear" w:color="auto" w:fill="FFFFFF"/>
        </w:rPr>
        <w:t>,</w:t>
      </w:r>
      <w:r w:rsidRPr="78C0FDD1">
        <w:rPr>
          <w:rFonts w:ascii="Times New Roman" w:hAnsi="Times New Roman" w:cs="Times New Roman"/>
          <w:noProof/>
          <w:sz w:val="24"/>
          <w:szCs w:val="24"/>
          <w:shd w:val="clear" w:color="auto" w:fill="FFFFFF"/>
        </w:rPr>
        <w:t xml:space="preserve"> the Commission shall </w:t>
      </w:r>
      <w:r w:rsidR="00426F99" w:rsidRPr="78C0FDD1">
        <w:rPr>
          <w:rFonts w:ascii="Times New Roman" w:hAnsi="Times New Roman" w:cs="Times New Roman"/>
          <w:noProof/>
          <w:sz w:val="24"/>
          <w:szCs w:val="24"/>
          <w:shd w:val="clear" w:color="auto" w:fill="FFFFFF"/>
        </w:rPr>
        <w:t>determine</w:t>
      </w:r>
      <w:r w:rsidRPr="78C0FDD1">
        <w:rPr>
          <w:rFonts w:ascii="Times New Roman" w:hAnsi="Times New Roman" w:cs="Times New Roman"/>
          <w:noProof/>
          <w:sz w:val="24"/>
          <w:szCs w:val="24"/>
          <w:shd w:val="clear" w:color="auto" w:fill="FFFFFF"/>
        </w:rPr>
        <w:t xml:space="preserve"> the conditions under which the concentration levels referred to in Article 11(1) do not apply to recycled materials and to product loops which are in a closed and controlled chain, as well as the types of packaging which are exempted from the requirement laid down in the third indent of </w:t>
      </w:r>
      <w:r w:rsidR="006058A2" w:rsidRPr="78C0FDD1">
        <w:rPr>
          <w:rFonts w:ascii="Times New Roman" w:hAnsi="Times New Roman" w:cs="Times New Roman"/>
          <w:noProof/>
          <w:sz w:val="24"/>
          <w:szCs w:val="24"/>
          <w:shd w:val="clear" w:color="auto" w:fill="FFFFFF"/>
        </w:rPr>
        <w:t xml:space="preserve">former </w:t>
      </w:r>
      <w:r w:rsidRPr="78C0FDD1">
        <w:rPr>
          <w:rFonts w:ascii="Times New Roman" w:hAnsi="Times New Roman" w:cs="Times New Roman"/>
          <w:noProof/>
          <w:sz w:val="24"/>
          <w:szCs w:val="24"/>
          <w:shd w:val="clear" w:color="auto" w:fill="FFFFFF"/>
        </w:rPr>
        <w:t>Article 11(3).</w:t>
      </w:r>
    </w:p>
    <w:p w14:paraId="7EFE4D53" w14:textId="18098D3A" w:rsidR="00345BC7" w:rsidRDefault="00197E1E" w:rsidP="00F5215F">
      <w:pPr>
        <w:spacing w:after="1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Commission dec</w:t>
      </w:r>
      <w:r w:rsidR="00345BC7">
        <w:rPr>
          <w:rFonts w:ascii="Times New Roman" w:hAnsi="Times New Roman" w:cs="Times New Roman"/>
          <w:noProof/>
          <w:sz w:val="24"/>
          <w:szCs w:val="24"/>
          <w:lang w:val="en-US"/>
        </w:rPr>
        <w:t>i</w:t>
      </w:r>
      <w:r>
        <w:rPr>
          <w:rFonts w:ascii="Times New Roman" w:hAnsi="Times New Roman" w:cs="Times New Roman"/>
          <w:noProof/>
          <w:sz w:val="24"/>
          <w:szCs w:val="24"/>
          <w:lang w:val="en-US"/>
        </w:rPr>
        <w:t xml:space="preserve">sions </w:t>
      </w:r>
      <w:r w:rsidR="006058A2">
        <w:rPr>
          <w:rFonts w:ascii="Times New Roman" w:hAnsi="Times New Roman" w:cs="Times New Roman"/>
          <w:noProof/>
          <w:sz w:val="24"/>
          <w:szCs w:val="24"/>
          <w:lang w:val="en-US"/>
        </w:rPr>
        <w:t xml:space="preserve">adopted </w:t>
      </w:r>
      <w:r>
        <w:rPr>
          <w:rFonts w:ascii="Times New Roman" w:hAnsi="Times New Roman" w:cs="Times New Roman"/>
          <w:noProof/>
          <w:sz w:val="24"/>
          <w:szCs w:val="24"/>
          <w:lang w:val="en-US"/>
        </w:rPr>
        <w:t>based on</w:t>
      </w:r>
      <w:r w:rsidR="00B24DDB">
        <w:rPr>
          <w:rFonts w:ascii="Times New Roman" w:hAnsi="Times New Roman" w:cs="Times New Roman"/>
          <w:noProof/>
          <w:sz w:val="24"/>
          <w:szCs w:val="24"/>
          <w:lang w:val="en-US"/>
        </w:rPr>
        <w:t xml:space="preserve"> </w:t>
      </w:r>
      <w:r w:rsidR="00B24DDB" w:rsidRPr="006144F1">
        <w:rPr>
          <w:rFonts w:ascii="Times New Roman" w:hAnsi="Times New Roman" w:cs="Times New Roman"/>
          <w:noProof/>
          <w:sz w:val="24"/>
          <w:szCs w:val="24"/>
          <w:lang w:val="en-US"/>
        </w:rPr>
        <w:t>former</w:t>
      </w:r>
      <w:r w:rsidRPr="00C66294">
        <w:rPr>
          <w:rFonts w:ascii="Times New Roman" w:hAnsi="Times New Roman" w:cs="Times New Roman"/>
          <w:noProof/>
          <w:sz w:val="24"/>
          <w:szCs w:val="24"/>
          <w:lang w:val="en-US"/>
        </w:rPr>
        <w:t xml:space="preserve"> A</w:t>
      </w:r>
      <w:r>
        <w:rPr>
          <w:rFonts w:ascii="Times New Roman" w:hAnsi="Times New Roman" w:cs="Times New Roman"/>
          <w:noProof/>
          <w:sz w:val="24"/>
          <w:szCs w:val="24"/>
          <w:lang w:val="en-US"/>
        </w:rPr>
        <w:t>rti</w:t>
      </w:r>
      <w:r w:rsidR="00B24DDB">
        <w:rPr>
          <w:rFonts w:ascii="Times New Roman" w:hAnsi="Times New Roman" w:cs="Times New Roman"/>
          <w:noProof/>
          <w:sz w:val="24"/>
          <w:szCs w:val="24"/>
          <w:lang w:val="en-US"/>
        </w:rPr>
        <w:t>c</w:t>
      </w:r>
      <w:r>
        <w:rPr>
          <w:rFonts w:ascii="Times New Roman" w:hAnsi="Times New Roman" w:cs="Times New Roman"/>
          <w:noProof/>
          <w:sz w:val="24"/>
          <w:szCs w:val="24"/>
          <w:lang w:val="en-US"/>
        </w:rPr>
        <w:t xml:space="preserve">le </w:t>
      </w:r>
      <w:r w:rsidR="00B24DDB">
        <w:rPr>
          <w:rFonts w:ascii="Times New Roman" w:hAnsi="Times New Roman" w:cs="Times New Roman"/>
          <w:noProof/>
          <w:sz w:val="24"/>
          <w:szCs w:val="24"/>
          <w:lang w:val="en-US"/>
        </w:rPr>
        <w:t>11(3)</w:t>
      </w:r>
      <w:r w:rsidR="006058A2">
        <w:rPr>
          <w:rFonts w:ascii="Times New Roman" w:hAnsi="Times New Roman" w:cs="Times New Roman"/>
          <w:noProof/>
          <w:sz w:val="24"/>
          <w:szCs w:val="24"/>
          <w:lang w:val="en-US"/>
        </w:rPr>
        <w:t xml:space="preserve"> include</w:t>
      </w:r>
      <w:r>
        <w:rPr>
          <w:rFonts w:ascii="Times New Roman" w:hAnsi="Times New Roman" w:cs="Times New Roman"/>
          <w:noProof/>
          <w:sz w:val="24"/>
          <w:szCs w:val="24"/>
          <w:lang w:val="en-US"/>
        </w:rPr>
        <w:t xml:space="preserve">: </w:t>
      </w:r>
    </w:p>
    <w:p w14:paraId="48D05A23" w14:textId="7EBF1914" w:rsidR="00367BB0" w:rsidRPr="00417C5D" w:rsidRDefault="00367BB0" w:rsidP="00367BB0">
      <w:pPr>
        <w:pStyle w:val="ListParagraph"/>
        <w:numPr>
          <w:ilvl w:val="0"/>
          <w:numId w:val="18"/>
        </w:numPr>
        <w:spacing w:after="120"/>
        <w:jc w:val="both"/>
        <w:rPr>
          <w:rFonts w:ascii="Times New Roman" w:hAnsi="Times New Roman" w:cs="Times New Roman"/>
          <w:noProof/>
          <w:sz w:val="24"/>
          <w:szCs w:val="24"/>
          <w:lang w:val="en-US"/>
        </w:rPr>
      </w:pPr>
      <w:r w:rsidRPr="00417C5D">
        <w:rPr>
          <w:rFonts w:ascii="Times New Roman" w:hAnsi="Times New Roman" w:cs="Times New Roman"/>
          <w:noProof/>
          <w:sz w:val="24"/>
          <w:szCs w:val="24"/>
          <w:lang w:val="en-US"/>
        </w:rPr>
        <w:t>Commission Decision 2001/171/EC of 19 February 2001 establishing the conditions for a derogation for glass packaging in relation to the heavy metal concentration levels established in Directive 94/62/EC</w:t>
      </w:r>
      <w:r w:rsidRPr="00417C5D">
        <w:rPr>
          <w:rStyle w:val="FootnoteReference"/>
          <w:rFonts w:ascii="Times New Roman" w:hAnsi="Times New Roman" w:cs="Times New Roman"/>
          <w:noProof/>
          <w:sz w:val="24"/>
          <w:szCs w:val="24"/>
          <w:lang w:val="en-US"/>
        </w:rPr>
        <w:footnoteReference w:id="13"/>
      </w:r>
      <w:r w:rsidR="00A46707">
        <w:rPr>
          <w:rFonts w:ascii="Times New Roman" w:hAnsi="Times New Roman" w:cs="Times New Roman"/>
          <w:noProof/>
          <w:sz w:val="24"/>
          <w:szCs w:val="24"/>
          <w:lang w:val="en-US"/>
        </w:rPr>
        <w:t>;</w:t>
      </w:r>
    </w:p>
    <w:p w14:paraId="7C1EDC9C" w14:textId="4A8C8375" w:rsidR="00367BB0" w:rsidRPr="00417C5D" w:rsidRDefault="00367BB0" w:rsidP="00367BB0">
      <w:pPr>
        <w:pStyle w:val="ListParagraph"/>
        <w:numPr>
          <w:ilvl w:val="0"/>
          <w:numId w:val="18"/>
        </w:numPr>
        <w:spacing w:after="120"/>
        <w:jc w:val="both"/>
        <w:rPr>
          <w:rFonts w:ascii="Times New Roman" w:hAnsi="Times New Roman" w:cs="Times New Roman"/>
          <w:noProof/>
          <w:sz w:val="24"/>
          <w:szCs w:val="24"/>
          <w:lang w:val="en-US"/>
        </w:rPr>
      </w:pPr>
      <w:r w:rsidRPr="00417C5D">
        <w:rPr>
          <w:rFonts w:ascii="Times New Roman" w:hAnsi="Times New Roman" w:cs="Times New Roman"/>
          <w:noProof/>
          <w:sz w:val="24"/>
          <w:szCs w:val="24"/>
          <w:lang w:val="en-US"/>
        </w:rPr>
        <w:t xml:space="preserve">Commission Decision 2006/340/EC of 8 May 2006 amending </w:t>
      </w:r>
      <w:r w:rsidR="00F1172F" w:rsidRPr="00417C5D">
        <w:rPr>
          <w:rFonts w:ascii="Times New Roman" w:hAnsi="Times New Roman" w:cs="Times New Roman"/>
          <w:noProof/>
          <w:sz w:val="24"/>
          <w:szCs w:val="24"/>
          <w:lang w:val="en-US"/>
        </w:rPr>
        <w:t xml:space="preserve">Commission </w:t>
      </w:r>
      <w:r w:rsidRPr="00417C5D">
        <w:rPr>
          <w:rFonts w:ascii="Times New Roman" w:hAnsi="Times New Roman" w:cs="Times New Roman"/>
          <w:noProof/>
          <w:sz w:val="24"/>
          <w:szCs w:val="24"/>
          <w:lang w:val="en-US"/>
        </w:rPr>
        <w:t>Decision 2001/171/EC for the purpose of prolonging the validity of the conditions for a derogation for glass packaging in relation to the heavy metal concentration levels established in Directive 94/62/EC</w:t>
      </w:r>
      <w:r w:rsidRPr="00417C5D">
        <w:rPr>
          <w:rStyle w:val="FootnoteReference"/>
          <w:rFonts w:ascii="Times New Roman" w:hAnsi="Times New Roman" w:cs="Times New Roman"/>
          <w:noProof/>
          <w:sz w:val="24"/>
          <w:szCs w:val="24"/>
          <w:lang w:val="en-US"/>
        </w:rPr>
        <w:footnoteReference w:id="14"/>
      </w:r>
      <w:r w:rsidR="00A46707">
        <w:rPr>
          <w:rFonts w:ascii="Times New Roman" w:hAnsi="Times New Roman" w:cs="Times New Roman"/>
          <w:noProof/>
          <w:sz w:val="24"/>
          <w:szCs w:val="24"/>
          <w:lang w:val="en-US"/>
        </w:rPr>
        <w:t>;</w:t>
      </w:r>
    </w:p>
    <w:p w14:paraId="47023C17" w14:textId="2518F737" w:rsidR="00F5215F" w:rsidRPr="00115577" w:rsidRDefault="00F5215F" w:rsidP="00115577">
      <w:pPr>
        <w:pStyle w:val="ListParagraph"/>
        <w:numPr>
          <w:ilvl w:val="0"/>
          <w:numId w:val="18"/>
        </w:numPr>
        <w:spacing w:after="120"/>
        <w:jc w:val="both"/>
        <w:rPr>
          <w:rFonts w:ascii="Times New Roman" w:hAnsi="Times New Roman" w:cs="Times New Roman"/>
          <w:bCs/>
          <w:noProof/>
          <w:sz w:val="24"/>
          <w:szCs w:val="24"/>
          <w:shd w:val="clear" w:color="auto" w:fill="FFFFFF"/>
          <w:lang w:val="en-US"/>
        </w:rPr>
      </w:pPr>
      <w:r w:rsidRPr="00115577">
        <w:rPr>
          <w:rFonts w:ascii="Times New Roman" w:hAnsi="Times New Roman" w:cs="Times New Roman"/>
          <w:bCs/>
          <w:noProof/>
          <w:sz w:val="24"/>
          <w:szCs w:val="24"/>
          <w:shd w:val="clear" w:color="auto" w:fill="FFFFFF"/>
          <w:lang w:val="en-US"/>
        </w:rPr>
        <w:lastRenderedPageBreak/>
        <w:t xml:space="preserve">Commission Decision </w:t>
      </w:r>
      <w:r w:rsidR="00F1172F" w:rsidRPr="00F1172F">
        <w:rPr>
          <w:rFonts w:ascii="Times New Roman" w:hAnsi="Times New Roman" w:cs="Times New Roman"/>
          <w:bCs/>
          <w:noProof/>
          <w:sz w:val="24"/>
          <w:szCs w:val="24"/>
          <w:shd w:val="clear" w:color="auto" w:fill="FFFFFF"/>
          <w:lang w:val="en-US"/>
        </w:rPr>
        <w:t xml:space="preserve">2009/292/EC </w:t>
      </w:r>
      <w:r w:rsidRPr="00115577">
        <w:rPr>
          <w:rFonts w:ascii="Times New Roman" w:hAnsi="Times New Roman" w:cs="Times New Roman"/>
          <w:bCs/>
          <w:noProof/>
          <w:sz w:val="24"/>
          <w:szCs w:val="24"/>
          <w:shd w:val="clear" w:color="auto" w:fill="FFFFFF"/>
          <w:lang w:val="en-US"/>
        </w:rPr>
        <w:t>of 24 March 2009 establishing the conditions for a derogation for plastic crates and plastic pallets in relation to the heavy metal concentration levels established in Directive 94/62/EC</w:t>
      </w:r>
      <w:r w:rsidRPr="00417C5D">
        <w:rPr>
          <w:rStyle w:val="FootnoteReference"/>
          <w:rFonts w:ascii="Times New Roman" w:hAnsi="Times New Roman" w:cs="Times New Roman"/>
          <w:bCs/>
          <w:noProof/>
          <w:sz w:val="24"/>
          <w:szCs w:val="24"/>
          <w:shd w:val="clear" w:color="auto" w:fill="FFFFFF"/>
          <w:lang w:val="en-US"/>
        </w:rPr>
        <w:footnoteReference w:id="15"/>
      </w:r>
      <w:r w:rsidR="00115577">
        <w:rPr>
          <w:rFonts w:ascii="Times New Roman" w:hAnsi="Times New Roman" w:cs="Times New Roman"/>
          <w:bCs/>
          <w:noProof/>
          <w:sz w:val="24"/>
          <w:szCs w:val="24"/>
          <w:shd w:val="clear" w:color="auto" w:fill="FFFFFF"/>
          <w:lang w:val="en-US"/>
        </w:rPr>
        <w:t>.</w:t>
      </w:r>
    </w:p>
    <w:p w14:paraId="3BC81C17" w14:textId="69CD4420" w:rsidR="002B75C0" w:rsidRPr="002B75C0" w:rsidRDefault="0016352F" w:rsidP="51F50EA6">
      <w:pPr>
        <w:spacing w:after="120"/>
        <w:jc w:val="both"/>
        <w:rPr>
          <w:rFonts w:ascii="Times New Roman" w:hAnsi="Times New Roman" w:cs="Times New Roman"/>
          <w:noProof/>
          <w:sz w:val="24"/>
          <w:szCs w:val="24"/>
        </w:rPr>
      </w:pPr>
      <w:r w:rsidRPr="51F50EA6">
        <w:rPr>
          <w:rFonts w:ascii="Times New Roman" w:hAnsi="Times New Roman" w:cs="Times New Roman"/>
          <w:noProof/>
          <w:sz w:val="24"/>
          <w:szCs w:val="24"/>
        </w:rPr>
        <w:t>The</w:t>
      </w:r>
      <w:r w:rsidR="4772327D" w:rsidRPr="51F50EA6">
        <w:rPr>
          <w:rFonts w:ascii="Times New Roman" w:hAnsi="Times New Roman" w:cs="Times New Roman"/>
          <w:noProof/>
          <w:sz w:val="24"/>
          <w:szCs w:val="24"/>
        </w:rPr>
        <w:t xml:space="preserve"> Commission </w:t>
      </w:r>
      <w:r w:rsidR="174DA704" w:rsidRPr="51F50EA6">
        <w:rPr>
          <w:rFonts w:ascii="Times New Roman" w:hAnsi="Times New Roman" w:cs="Times New Roman"/>
          <w:noProof/>
          <w:sz w:val="24"/>
          <w:szCs w:val="24"/>
        </w:rPr>
        <w:t>ha</w:t>
      </w:r>
      <w:r w:rsidR="00F1172F">
        <w:rPr>
          <w:rFonts w:ascii="Times New Roman" w:hAnsi="Times New Roman" w:cs="Times New Roman"/>
          <w:noProof/>
          <w:sz w:val="24"/>
          <w:szCs w:val="24"/>
        </w:rPr>
        <w:t>s</w:t>
      </w:r>
      <w:r w:rsidR="174DA704" w:rsidRPr="51F50EA6">
        <w:rPr>
          <w:rFonts w:ascii="Times New Roman" w:hAnsi="Times New Roman" w:cs="Times New Roman"/>
          <w:noProof/>
          <w:sz w:val="24"/>
          <w:szCs w:val="24"/>
        </w:rPr>
        <w:t xml:space="preserve"> </w:t>
      </w:r>
      <w:r w:rsidR="00A46707">
        <w:rPr>
          <w:rFonts w:ascii="Times New Roman" w:hAnsi="Times New Roman" w:cs="Times New Roman"/>
          <w:noProof/>
          <w:sz w:val="24"/>
          <w:szCs w:val="24"/>
        </w:rPr>
        <w:t>not</w:t>
      </w:r>
      <w:r w:rsidR="00A46707" w:rsidRPr="51F50EA6">
        <w:rPr>
          <w:rFonts w:ascii="Times New Roman" w:hAnsi="Times New Roman" w:cs="Times New Roman"/>
          <w:noProof/>
          <w:sz w:val="24"/>
          <w:szCs w:val="24"/>
        </w:rPr>
        <w:t xml:space="preserve"> </w:t>
      </w:r>
      <w:r w:rsidR="3A807F41" w:rsidRPr="51F50EA6">
        <w:rPr>
          <w:rFonts w:ascii="Times New Roman" w:hAnsi="Times New Roman" w:cs="Times New Roman"/>
          <w:noProof/>
          <w:sz w:val="24"/>
          <w:szCs w:val="24"/>
        </w:rPr>
        <w:t xml:space="preserve">identified </w:t>
      </w:r>
      <w:r w:rsidR="30A78D8C" w:rsidRPr="51F50EA6">
        <w:rPr>
          <w:rFonts w:ascii="Times New Roman" w:hAnsi="Times New Roman" w:cs="Times New Roman"/>
          <w:noProof/>
          <w:sz w:val="24"/>
          <w:szCs w:val="24"/>
        </w:rPr>
        <w:t>the</w:t>
      </w:r>
      <w:r w:rsidR="3A807F41" w:rsidRPr="51F50EA6">
        <w:rPr>
          <w:rFonts w:ascii="Times New Roman" w:hAnsi="Times New Roman" w:cs="Times New Roman"/>
          <w:noProof/>
          <w:sz w:val="24"/>
          <w:szCs w:val="24"/>
        </w:rPr>
        <w:t xml:space="preserve"> need to amend </w:t>
      </w:r>
      <w:r w:rsidR="006058A2" w:rsidRPr="51F50EA6">
        <w:rPr>
          <w:rFonts w:ascii="Times New Roman" w:hAnsi="Times New Roman" w:cs="Times New Roman"/>
          <w:noProof/>
          <w:sz w:val="24"/>
          <w:szCs w:val="24"/>
        </w:rPr>
        <w:t xml:space="preserve">the abovementioned </w:t>
      </w:r>
      <w:r w:rsidR="408213F0" w:rsidRPr="51F50EA6">
        <w:rPr>
          <w:rFonts w:ascii="Times New Roman" w:hAnsi="Times New Roman" w:cs="Times New Roman"/>
          <w:noProof/>
          <w:sz w:val="24"/>
          <w:szCs w:val="24"/>
        </w:rPr>
        <w:t>dec</w:t>
      </w:r>
      <w:r w:rsidR="5EA68989" w:rsidRPr="51F50EA6">
        <w:rPr>
          <w:rFonts w:ascii="Times New Roman" w:hAnsi="Times New Roman" w:cs="Times New Roman"/>
          <w:noProof/>
          <w:sz w:val="24"/>
          <w:szCs w:val="24"/>
        </w:rPr>
        <w:t>i</w:t>
      </w:r>
      <w:r w:rsidR="408213F0" w:rsidRPr="51F50EA6">
        <w:rPr>
          <w:rFonts w:ascii="Times New Roman" w:hAnsi="Times New Roman" w:cs="Times New Roman"/>
          <w:noProof/>
          <w:sz w:val="24"/>
          <w:szCs w:val="24"/>
        </w:rPr>
        <w:t>sions</w:t>
      </w:r>
      <w:r w:rsidR="0CC24464" w:rsidRPr="51F50EA6">
        <w:rPr>
          <w:rFonts w:ascii="Times New Roman" w:hAnsi="Times New Roman" w:cs="Times New Roman"/>
          <w:noProof/>
          <w:sz w:val="24"/>
          <w:szCs w:val="24"/>
        </w:rPr>
        <w:t>,</w:t>
      </w:r>
      <w:r w:rsidR="006058A2" w:rsidRPr="51F50EA6">
        <w:rPr>
          <w:rFonts w:ascii="Times New Roman" w:hAnsi="Times New Roman" w:cs="Times New Roman"/>
          <w:noProof/>
          <w:sz w:val="24"/>
          <w:szCs w:val="24"/>
        </w:rPr>
        <w:t xml:space="preserve"> nor </w:t>
      </w:r>
      <w:r w:rsidR="00A46707">
        <w:rPr>
          <w:rFonts w:ascii="Times New Roman" w:hAnsi="Times New Roman" w:cs="Times New Roman"/>
          <w:noProof/>
          <w:sz w:val="24"/>
          <w:szCs w:val="24"/>
        </w:rPr>
        <w:t>to</w:t>
      </w:r>
      <w:r w:rsidR="006058A2" w:rsidRPr="51F50EA6">
        <w:rPr>
          <w:rFonts w:ascii="Times New Roman" w:hAnsi="Times New Roman" w:cs="Times New Roman"/>
          <w:noProof/>
          <w:sz w:val="24"/>
          <w:szCs w:val="24"/>
        </w:rPr>
        <w:t xml:space="preserve"> adopt </w:t>
      </w:r>
      <w:r w:rsidR="4772327D" w:rsidRPr="51F50EA6">
        <w:rPr>
          <w:rFonts w:ascii="Times New Roman" w:hAnsi="Times New Roman" w:cs="Times New Roman"/>
          <w:noProof/>
          <w:sz w:val="24"/>
          <w:szCs w:val="24"/>
        </w:rPr>
        <w:t>new act</w:t>
      </w:r>
      <w:r w:rsidR="006058A2" w:rsidRPr="51F50EA6">
        <w:rPr>
          <w:rFonts w:ascii="Times New Roman" w:hAnsi="Times New Roman" w:cs="Times New Roman"/>
          <w:noProof/>
          <w:sz w:val="24"/>
          <w:szCs w:val="24"/>
        </w:rPr>
        <w:t>s in th</w:t>
      </w:r>
      <w:r w:rsidR="0C009495" w:rsidRPr="51F50EA6">
        <w:rPr>
          <w:rFonts w:ascii="Times New Roman" w:hAnsi="Times New Roman" w:cs="Times New Roman"/>
          <w:noProof/>
          <w:sz w:val="24"/>
          <w:szCs w:val="24"/>
        </w:rPr>
        <w:t>is</w:t>
      </w:r>
      <w:r w:rsidR="006058A2" w:rsidRPr="51F50EA6">
        <w:rPr>
          <w:rFonts w:ascii="Times New Roman" w:hAnsi="Times New Roman" w:cs="Times New Roman"/>
          <w:noProof/>
          <w:sz w:val="24"/>
          <w:szCs w:val="24"/>
        </w:rPr>
        <w:t xml:space="preserve"> field</w:t>
      </w:r>
      <w:r w:rsidR="4772327D" w:rsidRPr="51F50EA6">
        <w:rPr>
          <w:rFonts w:ascii="Times New Roman" w:hAnsi="Times New Roman" w:cs="Times New Roman"/>
          <w:noProof/>
          <w:sz w:val="24"/>
          <w:szCs w:val="24"/>
        </w:rPr>
        <w:t xml:space="preserve">.  </w:t>
      </w:r>
    </w:p>
    <w:p w14:paraId="6D67F872" w14:textId="2452C3FF" w:rsidR="002B3B9F" w:rsidRPr="00310516" w:rsidRDefault="002B3B9F" w:rsidP="003524B5">
      <w:pPr>
        <w:pStyle w:val="ListParagraph"/>
        <w:numPr>
          <w:ilvl w:val="2"/>
          <w:numId w:val="10"/>
        </w:numPr>
        <w:spacing w:after="120"/>
        <w:ind w:left="851" w:hanging="851"/>
        <w:contextualSpacing w:val="0"/>
        <w:jc w:val="both"/>
        <w:rPr>
          <w:rFonts w:ascii="Times New Roman" w:hAnsi="Times New Roman" w:cs="Times New Roman"/>
          <w:b/>
          <w:noProof/>
          <w:sz w:val="24"/>
          <w:szCs w:val="24"/>
          <w:shd w:val="clear" w:color="auto" w:fill="FFFFFF"/>
        </w:rPr>
      </w:pPr>
      <w:r w:rsidRPr="00310516">
        <w:rPr>
          <w:rFonts w:ascii="Times New Roman" w:hAnsi="Times New Roman" w:cs="Times New Roman"/>
          <w:b/>
          <w:noProof/>
          <w:sz w:val="24"/>
          <w:szCs w:val="24"/>
        </w:rPr>
        <w:t>Amendment</w:t>
      </w:r>
      <w:r w:rsidRPr="00310516">
        <w:rPr>
          <w:rFonts w:ascii="Times New Roman" w:hAnsi="Times New Roman" w:cs="Times New Roman"/>
          <w:b/>
          <w:noProof/>
          <w:sz w:val="24"/>
          <w:szCs w:val="24"/>
          <w:shd w:val="clear" w:color="auto" w:fill="FFFFFF"/>
        </w:rPr>
        <w:t xml:space="preserve"> of illustrative examples for the definition of packaging</w:t>
      </w:r>
      <w:r w:rsidR="009659F7" w:rsidRPr="00310516">
        <w:rPr>
          <w:rFonts w:ascii="Times New Roman" w:hAnsi="Times New Roman" w:cs="Times New Roman"/>
          <w:b/>
          <w:noProof/>
          <w:sz w:val="24"/>
          <w:szCs w:val="24"/>
          <w:shd w:val="clear" w:color="auto" w:fill="FFFFFF"/>
        </w:rPr>
        <w:t xml:space="preserve"> </w:t>
      </w:r>
    </w:p>
    <w:p w14:paraId="48B30F1F" w14:textId="56D9E9C7" w:rsidR="00120027" w:rsidRDefault="000D5AA2" w:rsidP="003524B5">
      <w:pPr>
        <w:spacing w:after="120"/>
        <w:jc w:val="both"/>
        <w:rPr>
          <w:rFonts w:ascii="Times New Roman" w:hAnsi="Times New Roman" w:cs="Times New Roman"/>
          <w:noProof/>
          <w:sz w:val="24"/>
          <w:szCs w:val="24"/>
        </w:rPr>
      </w:pPr>
      <w:r w:rsidRPr="2E27594B">
        <w:rPr>
          <w:rFonts w:ascii="Times New Roman" w:hAnsi="Times New Roman" w:cs="Times New Roman"/>
          <w:noProof/>
          <w:sz w:val="24"/>
          <w:szCs w:val="24"/>
        </w:rPr>
        <w:t xml:space="preserve">Annex I </w:t>
      </w:r>
      <w:r w:rsidR="00A46707">
        <w:rPr>
          <w:rFonts w:ascii="Times New Roman" w:hAnsi="Times New Roman" w:cs="Times New Roman"/>
          <w:noProof/>
          <w:sz w:val="24"/>
          <w:szCs w:val="24"/>
        </w:rPr>
        <w:t>to</w:t>
      </w:r>
      <w:r w:rsidR="00A46707" w:rsidRPr="2E27594B">
        <w:rPr>
          <w:rFonts w:ascii="Times New Roman" w:hAnsi="Times New Roman" w:cs="Times New Roman"/>
          <w:noProof/>
          <w:sz w:val="24"/>
          <w:szCs w:val="24"/>
        </w:rPr>
        <w:t xml:space="preserve"> </w:t>
      </w:r>
      <w:r w:rsidR="00752AE0">
        <w:rPr>
          <w:rFonts w:ascii="Times New Roman" w:hAnsi="Times New Roman" w:cs="Times New Roman"/>
          <w:noProof/>
          <w:sz w:val="24"/>
          <w:szCs w:val="24"/>
        </w:rPr>
        <w:t xml:space="preserve">Directive 94/62/EC </w:t>
      </w:r>
      <w:r w:rsidR="00E95739" w:rsidRPr="2E27594B">
        <w:rPr>
          <w:rFonts w:ascii="Times New Roman" w:hAnsi="Times New Roman" w:cs="Times New Roman"/>
          <w:noProof/>
          <w:sz w:val="24"/>
          <w:szCs w:val="24"/>
        </w:rPr>
        <w:t xml:space="preserve">lists </w:t>
      </w:r>
      <w:r w:rsidR="00706A00" w:rsidRPr="2E27594B">
        <w:rPr>
          <w:rFonts w:ascii="Times New Roman" w:hAnsi="Times New Roman" w:cs="Times New Roman"/>
          <w:noProof/>
          <w:sz w:val="24"/>
          <w:szCs w:val="24"/>
        </w:rPr>
        <w:t>illustrative examples of the application of</w:t>
      </w:r>
      <w:r w:rsidR="00192EB1" w:rsidRPr="2E27594B">
        <w:rPr>
          <w:rFonts w:ascii="Times New Roman" w:hAnsi="Times New Roman" w:cs="Times New Roman"/>
          <w:noProof/>
          <w:sz w:val="24"/>
          <w:szCs w:val="24"/>
        </w:rPr>
        <w:t xml:space="preserve"> </w:t>
      </w:r>
      <w:r w:rsidR="000C7154" w:rsidRPr="2E27594B">
        <w:rPr>
          <w:rFonts w:ascii="Times New Roman" w:hAnsi="Times New Roman" w:cs="Times New Roman"/>
          <w:noProof/>
          <w:sz w:val="24"/>
          <w:szCs w:val="24"/>
        </w:rPr>
        <w:t>criteria</w:t>
      </w:r>
      <w:r w:rsidR="00625F86" w:rsidRPr="2E27594B">
        <w:rPr>
          <w:rFonts w:ascii="Times New Roman" w:hAnsi="Times New Roman" w:cs="Times New Roman"/>
          <w:noProof/>
          <w:sz w:val="24"/>
          <w:szCs w:val="24"/>
        </w:rPr>
        <w:t xml:space="preserve"> established in</w:t>
      </w:r>
      <w:r w:rsidR="000F5919" w:rsidRPr="2E27594B">
        <w:rPr>
          <w:rFonts w:ascii="Times New Roman" w:hAnsi="Times New Roman" w:cs="Times New Roman"/>
          <w:noProof/>
          <w:sz w:val="24"/>
          <w:szCs w:val="24"/>
        </w:rPr>
        <w:t xml:space="preserve"> Article 3</w:t>
      </w:r>
      <w:r w:rsidR="0056615D" w:rsidRPr="2E27594B">
        <w:rPr>
          <w:rFonts w:ascii="Times New Roman" w:hAnsi="Times New Roman" w:cs="Times New Roman"/>
          <w:noProof/>
          <w:sz w:val="24"/>
          <w:szCs w:val="24"/>
        </w:rPr>
        <w:t xml:space="preserve">(i)-(iii) complementing </w:t>
      </w:r>
      <w:r w:rsidR="00402470">
        <w:rPr>
          <w:rFonts w:ascii="Times New Roman" w:hAnsi="Times New Roman" w:cs="Times New Roman"/>
          <w:noProof/>
          <w:sz w:val="24"/>
          <w:szCs w:val="24"/>
        </w:rPr>
        <w:t xml:space="preserve">the </w:t>
      </w:r>
      <w:r w:rsidR="00D75C70" w:rsidRPr="2E27594B">
        <w:rPr>
          <w:rFonts w:ascii="Times New Roman" w:hAnsi="Times New Roman" w:cs="Times New Roman"/>
          <w:noProof/>
          <w:sz w:val="24"/>
          <w:szCs w:val="24"/>
        </w:rPr>
        <w:t xml:space="preserve">definition of packaging </w:t>
      </w:r>
      <w:r w:rsidR="000F5919" w:rsidRPr="2E27594B">
        <w:rPr>
          <w:rFonts w:ascii="Times New Roman" w:hAnsi="Times New Roman" w:cs="Times New Roman"/>
          <w:noProof/>
          <w:sz w:val="24"/>
          <w:szCs w:val="24"/>
        </w:rPr>
        <w:t>set in Article</w:t>
      </w:r>
      <w:r w:rsidR="0079260C" w:rsidRPr="2E27594B">
        <w:rPr>
          <w:rFonts w:ascii="Times New Roman" w:hAnsi="Times New Roman" w:cs="Times New Roman"/>
          <w:noProof/>
          <w:sz w:val="24"/>
          <w:szCs w:val="24"/>
        </w:rPr>
        <w:t xml:space="preserve"> 3(1) of the </w:t>
      </w:r>
      <w:r w:rsidR="001278EC">
        <w:rPr>
          <w:rFonts w:ascii="Times New Roman" w:hAnsi="Times New Roman" w:cs="Times New Roman"/>
          <w:noProof/>
          <w:sz w:val="24"/>
          <w:szCs w:val="24"/>
        </w:rPr>
        <w:t>Directive</w:t>
      </w:r>
      <w:r w:rsidR="0079260C" w:rsidRPr="2E27594B">
        <w:rPr>
          <w:rFonts w:ascii="Times New Roman" w:hAnsi="Times New Roman" w:cs="Times New Roman"/>
          <w:noProof/>
          <w:sz w:val="24"/>
          <w:szCs w:val="24"/>
        </w:rPr>
        <w:t xml:space="preserve">. </w:t>
      </w:r>
      <w:r w:rsidR="004C6D91" w:rsidRPr="2E27594B">
        <w:rPr>
          <w:rFonts w:ascii="Times New Roman" w:hAnsi="Times New Roman" w:cs="Times New Roman"/>
          <w:noProof/>
          <w:sz w:val="24"/>
          <w:szCs w:val="24"/>
        </w:rPr>
        <w:t>Article</w:t>
      </w:r>
      <w:r w:rsidR="00845982" w:rsidRPr="2E27594B">
        <w:rPr>
          <w:rFonts w:ascii="Times New Roman" w:hAnsi="Times New Roman" w:cs="Times New Roman"/>
          <w:noProof/>
          <w:sz w:val="24"/>
          <w:szCs w:val="24"/>
        </w:rPr>
        <w:t xml:space="preserve"> 19(2)</w:t>
      </w:r>
      <w:r w:rsidR="004C6D91" w:rsidRPr="2E27594B">
        <w:rPr>
          <w:rFonts w:ascii="Times New Roman" w:hAnsi="Times New Roman" w:cs="Times New Roman"/>
          <w:noProof/>
          <w:sz w:val="24"/>
          <w:szCs w:val="24"/>
        </w:rPr>
        <w:t xml:space="preserve"> empowers</w:t>
      </w:r>
      <w:r w:rsidR="00AE41AC" w:rsidRPr="2E27594B">
        <w:rPr>
          <w:rFonts w:ascii="Times New Roman" w:hAnsi="Times New Roman" w:cs="Times New Roman"/>
          <w:noProof/>
          <w:sz w:val="24"/>
          <w:szCs w:val="24"/>
        </w:rPr>
        <w:t xml:space="preserve"> the</w:t>
      </w:r>
      <w:r w:rsidR="004C6D91" w:rsidRPr="2E27594B">
        <w:rPr>
          <w:rFonts w:ascii="Times New Roman" w:hAnsi="Times New Roman" w:cs="Times New Roman"/>
          <w:noProof/>
          <w:sz w:val="24"/>
          <w:szCs w:val="24"/>
        </w:rPr>
        <w:t xml:space="preserve"> Commission to </w:t>
      </w:r>
      <w:r w:rsidR="0017177C" w:rsidRPr="2E27594B">
        <w:rPr>
          <w:rFonts w:ascii="Times New Roman" w:hAnsi="Times New Roman" w:cs="Times New Roman"/>
          <w:noProof/>
          <w:sz w:val="24"/>
          <w:szCs w:val="24"/>
        </w:rPr>
        <w:t>amend</w:t>
      </w:r>
      <w:r w:rsidRPr="2E27594B">
        <w:rPr>
          <w:rFonts w:ascii="Times New Roman" w:hAnsi="Times New Roman" w:cs="Times New Roman"/>
          <w:noProof/>
          <w:sz w:val="24"/>
          <w:szCs w:val="24"/>
        </w:rPr>
        <w:t xml:space="preserve"> the </w:t>
      </w:r>
      <w:r w:rsidR="007D062D" w:rsidRPr="2E27594B">
        <w:rPr>
          <w:rFonts w:ascii="Times New Roman" w:hAnsi="Times New Roman" w:cs="Times New Roman"/>
          <w:noProof/>
          <w:sz w:val="24"/>
          <w:szCs w:val="24"/>
        </w:rPr>
        <w:t xml:space="preserve">list of </w:t>
      </w:r>
      <w:r w:rsidRPr="2E27594B">
        <w:rPr>
          <w:rFonts w:ascii="Times New Roman" w:hAnsi="Times New Roman" w:cs="Times New Roman"/>
          <w:noProof/>
          <w:sz w:val="24"/>
          <w:szCs w:val="24"/>
        </w:rPr>
        <w:t>illustrative examples listed in Annex I.</w:t>
      </w:r>
    </w:p>
    <w:p w14:paraId="0020AA6F" w14:textId="3C2B16B9" w:rsidR="002B75C0" w:rsidRPr="002B75C0" w:rsidRDefault="00F5215F" w:rsidP="003524B5">
      <w:pPr>
        <w:spacing w:after="120"/>
        <w:jc w:val="both"/>
        <w:rPr>
          <w:rFonts w:ascii="Times New Roman" w:hAnsi="Times New Roman" w:cs="Times New Roman"/>
          <w:noProof/>
          <w:sz w:val="24"/>
          <w:szCs w:val="24"/>
          <w:lang w:val="en-US"/>
        </w:rPr>
      </w:pPr>
      <w:r w:rsidRPr="00417C5D">
        <w:rPr>
          <w:rFonts w:ascii="Times New Roman" w:hAnsi="Times New Roman" w:cs="Times New Roman"/>
          <w:noProof/>
          <w:sz w:val="24"/>
          <w:szCs w:val="24"/>
          <w:lang w:val="en-US"/>
        </w:rPr>
        <w:t>The Commission exercised this power</w:t>
      </w:r>
      <w:r w:rsidR="00275CB6">
        <w:rPr>
          <w:rFonts w:ascii="Times New Roman" w:hAnsi="Times New Roman" w:cs="Times New Roman"/>
          <w:noProof/>
          <w:sz w:val="24"/>
          <w:szCs w:val="24"/>
          <w:lang w:val="en-US"/>
        </w:rPr>
        <w:t xml:space="preserve"> by adopting </w:t>
      </w:r>
      <w:r w:rsidR="001105F6" w:rsidRPr="00367BB0">
        <w:rPr>
          <w:rFonts w:ascii="Times New Roman" w:hAnsi="Times New Roman" w:cs="Times New Roman"/>
          <w:noProof/>
          <w:sz w:val="24"/>
          <w:szCs w:val="24"/>
          <w:lang w:val="en-US"/>
        </w:rPr>
        <w:t>Commission Directive 2013/2/EU of 7 February 2013 amending Annex I to Directive 94/62/EC</w:t>
      </w:r>
      <w:r w:rsidR="001105F6" w:rsidRPr="00417C5D">
        <w:rPr>
          <w:rStyle w:val="FootnoteReference"/>
          <w:rFonts w:ascii="Times New Roman" w:hAnsi="Times New Roman" w:cs="Times New Roman"/>
          <w:noProof/>
          <w:sz w:val="24"/>
          <w:szCs w:val="24"/>
          <w:lang w:val="en-US"/>
        </w:rPr>
        <w:footnoteReference w:id="16"/>
      </w:r>
      <w:r w:rsidR="00076ACC">
        <w:rPr>
          <w:rFonts w:ascii="Times New Roman" w:hAnsi="Times New Roman" w:cs="Times New Roman"/>
          <w:noProof/>
          <w:sz w:val="24"/>
          <w:szCs w:val="24"/>
          <w:lang w:val="en-US"/>
        </w:rPr>
        <w:t>.</w:t>
      </w:r>
    </w:p>
    <w:p w14:paraId="05835D05" w14:textId="7E478C5C" w:rsidR="00834879" w:rsidRPr="00FD3000" w:rsidRDefault="005D60F4" w:rsidP="2E27594B">
      <w:pPr>
        <w:pStyle w:val="ListParagraph"/>
        <w:numPr>
          <w:ilvl w:val="2"/>
          <w:numId w:val="10"/>
        </w:numPr>
        <w:spacing w:after="120"/>
        <w:ind w:left="851" w:hanging="851"/>
        <w:jc w:val="both"/>
        <w:rPr>
          <w:rFonts w:ascii="Times New Roman" w:hAnsi="Times New Roman" w:cs="Times New Roman"/>
          <w:b/>
          <w:bCs/>
          <w:noProof/>
          <w:sz w:val="24"/>
          <w:szCs w:val="24"/>
          <w:shd w:val="clear" w:color="auto" w:fill="FFFFFF"/>
        </w:rPr>
      </w:pPr>
      <w:r w:rsidRPr="2E27594B">
        <w:rPr>
          <w:rFonts w:ascii="Times New Roman" w:hAnsi="Times New Roman" w:cs="Times New Roman"/>
          <w:b/>
          <w:bCs/>
          <w:noProof/>
          <w:sz w:val="24"/>
          <w:szCs w:val="24"/>
          <w:shd w:val="clear" w:color="auto" w:fill="FFFFFF"/>
        </w:rPr>
        <w:t>S</w:t>
      </w:r>
      <w:r w:rsidR="75C281B9" w:rsidRPr="2E27594B">
        <w:rPr>
          <w:rFonts w:ascii="Times New Roman" w:hAnsi="Times New Roman" w:cs="Times New Roman"/>
          <w:b/>
          <w:bCs/>
          <w:noProof/>
          <w:sz w:val="24"/>
          <w:szCs w:val="24"/>
          <w:shd w:val="clear" w:color="auto" w:fill="FFFFFF"/>
        </w:rPr>
        <w:t>upplement</w:t>
      </w:r>
      <w:r w:rsidRPr="2E27594B">
        <w:rPr>
          <w:rFonts w:ascii="Times New Roman" w:hAnsi="Times New Roman" w:cs="Times New Roman"/>
          <w:b/>
          <w:bCs/>
          <w:noProof/>
          <w:sz w:val="24"/>
          <w:szCs w:val="24"/>
          <w:shd w:val="clear" w:color="auto" w:fill="FFFFFF"/>
        </w:rPr>
        <w:t>ing</w:t>
      </w:r>
      <w:r w:rsidR="75C281B9" w:rsidRPr="2E27594B">
        <w:rPr>
          <w:rFonts w:ascii="Times New Roman" w:hAnsi="Times New Roman" w:cs="Times New Roman"/>
          <w:b/>
          <w:bCs/>
          <w:noProof/>
          <w:sz w:val="24"/>
          <w:szCs w:val="24"/>
          <w:shd w:val="clear" w:color="auto" w:fill="FFFFFF"/>
        </w:rPr>
        <w:t xml:space="preserve"> </w:t>
      </w:r>
      <w:r w:rsidR="5BB92BAE" w:rsidRPr="2E27594B">
        <w:rPr>
          <w:rFonts w:ascii="Times New Roman" w:hAnsi="Times New Roman" w:cs="Times New Roman"/>
          <w:b/>
          <w:bCs/>
          <w:noProof/>
          <w:sz w:val="24"/>
          <w:szCs w:val="24"/>
          <w:shd w:val="clear" w:color="auto" w:fill="FFFFFF"/>
        </w:rPr>
        <w:t>the</w:t>
      </w:r>
      <w:r w:rsidR="75C281B9" w:rsidRPr="2E27594B">
        <w:rPr>
          <w:rFonts w:ascii="Times New Roman" w:hAnsi="Times New Roman" w:cs="Times New Roman"/>
          <w:b/>
          <w:bCs/>
          <w:noProof/>
          <w:sz w:val="24"/>
          <w:szCs w:val="24"/>
          <w:shd w:val="clear" w:color="auto" w:fill="FFFFFF"/>
        </w:rPr>
        <w:t xml:space="preserve"> </w:t>
      </w:r>
      <w:r w:rsidR="00752AE0">
        <w:rPr>
          <w:rFonts w:ascii="Times New Roman" w:hAnsi="Times New Roman" w:cs="Times New Roman"/>
          <w:b/>
          <w:bCs/>
          <w:noProof/>
          <w:sz w:val="24"/>
          <w:szCs w:val="24"/>
          <w:shd w:val="clear" w:color="auto" w:fill="FFFFFF"/>
        </w:rPr>
        <w:t>Directive</w:t>
      </w:r>
      <w:r w:rsidRPr="2E27594B">
        <w:rPr>
          <w:rFonts w:ascii="Times New Roman" w:hAnsi="Times New Roman" w:cs="Times New Roman"/>
          <w:b/>
          <w:bCs/>
          <w:noProof/>
          <w:sz w:val="24"/>
          <w:szCs w:val="24"/>
          <w:shd w:val="clear" w:color="auto" w:fill="FFFFFF"/>
        </w:rPr>
        <w:t xml:space="preserve"> </w:t>
      </w:r>
      <w:r w:rsidR="66FE3CA7" w:rsidRPr="2E27594B">
        <w:rPr>
          <w:rFonts w:ascii="Times New Roman" w:hAnsi="Times New Roman" w:cs="Times New Roman"/>
          <w:b/>
          <w:bCs/>
          <w:noProof/>
          <w:sz w:val="24"/>
          <w:szCs w:val="24"/>
          <w:shd w:val="clear" w:color="auto" w:fill="FFFFFF"/>
        </w:rPr>
        <w:t>to</w:t>
      </w:r>
      <w:r w:rsidR="75C281B9" w:rsidRPr="00FD3000">
        <w:rPr>
          <w:rFonts w:ascii="Times New Roman" w:hAnsi="Times New Roman" w:cs="Times New Roman"/>
          <w:b/>
          <w:bCs/>
          <w:noProof/>
          <w:sz w:val="24"/>
          <w:szCs w:val="24"/>
          <w:shd w:val="clear" w:color="auto" w:fill="FFFFFF"/>
        </w:rPr>
        <w:t xml:space="preserve"> deal with any difficulties encountered</w:t>
      </w:r>
      <w:r w:rsidR="75C281B9" w:rsidRPr="2E27594B">
        <w:rPr>
          <w:rFonts w:ascii="Times New Roman" w:hAnsi="Times New Roman" w:cs="Times New Roman"/>
          <w:b/>
          <w:bCs/>
          <w:noProof/>
          <w:sz w:val="24"/>
          <w:szCs w:val="24"/>
          <w:shd w:val="clear" w:color="auto" w:fill="FFFFFF"/>
        </w:rPr>
        <w:t xml:space="preserve"> in applying the provisions </w:t>
      </w:r>
      <w:r w:rsidR="5BB92BAE" w:rsidRPr="2E27594B">
        <w:rPr>
          <w:rFonts w:ascii="Times New Roman" w:hAnsi="Times New Roman" w:cs="Times New Roman"/>
          <w:b/>
          <w:bCs/>
          <w:noProof/>
          <w:sz w:val="24"/>
          <w:szCs w:val="24"/>
          <w:shd w:val="clear" w:color="auto" w:fill="FFFFFF"/>
        </w:rPr>
        <w:t>of</w:t>
      </w:r>
      <w:r w:rsidRPr="2E27594B">
        <w:rPr>
          <w:rFonts w:ascii="Times New Roman" w:hAnsi="Times New Roman" w:cs="Times New Roman"/>
          <w:b/>
          <w:bCs/>
          <w:noProof/>
          <w:sz w:val="24"/>
          <w:szCs w:val="24"/>
          <w:shd w:val="clear" w:color="auto" w:fill="FFFFFF"/>
        </w:rPr>
        <w:t xml:space="preserve"> the </w:t>
      </w:r>
      <w:r w:rsidR="71684904" w:rsidRPr="2E27594B">
        <w:rPr>
          <w:rFonts w:ascii="Times New Roman" w:hAnsi="Times New Roman" w:cs="Times New Roman"/>
          <w:b/>
          <w:bCs/>
          <w:noProof/>
          <w:sz w:val="24"/>
          <w:szCs w:val="24"/>
          <w:shd w:val="clear" w:color="auto" w:fill="FFFFFF"/>
        </w:rPr>
        <w:t>D</w:t>
      </w:r>
      <w:r w:rsidRPr="00FD3000">
        <w:rPr>
          <w:rFonts w:ascii="Times New Roman" w:hAnsi="Times New Roman" w:cs="Times New Roman"/>
          <w:b/>
          <w:bCs/>
          <w:noProof/>
          <w:sz w:val="24"/>
          <w:szCs w:val="24"/>
          <w:shd w:val="clear" w:color="auto" w:fill="FFFFFF"/>
        </w:rPr>
        <w:t>irective</w:t>
      </w:r>
      <w:r w:rsidR="5BB92BAE" w:rsidRPr="2E27594B">
        <w:rPr>
          <w:rFonts w:ascii="Times New Roman" w:hAnsi="Times New Roman" w:cs="Times New Roman"/>
          <w:b/>
          <w:bCs/>
          <w:noProof/>
          <w:sz w:val="24"/>
          <w:szCs w:val="24"/>
        </w:rPr>
        <w:t xml:space="preserve"> </w:t>
      </w:r>
      <w:r w:rsidR="7387EFA7" w:rsidRPr="00FD3000">
        <w:rPr>
          <w:rFonts w:ascii="Times New Roman" w:hAnsi="Times New Roman" w:cs="Times New Roman"/>
          <w:b/>
          <w:bCs/>
          <w:noProof/>
          <w:sz w:val="24"/>
          <w:szCs w:val="24"/>
          <w:shd w:val="clear" w:color="auto" w:fill="FFFFFF"/>
        </w:rPr>
        <w:t xml:space="preserve"> </w:t>
      </w:r>
      <w:r w:rsidR="7387EFA7" w:rsidRPr="00FD3000">
        <w:rPr>
          <w:rFonts w:ascii="Times New Roman" w:hAnsi="Times New Roman" w:cs="Times New Roman"/>
          <w:b/>
          <w:bCs/>
          <w:noProof/>
          <w:sz w:val="24"/>
          <w:szCs w:val="24"/>
          <w:lang w:val="en-US"/>
        </w:rPr>
        <w:t xml:space="preserve">  </w:t>
      </w:r>
    </w:p>
    <w:p w14:paraId="1B943627" w14:textId="4BC86D54" w:rsidR="00700DF6" w:rsidRDefault="5061F925" w:rsidP="00706E1E">
      <w:pPr>
        <w:spacing w:after="120"/>
        <w:jc w:val="both"/>
        <w:rPr>
          <w:rFonts w:ascii="Times New Roman" w:hAnsi="Times New Roman" w:cs="Times New Roman"/>
          <w:noProof/>
          <w:sz w:val="24"/>
          <w:szCs w:val="24"/>
          <w:lang w:val="en-US"/>
        </w:rPr>
      </w:pPr>
      <w:r w:rsidRPr="1463D20E">
        <w:rPr>
          <w:rFonts w:ascii="Times New Roman" w:hAnsi="Times New Roman" w:cs="Times New Roman"/>
          <w:noProof/>
          <w:sz w:val="24"/>
          <w:szCs w:val="24"/>
          <w:shd w:val="clear" w:color="auto" w:fill="FFFFFF"/>
        </w:rPr>
        <w:t xml:space="preserve">The Commission </w:t>
      </w:r>
      <w:r w:rsidR="00A46707">
        <w:rPr>
          <w:rFonts w:ascii="Times New Roman" w:hAnsi="Times New Roman" w:cs="Times New Roman"/>
          <w:noProof/>
          <w:sz w:val="24"/>
          <w:szCs w:val="24"/>
          <w:shd w:val="clear" w:color="auto" w:fill="FFFFFF"/>
        </w:rPr>
        <w:t>has</w:t>
      </w:r>
      <w:r w:rsidR="00A46707" w:rsidRPr="1463D20E">
        <w:rPr>
          <w:rFonts w:ascii="Times New Roman" w:hAnsi="Times New Roman" w:cs="Times New Roman"/>
          <w:noProof/>
          <w:sz w:val="24"/>
          <w:szCs w:val="24"/>
          <w:shd w:val="clear" w:color="auto" w:fill="FFFFFF"/>
        </w:rPr>
        <w:t xml:space="preserve"> </w:t>
      </w:r>
      <w:r w:rsidRPr="1463D20E">
        <w:rPr>
          <w:rFonts w:ascii="Times New Roman" w:hAnsi="Times New Roman" w:cs="Times New Roman"/>
          <w:noProof/>
          <w:sz w:val="24"/>
          <w:szCs w:val="24"/>
          <w:shd w:val="clear" w:color="auto" w:fill="FFFFFF"/>
        </w:rPr>
        <w:t>not</w:t>
      </w:r>
      <w:r w:rsidR="2C5E4C31" w:rsidRPr="1463D20E">
        <w:rPr>
          <w:rFonts w:ascii="Times New Roman" w:hAnsi="Times New Roman" w:cs="Times New Roman"/>
          <w:noProof/>
          <w:sz w:val="24"/>
          <w:szCs w:val="24"/>
          <w:shd w:val="clear" w:color="auto" w:fill="FFFFFF"/>
        </w:rPr>
        <w:t xml:space="preserve"> </w:t>
      </w:r>
      <w:r w:rsidR="0C30A99D" w:rsidRPr="1463D20E">
        <w:rPr>
          <w:rFonts w:ascii="Times New Roman" w:hAnsi="Times New Roman" w:cs="Times New Roman"/>
          <w:noProof/>
          <w:sz w:val="24"/>
          <w:szCs w:val="24"/>
          <w:shd w:val="clear" w:color="auto" w:fill="FFFFFF"/>
        </w:rPr>
        <w:t xml:space="preserve">identified the </w:t>
      </w:r>
      <w:r w:rsidR="71684904" w:rsidRPr="1463D20E">
        <w:rPr>
          <w:rFonts w:ascii="Times New Roman" w:hAnsi="Times New Roman" w:cs="Times New Roman"/>
          <w:noProof/>
          <w:sz w:val="24"/>
          <w:szCs w:val="24"/>
          <w:shd w:val="clear" w:color="auto" w:fill="FFFFFF"/>
        </w:rPr>
        <w:t xml:space="preserve">need </w:t>
      </w:r>
      <w:r w:rsidR="0C30A99D" w:rsidRPr="1463D20E">
        <w:rPr>
          <w:rFonts w:ascii="Times New Roman" w:hAnsi="Times New Roman" w:cs="Times New Roman"/>
          <w:noProof/>
          <w:sz w:val="24"/>
          <w:szCs w:val="24"/>
          <w:shd w:val="clear" w:color="auto" w:fill="FFFFFF"/>
        </w:rPr>
        <w:t>to make use of the delegated power under this provision</w:t>
      </w:r>
      <w:r>
        <w:rPr>
          <w:rFonts w:ascii="Times New Roman" w:hAnsi="Times New Roman" w:cs="Times New Roman"/>
          <w:noProof/>
          <w:sz w:val="24"/>
          <w:szCs w:val="24"/>
          <w:lang w:val="en-US"/>
        </w:rPr>
        <w:t xml:space="preserve">. However, the </w:t>
      </w:r>
      <w:r w:rsidR="5CABDB63">
        <w:rPr>
          <w:rFonts w:ascii="Times New Roman" w:hAnsi="Times New Roman" w:cs="Times New Roman"/>
          <w:noProof/>
          <w:sz w:val="24"/>
          <w:szCs w:val="24"/>
          <w:lang w:val="en-US"/>
        </w:rPr>
        <w:t>necessity</w:t>
      </w:r>
      <w:r>
        <w:rPr>
          <w:rFonts w:ascii="Times New Roman" w:hAnsi="Times New Roman" w:cs="Times New Roman"/>
          <w:noProof/>
          <w:sz w:val="24"/>
          <w:szCs w:val="24"/>
          <w:lang w:val="en-US"/>
        </w:rPr>
        <w:t xml:space="preserve"> to </w:t>
      </w:r>
      <w:r w:rsidR="5CABDB63">
        <w:rPr>
          <w:rFonts w:ascii="Times New Roman" w:hAnsi="Times New Roman" w:cs="Times New Roman"/>
          <w:noProof/>
          <w:sz w:val="24"/>
          <w:szCs w:val="24"/>
          <w:lang w:val="en-US"/>
        </w:rPr>
        <w:t xml:space="preserve">supplement </w:t>
      </w:r>
      <w:r w:rsidR="00752AE0">
        <w:rPr>
          <w:rFonts w:ascii="Times New Roman" w:hAnsi="Times New Roman" w:cs="Times New Roman"/>
          <w:noProof/>
          <w:sz w:val="24"/>
          <w:szCs w:val="24"/>
        </w:rPr>
        <w:t xml:space="preserve">Directive 94/62/EC </w:t>
      </w:r>
      <w:r w:rsidR="5CABDB63">
        <w:rPr>
          <w:rFonts w:ascii="Times New Roman" w:hAnsi="Times New Roman" w:cs="Times New Roman"/>
          <w:noProof/>
          <w:sz w:val="24"/>
          <w:szCs w:val="24"/>
          <w:lang w:val="en-US"/>
        </w:rPr>
        <w:t>by addressing practical difficulties</w:t>
      </w:r>
      <w:r w:rsidR="2C5E4C31">
        <w:rPr>
          <w:rFonts w:ascii="Times New Roman" w:hAnsi="Times New Roman" w:cs="Times New Roman"/>
          <w:noProof/>
          <w:sz w:val="24"/>
          <w:szCs w:val="24"/>
          <w:lang w:val="en-US"/>
        </w:rPr>
        <w:t xml:space="preserve"> of inert packagi</w:t>
      </w:r>
      <w:r w:rsidR="71684904">
        <w:rPr>
          <w:rFonts w:ascii="Times New Roman" w:hAnsi="Times New Roman" w:cs="Times New Roman"/>
          <w:noProof/>
          <w:sz w:val="24"/>
          <w:szCs w:val="24"/>
          <w:lang w:val="en-US"/>
        </w:rPr>
        <w:t>ng</w:t>
      </w:r>
      <w:r w:rsidR="2C5E4C31">
        <w:rPr>
          <w:rFonts w:ascii="Times New Roman" w:hAnsi="Times New Roman" w:cs="Times New Roman"/>
          <w:noProof/>
          <w:sz w:val="24"/>
          <w:szCs w:val="24"/>
          <w:lang w:val="en-US"/>
        </w:rPr>
        <w:t xml:space="preserve"> materials placed on the market in very small quantities, primary </w:t>
      </w:r>
      <w:r w:rsidR="71684904">
        <w:rPr>
          <w:rFonts w:ascii="Times New Roman" w:hAnsi="Times New Roman" w:cs="Times New Roman"/>
          <w:noProof/>
          <w:sz w:val="24"/>
          <w:szCs w:val="24"/>
          <w:lang w:val="en-US"/>
        </w:rPr>
        <w:t xml:space="preserve">packaging </w:t>
      </w:r>
      <w:r w:rsidR="2C5E4C31">
        <w:rPr>
          <w:rFonts w:ascii="Times New Roman" w:hAnsi="Times New Roman" w:cs="Times New Roman"/>
          <w:noProof/>
          <w:sz w:val="24"/>
          <w:szCs w:val="24"/>
          <w:lang w:val="en-US"/>
        </w:rPr>
        <w:t>for medical devices and pharmaceutical products, small packagi</w:t>
      </w:r>
      <w:r w:rsidR="71684904">
        <w:rPr>
          <w:rFonts w:ascii="Times New Roman" w:hAnsi="Times New Roman" w:cs="Times New Roman"/>
          <w:noProof/>
          <w:sz w:val="24"/>
          <w:szCs w:val="24"/>
          <w:lang w:val="en-US"/>
        </w:rPr>
        <w:t>ng,</w:t>
      </w:r>
      <w:r w:rsidR="2C5E4C31">
        <w:rPr>
          <w:rFonts w:ascii="Times New Roman" w:hAnsi="Times New Roman" w:cs="Times New Roman"/>
          <w:noProof/>
          <w:sz w:val="24"/>
          <w:szCs w:val="24"/>
          <w:lang w:val="en-US"/>
        </w:rPr>
        <w:t xml:space="preserve"> and luxury packaging</w:t>
      </w:r>
      <w:r w:rsidR="5CABDB63">
        <w:rPr>
          <w:rFonts w:ascii="Times New Roman" w:hAnsi="Times New Roman" w:cs="Times New Roman"/>
          <w:noProof/>
          <w:sz w:val="24"/>
          <w:szCs w:val="24"/>
          <w:lang w:val="en-US"/>
        </w:rPr>
        <w:t xml:space="preserve"> could arise in the future</w:t>
      </w:r>
      <w:r w:rsidR="2C5E4C31">
        <w:rPr>
          <w:rFonts w:ascii="Times New Roman" w:hAnsi="Times New Roman" w:cs="Times New Roman"/>
          <w:noProof/>
          <w:sz w:val="24"/>
          <w:szCs w:val="24"/>
          <w:lang w:val="en-US"/>
        </w:rPr>
        <w:t xml:space="preserve">, which is why the </w:t>
      </w:r>
      <w:r w:rsidR="3B393AE5">
        <w:rPr>
          <w:rFonts w:ascii="Times New Roman" w:hAnsi="Times New Roman" w:cs="Times New Roman"/>
          <w:noProof/>
          <w:sz w:val="24"/>
          <w:szCs w:val="24"/>
          <w:lang w:val="en-US"/>
        </w:rPr>
        <w:t xml:space="preserve">empowerment </w:t>
      </w:r>
      <w:r w:rsidR="2C5E4C31">
        <w:rPr>
          <w:rFonts w:ascii="Times New Roman" w:hAnsi="Times New Roman" w:cs="Times New Roman"/>
          <w:noProof/>
          <w:sz w:val="24"/>
          <w:szCs w:val="24"/>
          <w:lang w:val="en-US"/>
        </w:rPr>
        <w:t>should be maintained</w:t>
      </w:r>
      <w:r w:rsidR="71684904">
        <w:rPr>
          <w:rFonts w:ascii="Times New Roman" w:hAnsi="Times New Roman" w:cs="Times New Roman"/>
          <w:noProof/>
          <w:sz w:val="24"/>
          <w:szCs w:val="24"/>
          <w:lang w:val="en-US"/>
        </w:rPr>
        <w:t xml:space="preserve"> until the </w:t>
      </w:r>
      <w:r w:rsidR="00402470">
        <w:rPr>
          <w:rFonts w:ascii="Times New Roman" w:hAnsi="Times New Roman" w:cs="Times New Roman"/>
          <w:noProof/>
          <w:sz w:val="24"/>
          <w:szCs w:val="24"/>
          <w:lang w:val="en-US"/>
        </w:rPr>
        <w:t>entry into force of a new Regulation</w:t>
      </w:r>
      <w:r w:rsidR="3B393AE5">
        <w:rPr>
          <w:rFonts w:ascii="Times New Roman" w:hAnsi="Times New Roman" w:cs="Times New Roman"/>
          <w:noProof/>
          <w:sz w:val="24"/>
          <w:szCs w:val="24"/>
          <w:lang w:val="en-US"/>
        </w:rPr>
        <w:t>.</w:t>
      </w:r>
    </w:p>
    <w:p w14:paraId="5FF6B8AB" w14:textId="77777777" w:rsidR="003524B5" w:rsidRPr="00C56624" w:rsidRDefault="003524B5" w:rsidP="003524B5">
      <w:pPr>
        <w:spacing w:after="120"/>
        <w:jc w:val="both"/>
        <w:rPr>
          <w:rFonts w:ascii="Times New Roman" w:hAnsi="Times New Roman" w:cs="Times New Roman"/>
          <w:noProof/>
          <w:sz w:val="24"/>
          <w:szCs w:val="24"/>
          <w:lang w:val="en-US"/>
        </w:rPr>
      </w:pPr>
    </w:p>
    <w:p w14:paraId="17176C1D" w14:textId="5CA9BFEA" w:rsidR="00076422" w:rsidRPr="00706E1E" w:rsidRDefault="00076422" w:rsidP="00706E1E">
      <w:pPr>
        <w:pStyle w:val="ListParagraph"/>
        <w:numPr>
          <w:ilvl w:val="0"/>
          <w:numId w:val="10"/>
        </w:numPr>
        <w:spacing w:after="120"/>
        <w:ind w:left="284" w:hanging="284"/>
        <w:contextualSpacing w:val="0"/>
        <w:jc w:val="both"/>
        <w:rPr>
          <w:rFonts w:ascii="Times New Roman" w:hAnsi="Times New Roman" w:cs="Times New Roman"/>
          <w:b/>
          <w:noProof/>
          <w:sz w:val="24"/>
          <w:szCs w:val="24"/>
        </w:rPr>
      </w:pPr>
      <w:r w:rsidRPr="00310516">
        <w:rPr>
          <w:rFonts w:ascii="Times New Roman" w:hAnsi="Times New Roman" w:cs="Times New Roman"/>
          <w:b/>
          <w:noProof/>
          <w:sz w:val="24"/>
          <w:szCs w:val="24"/>
        </w:rPr>
        <w:t xml:space="preserve">Directive </w:t>
      </w:r>
      <w:r w:rsidR="00E20A4D" w:rsidRPr="00310516">
        <w:rPr>
          <w:rFonts w:ascii="Times New Roman" w:hAnsi="Times New Roman" w:cs="Times New Roman"/>
          <w:b/>
          <w:noProof/>
          <w:sz w:val="24"/>
          <w:szCs w:val="24"/>
        </w:rPr>
        <w:t>2000/53/EC</w:t>
      </w:r>
    </w:p>
    <w:p w14:paraId="16755C53" w14:textId="2FDE5A7C" w:rsidR="00076422" w:rsidRPr="00310516" w:rsidRDefault="00076422" w:rsidP="00076422">
      <w:pPr>
        <w:spacing w:after="120"/>
        <w:jc w:val="both"/>
        <w:rPr>
          <w:rFonts w:ascii="Times New Roman" w:hAnsi="Times New Roman" w:cs="Times New Roman"/>
          <w:noProof/>
          <w:sz w:val="24"/>
          <w:szCs w:val="24"/>
        </w:rPr>
      </w:pPr>
      <w:r w:rsidRPr="00310516">
        <w:rPr>
          <w:rFonts w:ascii="Times New Roman" w:hAnsi="Times New Roman" w:cs="Times New Roman"/>
          <w:noProof/>
          <w:sz w:val="24"/>
          <w:szCs w:val="24"/>
        </w:rPr>
        <w:t>Directive 2000/53/EC empowers the Commi</w:t>
      </w:r>
      <w:r w:rsidR="001C1C01">
        <w:rPr>
          <w:rFonts w:ascii="Times New Roman" w:hAnsi="Times New Roman" w:cs="Times New Roman"/>
          <w:noProof/>
          <w:sz w:val="24"/>
          <w:szCs w:val="24"/>
        </w:rPr>
        <w:t>s</w:t>
      </w:r>
      <w:r w:rsidRPr="00310516">
        <w:rPr>
          <w:rFonts w:ascii="Times New Roman" w:hAnsi="Times New Roman" w:cs="Times New Roman"/>
          <w:noProof/>
          <w:sz w:val="24"/>
          <w:szCs w:val="24"/>
        </w:rPr>
        <w:t>sion to adopt delegated acts</w:t>
      </w:r>
      <w:r w:rsidR="007A0FCD">
        <w:rPr>
          <w:rFonts w:ascii="Times New Roman" w:hAnsi="Times New Roman" w:cs="Times New Roman"/>
          <w:noProof/>
          <w:sz w:val="24"/>
          <w:szCs w:val="24"/>
        </w:rPr>
        <w:t xml:space="preserve"> </w:t>
      </w:r>
      <w:r w:rsidRPr="00310516">
        <w:rPr>
          <w:rFonts w:ascii="Times New Roman" w:hAnsi="Times New Roman" w:cs="Times New Roman"/>
          <w:noProof/>
          <w:sz w:val="24"/>
          <w:szCs w:val="24"/>
        </w:rPr>
        <w:t>in view of:</w:t>
      </w:r>
    </w:p>
    <w:p w14:paraId="2F638E21" w14:textId="77777777" w:rsidR="00076422" w:rsidRPr="00310516" w:rsidRDefault="00076422" w:rsidP="00076422">
      <w:pPr>
        <w:pStyle w:val="norm"/>
        <w:numPr>
          <w:ilvl w:val="0"/>
          <w:numId w:val="3"/>
        </w:numPr>
        <w:shd w:val="clear" w:color="auto" w:fill="FFFFFF"/>
        <w:spacing w:before="0" w:beforeAutospacing="0" w:after="120" w:afterAutospacing="0" w:line="276" w:lineRule="auto"/>
        <w:ind w:left="777" w:hanging="357"/>
        <w:jc w:val="both"/>
        <w:rPr>
          <w:noProof/>
        </w:rPr>
      </w:pPr>
      <w:r w:rsidRPr="00310516">
        <w:rPr>
          <w:noProof/>
        </w:rPr>
        <w:t>amending Annex II to adapt it in the light of scientific and technical progress, pursuant to Article 4(2)(b)(i-iv), as provided for in Article 4(2)(b);</w:t>
      </w:r>
    </w:p>
    <w:p w14:paraId="195067C0" w14:textId="77777777" w:rsidR="00076422" w:rsidRPr="00310516" w:rsidRDefault="00076422" w:rsidP="00076422">
      <w:pPr>
        <w:pStyle w:val="norm"/>
        <w:numPr>
          <w:ilvl w:val="0"/>
          <w:numId w:val="3"/>
        </w:numPr>
        <w:shd w:val="clear" w:color="auto" w:fill="FFFFFF"/>
        <w:spacing w:before="0" w:beforeAutospacing="0" w:after="120" w:afterAutospacing="0" w:line="276" w:lineRule="auto"/>
        <w:ind w:left="777" w:hanging="357"/>
        <w:jc w:val="both"/>
        <w:rPr>
          <w:noProof/>
        </w:rPr>
      </w:pPr>
      <w:r w:rsidRPr="00310516">
        <w:rPr>
          <w:noProof/>
        </w:rPr>
        <w:t>establishing minimum requirements for the certificate of destruction, as provided for in Article 5(5);</w:t>
      </w:r>
    </w:p>
    <w:p w14:paraId="3CA8E979" w14:textId="3E97698F" w:rsidR="00F83AFA" w:rsidRDefault="00076422" w:rsidP="00F83AFA">
      <w:pPr>
        <w:pStyle w:val="norm"/>
        <w:numPr>
          <w:ilvl w:val="0"/>
          <w:numId w:val="3"/>
        </w:numPr>
        <w:shd w:val="clear" w:color="auto" w:fill="FFFFFF"/>
        <w:spacing w:before="0" w:beforeAutospacing="0" w:after="120" w:afterAutospacing="0" w:line="276" w:lineRule="auto"/>
        <w:ind w:left="777" w:hanging="357"/>
        <w:jc w:val="both"/>
        <w:rPr>
          <w:noProof/>
        </w:rPr>
      </w:pPr>
      <w:r w:rsidRPr="00310516">
        <w:rPr>
          <w:noProof/>
        </w:rPr>
        <w:t>amending Annex I to adapt it to scientific and technical progress, as provided for in Article 6(6)</w:t>
      </w:r>
      <w:r w:rsidR="00A46707">
        <w:rPr>
          <w:noProof/>
        </w:rPr>
        <w:t>;</w:t>
      </w:r>
    </w:p>
    <w:p w14:paraId="37118DB1" w14:textId="77777777" w:rsidR="00076422" w:rsidRDefault="00F83AFA" w:rsidP="00F83AFA">
      <w:pPr>
        <w:pStyle w:val="norm"/>
        <w:numPr>
          <w:ilvl w:val="0"/>
          <w:numId w:val="3"/>
        </w:numPr>
        <w:shd w:val="clear" w:color="auto" w:fill="FFFFFF"/>
        <w:spacing w:before="0" w:beforeAutospacing="0" w:after="120" w:afterAutospacing="0" w:line="276" w:lineRule="auto"/>
        <w:jc w:val="both"/>
        <w:rPr>
          <w:noProof/>
        </w:rPr>
      </w:pPr>
      <w:r>
        <w:rPr>
          <w:noProof/>
        </w:rPr>
        <w:t xml:space="preserve">establishing </w:t>
      </w:r>
      <w:r w:rsidRPr="00F83AFA">
        <w:rPr>
          <w:noProof/>
        </w:rPr>
        <w:t>component and material coding</w:t>
      </w:r>
      <w:r>
        <w:rPr>
          <w:noProof/>
        </w:rPr>
        <w:t xml:space="preserve"> standards, </w:t>
      </w:r>
      <w:r w:rsidRPr="00F83AFA">
        <w:rPr>
          <w:noProof/>
        </w:rPr>
        <w:t>in particular to facilitate the identification of those components and materials which are suitable for reuse and recovery</w:t>
      </w:r>
      <w:r>
        <w:rPr>
          <w:noProof/>
        </w:rPr>
        <w:t xml:space="preserve">, to be used by </w:t>
      </w:r>
      <w:r w:rsidRPr="00F83AFA">
        <w:rPr>
          <w:noProof/>
        </w:rPr>
        <w:t>producers, in concert with material and equipment manufacturers</w:t>
      </w:r>
      <w:r>
        <w:rPr>
          <w:noProof/>
        </w:rPr>
        <w:t>, as provided for in Article 8(2)</w:t>
      </w:r>
      <w:r w:rsidR="00076422" w:rsidRPr="00310516">
        <w:rPr>
          <w:noProof/>
        </w:rPr>
        <w:t>.</w:t>
      </w:r>
    </w:p>
    <w:p w14:paraId="0BC6D524" w14:textId="155579E4" w:rsidR="00A12211" w:rsidRPr="007F430D" w:rsidRDefault="5BDDDDE2" w:rsidP="007F430D">
      <w:pPr>
        <w:spacing w:after="120"/>
        <w:jc w:val="both"/>
        <w:rPr>
          <w:rFonts w:ascii="Times New Roman" w:hAnsi="Times New Roman" w:cs="Times New Roman"/>
          <w:noProof/>
          <w:sz w:val="24"/>
          <w:szCs w:val="24"/>
        </w:rPr>
      </w:pPr>
      <w:r w:rsidRPr="00A12211">
        <w:rPr>
          <w:rFonts w:ascii="Times New Roman" w:hAnsi="Times New Roman" w:cs="Times New Roman"/>
          <w:noProof/>
          <w:sz w:val="24"/>
          <w:szCs w:val="24"/>
        </w:rPr>
        <w:t xml:space="preserve">A proposal for a new </w:t>
      </w:r>
      <w:r>
        <w:rPr>
          <w:rFonts w:ascii="Times New Roman" w:hAnsi="Times New Roman" w:cs="Times New Roman"/>
          <w:noProof/>
          <w:sz w:val="24"/>
          <w:szCs w:val="24"/>
        </w:rPr>
        <w:t>End-of-Life Vehicles</w:t>
      </w:r>
      <w:r w:rsidRPr="00A12211">
        <w:rPr>
          <w:rFonts w:ascii="Times New Roman" w:hAnsi="Times New Roman" w:cs="Times New Roman"/>
          <w:noProof/>
          <w:sz w:val="24"/>
          <w:szCs w:val="24"/>
        </w:rPr>
        <w:t xml:space="preserve"> Regulation</w:t>
      </w:r>
      <w:r w:rsidR="00A12211">
        <w:rPr>
          <w:rStyle w:val="FootnoteReference"/>
          <w:rFonts w:ascii="Times New Roman" w:hAnsi="Times New Roman" w:cs="Times New Roman"/>
          <w:noProof/>
          <w:sz w:val="24"/>
          <w:szCs w:val="24"/>
        </w:rPr>
        <w:footnoteReference w:id="17"/>
      </w:r>
      <w:r w:rsidRPr="00A12211">
        <w:rPr>
          <w:rFonts w:ascii="Times New Roman" w:hAnsi="Times New Roman" w:cs="Times New Roman"/>
          <w:noProof/>
          <w:sz w:val="24"/>
          <w:szCs w:val="24"/>
        </w:rPr>
        <w:t xml:space="preserve"> was adopted on </w:t>
      </w:r>
      <w:r>
        <w:rPr>
          <w:rFonts w:ascii="Times New Roman" w:hAnsi="Times New Roman" w:cs="Times New Roman"/>
          <w:noProof/>
          <w:sz w:val="24"/>
          <w:szCs w:val="24"/>
        </w:rPr>
        <w:t>13 July</w:t>
      </w:r>
      <w:r w:rsidRPr="00A12211">
        <w:rPr>
          <w:rFonts w:ascii="Times New Roman" w:hAnsi="Times New Roman" w:cs="Times New Roman"/>
          <w:noProof/>
          <w:sz w:val="24"/>
          <w:szCs w:val="24"/>
        </w:rPr>
        <w:t xml:space="preserve"> 202</w:t>
      </w:r>
      <w:r>
        <w:rPr>
          <w:rFonts w:ascii="Times New Roman" w:hAnsi="Times New Roman" w:cs="Times New Roman"/>
          <w:noProof/>
          <w:sz w:val="24"/>
          <w:szCs w:val="24"/>
        </w:rPr>
        <w:t>3</w:t>
      </w:r>
      <w:r w:rsidRPr="00A12211">
        <w:rPr>
          <w:rFonts w:ascii="Times New Roman" w:hAnsi="Times New Roman" w:cs="Times New Roman"/>
          <w:noProof/>
          <w:sz w:val="24"/>
          <w:szCs w:val="24"/>
        </w:rPr>
        <w:t xml:space="preserve"> and is currently being discussed in the ordinary legislative procedure. The </w:t>
      </w:r>
      <w:r w:rsidR="00A93779">
        <w:rPr>
          <w:rFonts w:ascii="Times New Roman" w:hAnsi="Times New Roman" w:cs="Times New Roman"/>
          <w:noProof/>
          <w:sz w:val="24"/>
          <w:szCs w:val="24"/>
        </w:rPr>
        <w:t xml:space="preserve">present </w:t>
      </w:r>
      <w:r w:rsidRPr="00A12211">
        <w:rPr>
          <w:rFonts w:ascii="Times New Roman" w:hAnsi="Times New Roman" w:cs="Times New Roman"/>
          <w:noProof/>
          <w:sz w:val="24"/>
          <w:szCs w:val="24"/>
        </w:rPr>
        <w:t xml:space="preserve">empowerments </w:t>
      </w:r>
      <w:r w:rsidRPr="00A12211">
        <w:rPr>
          <w:rFonts w:ascii="Times New Roman" w:hAnsi="Times New Roman" w:cs="Times New Roman"/>
          <w:noProof/>
          <w:sz w:val="24"/>
          <w:szCs w:val="24"/>
        </w:rPr>
        <w:lastRenderedPageBreak/>
        <w:t xml:space="preserve">contained in </w:t>
      </w:r>
      <w:r w:rsidR="00752AE0">
        <w:rPr>
          <w:rFonts w:ascii="Times New Roman" w:hAnsi="Times New Roman" w:cs="Times New Roman"/>
          <w:noProof/>
          <w:sz w:val="24"/>
          <w:szCs w:val="24"/>
        </w:rPr>
        <w:t xml:space="preserve">Directive 2000/53/EC </w:t>
      </w:r>
      <w:r w:rsidRPr="00A12211">
        <w:rPr>
          <w:rFonts w:ascii="Times New Roman" w:hAnsi="Times New Roman" w:cs="Times New Roman"/>
          <w:noProof/>
          <w:sz w:val="24"/>
          <w:szCs w:val="24"/>
        </w:rPr>
        <w:t xml:space="preserve">remain relevant and should be maintained until the </w:t>
      </w:r>
      <w:r w:rsidR="00173029">
        <w:rPr>
          <w:rFonts w:ascii="Times New Roman" w:hAnsi="Times New Roman" w:cs="Times New Roman"/>
          <w:noProof/>
          <w:sz w:val="24"/>
          <w:szCs w:val="24"/>
        </w:rPr>
        <w:t>entry into force</w:t>
      </w:r>
      <w:r w:rsidR="00173029" w:rsidRPr="00A12211">
        <w:rPr>
          <w:rFonts w:ascii="Times New Roman" w:hAnsi="Times New Roman" w:cs="Times New Roman"/>
          <w:noProof/>
          <w:sz w:val="24"/>
          <w:szCs w:val="24"/>
        </w:rPr>
        <w:t xml:space="preserve"> </w:t>
      </w:r>
      <w:r w:rsidRPr="00A12211">
        <w:rPr>
          <w:rFonts w:ascii="Times New Roman" w:hAnsi="Times New Roman" w:cs="Times New Roman"/>
          <w:noProof/>
          <w:sz w:val="24"/>
          <w:szCs w:val="24"/>
        </w:rPr>
        <w:t xml:space="preserve">of the </w:t>
      </w:r>
      <w:r w:rsidR="00740660">
        <w:rPr>
          <w:rFonts w:ascii="Times New Roman" w:hAnsi="Times New Roman" w:cs="Times New Roman"/>
          <w:noProof/>
          <w:sz w:val="24"/>
          <w:szCs w:val="24"/>
        </w:rPr>
        <w:t xml:space="preserve">new </w:t>
      </w:r>
      <w:r w:rsidRPr="00A12211">
        <w:rPr>
          <w:rFonts w:ascii="Times New Roman" w:hAnsi="Times New Roman" w:cs="Times New Roman"/>
          <w:noProof/>
          <w:sz w:val="24"/>
          <w:szCs w:val="24"/>
        </w:rPr>
        <w:t xml:space="preserve">Regulation. </w:t>
      </w:r>
    </w:p>
    <w:p w14:paraId="32B42227" w14:textId="77777777" w:rsidR="00076422" w:rsidRPr="00310516" w:rsidRDefault="00076422" w:rsidP="00076422">
      <w:pPr>
        <w:pStyle w:val="ListParagraph"/>
        <w:numPr>
          <w:ilvl w:val="1"/>
          <w:numId w:val="10"/>
        </w:numPr>
        <w:spacing w:after="120"/>
        <w:ind w:left="567" w:hanging="567"/>
        <w:contextualSpacing w:val="0"/>
        <w:jc w:val="both"/>
        <w:rPr>
          <w:rFonts w:ascii="Times New Roman" w:hAnsi="Times New Roman" w:cs="Times New Roman"/>
          <w:b/>
          <w:noProof/>
          <w:sz w:val="24"/>
          <w:szCs w:val="24"/>
        </w:rPr>
      </w:pPr>
      <w:r w:rsidRPr="00310516">
        <w:rPr>
          <w:rFonts w:ascii="Times New Roman" w:hAnsi="Times New Roman" w:cs="Times New Roman"/>
          <w:b/>
          <w:noProof/>
          <w:sz w:val="24"/>
          <w:szCs w:val="24"/>
        </w:rPr>
        <w:t xml:space="preserve">Exercise of Delegation </w:t>
      </w:r>
    </w:p>
    <w:p w14:paraId="438EFCB9" w14:textId="12BA9B0B" w:rsidR="00076422" w:rsidRPr="00310516" w:rsidRDefault="20B46C24" w:rsidP="00076422">
      <w:pPr>
        <w:spacing w:after="120"/>
        <w:jc w:val="both"/>
        <w:rPr>
          <w:rFonts w:ascii="Times New Roman" w:hAnsi="Times New Roman" w:cs="Times New Roman"/>
          <w:noProof/>
          <w:sz w:val="24"/>
          <w:szCs w:val="24"/>
        </w:rPr>
      </w:pPr>
      <w:r w:rsidRPr="1463D20E">
        <w:rPr>
          <w:rFonts w:ascii="Times New Roman" w:hAnsi="Times New Roman" w:cs="Times New Roman"/>
          <w:noProof/>
          <w:sz w:val="24"/>
          <w:szCs w:val="24"/>
        </w:rPr>
        <w:t>During the period covered by the report</w:t>
      </w:r>
      <w:r w:rsidR="00740660">
        <w:rPr>
          <w:rFonts w:ascii="Times New Roman" w:hAnsi="Times New Roman" w:cs="Times New Roman"/>
          <w:noProof/>
          <w:sz w:val="24"/>
          <w:szCs w:val="24"/>
        </w:rPr>
        <w:t>,</w:t>
      </w:r>
      <w:r w:rsidRPr="1463D20E">
        <w:rPr>
          <w:rFonts w:ascii="Times New Roman" w:hAnsi="Times New Roman" w:cs="Times New Roman"/>
          <w:noProof/>
          <w:sz w:val="24"/>
          <w:szCs w:val="24"/>
        </w:rPr>
        <w:t xml:space="preserve"> the Commission adopted </w:t>
      </w:r>
      <w:r w:rsidR="3D66AE9F" w:rsidRPr="1463D20E">
        <w:rPr>
          <w:rFonts w:ascii="Times New Roman" w:hAnsi="Times New Roman" w:cs="Times New Roman"/>
          <w:noProof/>
          <w:sz w:val="24"/>
          <w:szCs w:val="24"/>
        </w:rPr>
        <w:t>three</w:t>
      </w:r>
      <w:r w:rsidRPr="1463D20E">
        <w:rPr>
          <w:rFonts w:ascii="Times New Roman" w:hAnsi="Times New Roman" w:cs="Times New Roman"/>
          <w:noProof/>
          <w:sz w:val="24"/>
          <w:szCs w:val="24"/>
        </w:rPr>
        <w:t xml:space="preserve"> delegated acts modifying Annex II </w:t>
      </w:r>
      <w:r w:rsidR="00402470">
        <w:rPr>
          <w:rFonts w:ascii="Times New Roman" w:hAnsi="Times New Roman" w:cs="Times New Roman"/>
          <w:noProof/>
          <w:sz w:val="24"/>
          <w:szCs w:val="24"/>
        </w:rPr>
        <w:t>to</w:t>
      </w:r>
      <w:r w:rsidR="00402470" w:rsidRPr="1463D20E">
        <w:rPr>
          <w:rFonts w:ascii="Times New Roman" w:hAnsi="Times New Roman" w:cs="Times New Roman"/>
          <w:noProof/>
          <w:sz w:val="24"/>
          <w:szCs w:val="24"/>
        </w:rPr>
        <w:t xml:space="preserve"> </w:t>
      </w:r>
      <w:r w:rsidR="00752AE0" w:rsidRPr="00310516">
        <w:rPr>
          <w:rFonts w:ascii="Times New Roman" w:hAnsi="Times New Roman" w:cs="Times New Roman"/>
          <w:noProof/>
          <w:sz w:val="24"/>
          <w:szCs w:val="24"/>
        </w:rPr>
        <w:t>Directive 2000/53/EC</w:t>
      </w:r>
      <w:r w:rsidRPr="1463D20E">
        <w:rPr>
          <w:rFonts w:ascii="Times New Roman" w:hAnsi="Times New Roman" w:cs="Times New Roman"/>
          <w:noProof/>
          <w:sz w:val="24"/>
          <w:szCs w:val="24"/>
        </w:rPr>
        <w:t xml:space="preserve"> listing exemptions from the scope of its application.</w:t>
      </w:r>
    </w:p>
    <w:p w14:paraId="5F8214C7" w14:textId="0B31DB66" w:rsidR="00076422" w:rsidRPr="00310516" w:rsidRDefault="00076422" w:rsidP="00076422">
      <w:pPr>
        <w:pStyle w:val="ListParagraph"/>
        <w:numPr>
          <w:ilvl w:val="2"/>
          <w:numId w:val="10"/>
        </w:numPr>
        <w:spacing w:after="120"/>
        <w:ind w:left="851" w:hanging="851"/>
        <w:contextualSpacing w:val="0"/>
        <w:jc w:val="both"/>
        <w:rPr>
          <w:rFonts w:ascii="Times New Roman" w:hAnsi="Times New Roman" w:cs="Times New Roman"/>
          <w:b/>
          <w:noProof/>
          <w:sz w:val="24"/>
          <w:szCs w:val="24"/>
        </w:rPr>
      </w:pPr>
      <w:r w:rsidRPr="00310516">
        <w:rPr>
          <w:rFonts w:ascii="Times New Roman" w:hAnsi="Times New Roman" w:cs="Times New Roman"/>
          <w:b/>
          <w:noProof/>
          <w:sz w:val="24"/>
          <w:szCs w:val="24"/>
        </w:rPr>
        <w:t>Amendment</w:t>
      </w:r>
      <w:r w:rsidR="00740660">
        <w:rPr>
          <w:rFonts w:ascii="Times New Roman" w:hAnsi="Times New Roman" w:cs="Times New Roman"/>
          <w:b/>
          <w:noProof/>
          <w:sz w:val="24"/>
          <w:szCs w:val="24"/>
        </w:rPr>
        <w:t>s</w:t>
      </w:r>
      <w:r w:rsidRPr="00310516">
        <w:rPr>
          <w:rFonts w:ascii="Times New Roman" w:hAnsi="Times New Roman" w:cs="Times New Roman"/>
          <w:b/>
          <w:noProof/>
          <w:sz w:val="24"/>
          <w:szCs w:val="24"/>
        </w:rPr>
        <w:t xml:space="preserve"> of Annex II</w:t>
      </w:r>
    </w:p>
    <w:p w14:paraId="1C6412C0" w14:textId="4665DB99" w:rsidR="00076422" w:rsidRPr="00310516" w:rsidRDefault="00076422" w:rsidP="00076422">
      <w:pPr>
        <w:spacing w:after="120"/>
        <w:jc w:val="both"/>
        <w:rPr>
          <w:rFonts w:ascii="Times New Roman" w:hAnsi="Times New Roman" w:cs="Times New Roman"/>
          <w:noProof/>
          <w:sz w:val="24"/>
          <w:szCs w:val="24"/>
          <w:lang w:val="en-US"/>
        </w:rPr>
      </w:pPr>
      <w:r w:rsidRPr="00310516">
        <w:rPr>
          <w:rFonts w:ascii="Times New Roman" w:hAnsi="Times New Roman" w:cs="Times New Roman"/>
          <w:noProof/>
          <w:sz w:val="24"/>
          <w:szCs w:val="24"/>
          <w:lang w:val="en-US"/>
        </w:rPr>
        <w:t xml:space="preserve">According to Article 4(2)(a) of </w:t>
      </w:r>
      <w:r w:rsidR="00D6243A" w:rsidRPr="00310516">
        <w:rPr>
          <w:rFonts w:ascii="Times New Roman" w:hAnsi="Times New Roman" w:cs="Times New Roman"/>
          <w:noProof/>
          <w:sz w:val="24"/>
          <w:szCs w:val="24"/>
        </w:rPr>
        <w:t>Directive 2000/53/EC</w:t>
      </w:r>
      <w:r w:rsidRPr="00310516">
        <w:rPr>
          <w:rFonts w:ascii="Times New Roman" w:hAnsi="Times New Roman" w:cs="Times New Roman"/>
          <w:noProof/>
          <w:sz w:val="24"/>
          <w:szCs w:val="24"/>
          <w:lang w:val="en-US"/>
        </w:rPr>
        <w:t xml:space="preserve">, Member States shall ensure that materials and components of vehicles put on the market after 1 July 2003 do not contain lead, mercury, cadmium or hexavalent chromium other than in cases listed in Annex II under the conditions specified therein. </w:t>
      </w:r>
    </w:p>
    <w:p w14:paraId="46301E46" w14:textId="004224A3" w:rsidR="00564FDB" w:rsidRDefault="00076422" w:rsidP="00076422">
      <w:pPr>
        <w:spacing w:after="120"/>
        <w:jc w:val="both"/>
        <w:rPr>
          <w:rFonts w:ascii="Times New Roman" w:hAnsi="Times New Roman" w:cs="Times New Roman"/>
          <w:noProof/>
          <w:sz w:val="24"/>
          <w:szCs w:val="24"/>
        </w:rPr>
      </w:pPr>
      <w:r w:rsidRPr="003E7D88">
        <w:rPr>
          <w:rFonts w:ascii="Times New Roman" w:hAnsi="Times New Roman" w:cs="Times New Roman"/>
          <w:noProof/>
          <w:sz w:val="24"/>
          <w:szCs w:val="24"/>
        </w:rPr>
        <w:t>During the period cover</w:t>
      </w:r>
      <w:r w:rsidR="00402470">
        <w:rPr>
          <w:rFonts w:ascii="Times New Roman" w:hAnsi="Times New Roman" w:cs="Times New Roman"/>
          <w:noProof/>
          <w:sz w:val="24"/>
          <w:szCs w:val="24"/>
        </w:rPr>
        <w:t>ed</w:t>
      </w:r>
      <w:r w:rsidRPr="003E7D88">
        <w:rPr>
          <w:rFonts w:ascii="Times New Roman" w:hAnsi="Times New Roman" w:cs="Times New Roman"/>
          <w:noProof/>
          <w:sz w:val="24"/>
          <w:szCs w:val="24"/>
        </w:rPr>
        <w:t xml:space="preserve"> by this report</w:t>
      </w:r>
      <w:r w:rsidR="000F2D03" w:rsidRPr="003E7D88">
        <w:rPr>
          <w:rStyle w:val="FootnoteReference"/>
          <w:rFonts w:ascii="Times New Roman" w:hAnsi="Times New Roman" w:cs="Times New Roman"/>
          <w:noProof/>
          <w:sz w:val="24"/>
          <w:szCs w:val="24"/>
        </w:rPr>
        <w:footnoteReference w:id="18"/>
      </w:r>
      <w:r w:rsidRPr="003E7D88">
        <w:rPr>
          <w:rFonts w:ascii="Times New Roman" w:hAnsi="Times New Roman" w:cs="Times New Roman"/>
          <w:noProof/>
          <w:sz w:val="24"/>
          <w:szCs w:val="24"/>
        </w:rPr>
        <w:t>, the Commi</w:t>
      </w:r>
      <w:r w:rsidR="001C1C01">
        <w:rPr>
          <w:rFonts w:ascii="Times New Roman" w:hAnsi="Times New Roman" w:cs="Times New Roman"/>
          <w:noProof/>
          <w:sz w:val="24"/>
          <w:szCs w:val="24"/>
        </w:rPr>
        <w:t>s</w:t>
      </w:r>
      <w:r w:rsidRPr="003E7D88">
        <w:rPr>
          <w:rFonts w:ascii="Times New Roman" w:hAnsi="Times New Roman" w:cs="Times New Roman"/>
          <w:noProof/>
          <w:sz w:val="24"/>
          <w:szCs w:val="24"/>
        </w:rPr>
        <w:t xml:space="preserve">sion adopted </w:t>
      </w:r>
      <w:r w:rsidR="004F1C03" w:rsidRPr="003E7D88">
        <w:rPr>
          <w:rFonts w:ascii="Times New Roman" w:hAnsi="Times New Roman" w:cs="Times New Roman"/>
          <w:noProof/>
          <w:sz w:val="24"/>
          <w:szCs w:val="24"/>
        </w:rPr>
        <w:t xml:space="preserve">three </w:t>
      </w:r>
      <w:r w:rsidRPr="003E7D88">
        <w:rPr>
          <w:rFonts w:ascii="Times New Roman" w:hAnsi="Times New Roman" w:cs="Times New Roman"/>
          <w:noProof/>
          <w:sz w:val="24"/>
          <w:szCs w:val="24"/>
        </w:rPr>
        <w:t>del</w:t>
      </w:r>
      <w:r w:rsidR="00564FDB" w:rsidRPr="003E7D88">
        <w:rPr>
          <w:rFonts w:ascii="Times New Roman" w:hAnsi="Times New Roman" w:cs="Times New Roman"/>
          <w:noProof/>
          <w:sz w:val="24"/>
          <w:szCs w:val="24"/>
        </w:rPr>
        <w:t>egated acts amending Annex II:</w:t>
      </w:r>
      <w:r w:rsidR="00564FDB">
        <w:rPr>
          <w:rFonts w:ascii="Times New Roman" w:hAnsi="Times New Roman" w:cs="Times New Roman"/>
          <w:noProof/>
          <w:sz w:val="24"/>
          <w:szCs w:val="24"/>
        </w:rPr>
        <w:t xml:space="preserve"> </w:t>
      </w:r>
    </w:p>
    <w:p w14:paraId="3F064B0E" w14:textId="51B96871" w:rsidR="00564FDB" w:rsidRPr="00564FDB" w:rsidRDefault="00076422" w:rsidP="00564FDB">
      <w:pPr>
        <w:pStyle w:val="ListParagraph"/>
        <w:numPr>
          <w:ilvl w:val="0"/>
          <w:numId w:val="16"/>
        </w:numPr>
        <w:spacing w:after="120"/>
        <w:jc w:val="both"/>
        <w:rPr>
          <w:rFonts w:ascii="Times New Roman" w:hAnsi="Times New Roman" w:cs="Times New Roman"/>
          <w:noProof/>
          <w:sz w:val="24"/>
          <w:szCs w:val="24"/>
        </w:rPr>
      </w:pPr>
      <w:r w:rsidRPr="00564FDB">
        <w:rPr>
          <w:rFonts w:ascii="Times New Roman" w:hAnsi="Times New Roman" w:cs="Times New Roman"/>
          <w:noProof/>
          <w:sz w:val="24"/>
          <w:szCs w:val="24"/>
          <w:lang w:val="en-US"/>
        </w:rPr>
        <w:t>Commission Delegated Directive (EU) 2020/362 of 17 December 2019</w:t>
      </w:r>
      <w:r w:rsidRPr="00564FDB">
        <w:rPr>
          <w:rFonts w:ascii="Times New Roman" w:hAnsi="Times New Roman" w:cs="Times New Roman"/>
          <w:noProof/>
          <w:sz w:val="24"/>
          <w:szCs w:val="24"/>
        </w:rPr>
        <w:t xml:space="preserve"> </w:t>
      </w:r>
      <w:r w:rsidRPr="00564FDB">
        <w:rPr>
          <w:rFonts w:ascii="Times New Roman" w:hAnsi="Times New Roman" w:cs="Times New Roman"/>
          <w:noProof/>
          <w:sz w:val="24"/>
          <w:szCs w:val="24"/>
          <w:lang w:val="en-US"/>
        </w:rPr>
        <w:t>amending Annex II to Directive 2000/53/EC</w:t>
      </w:r>
      <w:r w:rsidR="00DC4A01">
        <w:rPr>
          <w:rFonts w:ascii="Times New Roman" w:hAnsi="Times New Roman" w:cs="Times New Roman"/>
          <w:noProof/>
          <w:sz w:val="24"/>
          <w:szCs w:val="24"/>
          <w:lang w:val="en-US"/>
        </w:rPr>
        <w:t xml:space="preserve"> </w:t>
      </w:r>
      <w:r w:rsidRPr="00564FDB">
        <w:rPr>
          <w:rFonts w:ascii="Times New Roman" w:hAnsi="Times New Roman" w:cs="Times New Roman"/>
          <w:noProof/>
          <w:sz w:val="24"/>
          <w:szCs w:val="24"/>
          <w:lang w:val="en-US"/>
        </w:rPr>
        <w:t>as regards the exemption for hexavalent chromium as anti-corrosion agent of the carbon steel cooling system in absorption refrigerators in motor caravans</w:t>
      </w:r>
      <w:r w:rsidRPr="00310516">
        <w:rPr>
          <w:rStyle w:val="FootnoteReference"/>
          <w:rFonts w:ascii="Times New Roman" w:hAnsi="Times New Roman" w:cs="Times New Roman"/>
          <w:noProof/>
          <w:sz w:val="24"/>
          <w:szCs w:val="24"/>
          <w:lang w:val="en-US"/>
        </w:rPr>
        <w:footnoteReference w:id="19"/>
      </w:r>
      <w:r w:rsidR="00A46707">
        <w:rPr>
          <w:rFonts w:ascii="Times New Roman" w:hAnsi="Times New Roman" w:cs="Times New Roman"/>
          <w:noProof/>
          <w:sz w:val="24"/>
          <w:szCs w:val="24"/>
          <w:lang w:val="en-US"/>
        </w:rPr>
        <w:t>;</w:t>
      </w:r>
    </w:p>
    <w:p w14:paraId="6F7A39F1" w14:textId="50E89A8E" w:rsidR="00076422" w:rsidRDefault="00076422" w:rsidP="00564FDB">
      <w:pPr>
        <w:pStyle w:val="ListParagraph"/>
        <w:numPr>
          <w:ilvl w:val="0"/>
          <w:numId w:val="16"/>
        </w:numPr>
        <w:spacing w:after="120"/>
        <w:jc w:val="both"/>
        <w:rPr>
          <w:rFonts w:ascii="Times New Roman" w:hAnsi="Times New Roman" w:cs="Times New Roman"/>
          <w:noProof/>
          <w:sz w:val="24"/>
          <w:szCs w:val="24"/>
        </w:rPr>
      </w:pPr>
      <w:r w:rsidRPr="00564FDB">
        <w:rPr>
          <w:rFonts w:ascii="Times New Roman" w:hAnsi="Times New Roman" w:cs="Times New Roman"/>
          <w:noProof/>
          <w:sz w:val="24"/>
          <w:szCs w:val="24"/>
        </w:rPr>
        <w:t>Commission Delegated Directive (EU) 2020/363 of 17 December 2019 amending Annex II to Directive 2000/53/EC as regards certain exemptions for lead and lead compounds in components</w:t>
      </w:r>
      <w:r w:rsidRPr="00310516">
        <w:rPr>
          <w:rStyle w:val="FootnoteReference"/>
          <w:rFonts w:ascii="Times New Roman" w:hAnsi="Times New Roman" w:cs="Times New Roman"/>
          <w:noProof/>
          <w:sz w:val="24"/>
          <w:szCs w:val="24"/>
        </w:rPr>
        <w:footnoteReference w:id="20"/>
      </w:r>
      <w:r w:rsidR="00A46707">
        <w:rPr>
          <w:rFonts w:ascii="Times New Roman" w:hAnsi="Times New Roman" w:cs="Times New Roman"/>
          <w:noProof/>
          <w:sz w:val="24"/>
          <w:szCs w:val="24"/>
        </w:rPr>
        <w:t>;</w:t>
      </w:r>
      <w:r w:rsidR="004F1C03">
        <w:rPr>
          <w:rFonts w:ascii="Times New Roman" w:hAnsi="Times New Roman" w:cs="Times New Roman"/>
          <w:noProof/>
          <w:sz w:val="24"/>
          <w:szCs w:val="24"/>
        </w:rPr>
        <w:t xml:space="preserve"> and</w:t>
      </w:r>
      <w:r w:rsidRPr="00564FDB">
        <w:rPr>
          <w:rFonts w:ascii="Times New Roman" w:hAnsi="Times New Roman" w:cs="Times New Roman"/>
          <w:noProof/>
          <w:sz w:val="24"/>
          <w:szCs w:val="24"/>
        </w:rPr>
        <w:t xml:space="preserve"> </w:t>
      </w:r>
    </w:p>
    <w:p w14:paraId="4C1F605F" w14:textId="428F9855" w:rsidR="00F7670D" w:rsidRDefault="004F1C03" w:rsidP="00D86DF9">
      <w:pPr>
        <w:pStyle w:val="ListParagraph"/>
        <w:numPr>
          <w:ilvl w:val="0"/>
          <w:numId w:val="16"/>
        </w:numPr>
        <w:spacing w:after="120"/>
        <w:jc w:val="both"/>
        <w:rPr>
          <w:rFonts w:ascii="Times New Roman" w:hAnsi="Times New Roman" w:cs="Times New Roman"/>
          <w:noProof/>
          <w:sz w:val="24"/>
          <w:szCs w:val="24"/>
        </w:rPr>
      </w:pPr>
      <w:r w:rsidRPr="004F1C03">
        <w:rPr>
          <w:rFonts w:ascii="Times New Roman" w:hAnsi="Times New Roman" w:cs="Times New Roman"/>
          <w:noProof/>
          <w:sz w:val="24"/>
          <w:szCs w:val="24"/>
        </w:rPr>
        <w:t>Commission Delegated Directive (EU) 2023/544 of 16 December 2022 amending Directive 2000/53/EC as regards the exemptions for the use of lead in aluminium alloys for machining purposes, in copper alloys and in certain batteries</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w:t>
      </w:r>
    </w:p>
    <w:p w14:paraId="544F4DAB" w14:textId="77777777" w:rsidR="00D86DF9" w:rsidRPr="00D86DF9" w:rsidRDefault="00D86DF9" w:rsidP="00D86DF9">
      <w:pPr>
        <w:pStyle w:val="ListParagraph"/>
        <w:spacing w:after="120"/>
        <w:jc w:val="both"/>
        <w:rPr>
          <w:rFonts w:ascii="Times New Roman" w:hAnsi="Times New Roman" w:cs="Times New Roman"/>
          <w:noProof/>
          <w:sz w:val="24"/>
          <w:szCs w:val="24"/>
        </w:rPr>
      </w:pPr>
    </w:p>
    <w:p w14:paraId="0BE2FB56" w14:textId="77777777" w:rsidR="00076422" w:rsidRPr="00310516" w:rsidRDefault="00076422" w:rsidP="00076422">
      <w:pPr>
        <w:pStyle w:val="ListParagraph"/>
        <w:numPr>
          <w:ilvl w:val="2"/>
          <w:numId w:val="10"/>
        </w:numPr>
        <w:spacing w:after="120"/>
        <w:ind w:left="851" w:hanging="851"/>
        <w:contextualSpacing w:val="0"/>
        <w:jc w:val="both"/>
        <w:rPr>
          <w:rFonts w:ascii="Times New Roman" w:hAnsi="Times New Roman" w:cs="Times New Roman"/>
          <w:b/>
          <w:noProof/>
          <w:sz w:val="24"/>
          <w:szCs w:val="24"/>
        </w:rPr>
      </w:pPr>
      <w:r w:rsidRPr="00310516">
        <w:rPr>
          <w:rFonts w:ascii="Times New Roman" w:hAnsi="Times New Roman" w:cs="Times New Roman"/>
          <w:b/>
          <w:noProof/>
          <w:sz w:val="24"/>
          <w:szCs w:val="24"/>
        </w:rPr>
        <w:t>Establishment of minimum requirements for the certificate of destruction</w:t>
      </w:r>
    </w:p>
    <w:p w14:paraId="1DD0C2CC" w14:textId="168E080D" w:rsidR="00076422" w:rsidRPr="00310516" w:rsidRDefault="00076422" w:rsidP="00076422">
      <w:pPr>
        <w:spacing w:after="120"/>
        <w:jc w:val="both"/>
        <w:rPr>
          <w:rFonts w:ascii="Times New Roman" w:hAnsi="Times New Roman" w:cs="Times New Roman"/>
          <w:noProof/>
          <w:sz w:val="24"/>
          <w:szCs w:val="24"/>
          <w:lang w:val="en-US"/>
        </w:rPr>
      </w:pPr>
      <w:r w:rsidRPr="00310516">
        <w:rPr>
          <w:rFonts w:ascii="Times New Roman" w:hAnsi="Times New Roman" w:cs="Times New Roman"/>
          <w:noProof/>
          <w:sz w:val="24"/>
          <w:szCs w:val="24"/>
          <w:lang w:val="en-US"/>
        </w:rPr>
        <w:t xml:space="preserve">According to Article 5(3) of </w:t>
      </w:r>
      <w:r w:rsidR="00D6243A" w:rsidRPr="00310516">
        <w:rPr>
          <w:rFonts w:ascii="Times New Roman" w:hAnsi="Times New Roman" w:cs="Times New Roman"/>
          <w:noProof/>
          <w:sz w:val="24"/>
          <w:szCs w:val="24"/>
        </w:rPr>
        <w:t>Directive 2000/53/EC</w:t>
      </w:r>
      <w:r w:rsidRPr="00310516">
        <w:rPr>
          <w:rFonts w:ascii="Times New Roman" w:hAnsi="Times New Roman" w:cs="Times New Roman"/>
          <w:noProof/>
          <w:sz w:val="24"/>
          <w:szCs w:val="24"/>
          <w:lang w:val="en-US"/>
        </w:rPr>
        <w:t>, Member States shall set up a system according to which the presentation of a certificate of destruction is a condition for deregistration of end-of life vehicle</w:t>
      </w:r>
      <w:r w:rsidR="00402470">
        <w:rPr>
          <w:rFonts w:ascii="Times New Roman" w:hAnsi="Times New Roman" w:cs="Times New Roman"/>
          <w:noProof/>
          <w:sz w:val="24"/>
          <w:szCs w:val="24"/>
          <w:lang w:val="en-US"/>
        </w:rPr>
        <w:t>s</w:t>
      </w:r>
      <w:r w:rsidRPr="00310516">
        <w:rPr>
          <w:rFonts w:ascii="Times New Roman" w:hAnsi="Times New Roman" w:cs="Times New Roman"/>
          <w:noProof/>
          <w:sz w:val="24"/>
          <w:szCs w:val="24"/>
          <w:lang w:val="en-US"/>
        </w:rPr>
        <w:t>.</w:t>
      </w:r>
    </w:p>
    <w:p w14:paraId="3A172670" w14:textId="07A4FE70" w:rsidR="001926C7" w:rsidRDefault="005B5088" w:rsidP="0017579A">
      <w:pPr>
        <w:spacing w:after="120"/>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In the period preceding this report, </w:t>
      </w:r>
      <w:r w:rsidR="00CC26ED">
        <w:rPr>
          <w:rFonts w:ascii="Times New Roman" w:hAnsi="Times New Roman" w:cs="Times New Roman"/>
          <w:noProof/>
          <w:sz w:val="24"/>
          <w:szCs w:val="24"/>
          <w:lang w:val="en-US"/>
        </w:rPr>
        <w:t xml:space="preserve">based on former Article 5(5) of </w:t>
      </w:r>
      <w:r w:rsidR="00D6243A" w:rsidRPr="00310516">
        <w:rPr>
          <w:rFonts w:ascii="Times New Roman" w:hAnsi="Times New Roman" w:cs="Times New Roman"/>
          <w:noProof/>
          <w:sz w:val="24"/>
          <w:szCs w:val="24"/>
        </w:rPr>
        <w:t>Directive 2000/53/EC</w:t>
      </w:r>
      <w:r w:rsidR="00740660">
        <w:rPr>
          <w:rFonts w:ascii="Times New Roman" w:hAnsi="Times New Roman" w:cs="Times New Roman"/>
          <w:noProof/>
          <w:sz w:val="24"/>
          <w:szCs w:val="24"/>
        </w:rPr>
        <w:t>,</w:t>
      </w:r>
      <w:r w:rsidR="00CC26ED">
        <w:rPr>
          <w:rFonts w:ascii="Times New Roman" w:hAnsi="Times New Roman" w:cs="Times New Roman"/>
          <w:noProof/>
          <w:sz w:val="24"/>
          <w:szCs w:val="24"/>
          <w:lang w:val="en-US"/>
        </w:rPr>
        <w:t xml:space="preserve"> </w:t>
      </w:r>
      <w:r w:rsidR="00740660">
        <w:rPr>
          <w:rFonts w:ascii="Times New Roman" w:hAnsi="Times New Roman" w:cs="Times New Roman"/>
          <w:noProof/>
          <w:sz w:val="24"/>
          <w:szCs w:val="24"/>
          <w:lang w:val="en-US"/>
        </w:rPr>
        <w:t>t</w:t>
      </w:r>
      <w:r w:rsidR="00740660" w:rsidRPr="00417C5D">
        <w:rPr>
          <w:rFonts w:ascii="Times New Roman" w:hAnsi="Times New Roman" w:cs="Times New Roman"/>
          <w:noProof/>
          <w:sz w:val="24"/>
          <w:szCs w:val="24"/>
          <w:lang w:val="en-US"/>
        </w:rPr>
        <w:t xml:space="preserve">he Commission </w:t>
      </w:r>
      <w:r w:rsidR="00740660">
        <w:rPr>
          <w:rFonts w:ascii="Times New Roman" w:hAnsi="Times New Roman" w:cs="Times New Roman"/>
          <w:noProof/>
          <w:sz w:val="24"/>
          <w:szCs w:val="24"/>
          <w:lang w:val="en-US"/>
        </w:rPr>
        <w:t>adopted</w:t>
      </w:r>
      <w:r w:rsidR="00740660" w:rsidRPr="00417C5D">
        <w:rPr>
          <w:rFonts w:ascii="Times New Roman" w:hAnsi="Times New Roman" w:cs="Times New Roman"/>
          <w:noProof/>
          <w:sz w:val="24"/>
          <w:szCs w:val="24"/>
        </w:rPr>
        <w:t xml:space="preserve"> </w:t>
      </w:r>
      <w:r w:rsidR="00FC1714">
        <w:rPr>
          <w:rFonts w:ascii="Times New Roman" w:hAnsi="Times New Roman" w:cs="Times New Roman"/>
          <w:noProof/>
          <w:sz w:val="24"/>
          <w:szCs w:val="24"/>
        </w:rPr>
        <w:t xml:space="preserve">a </w:t>
      </w:r>
      <w:r w:rsidR="00CC26ED" w:rsidRPr="00417C5D">
        <w:rPr>
          <w:rFonts w:ascii="Times New Roman" w:hAnsi="Times New Roman" w:cs="Times New Roman"/>
          <w:noProof/>
          <w:sz w:val="24"/>
          <w:szCs w:val="24"/>
        </w:rPr>
        <w:t xml:space="preserve">Commission Decision 2002/151/EC of 19 </w:t>
      </w:r>
      <w:r w:rsidR="00CC26ED" w:rsidRPr="00F44452">
        <w:rPr>
          <w:rFonts w:ascii="Times New Roman" w:hAnsi="Times New Roman" w:cs="Times New Roman"/>
          <w:noProof/>
          <w:sz w:val="24"/>
          <w:szCs w:val="24"/>
        </w:rPr>
        <w:t>February 2002 on minimum requirements for the certificate of destruction issued in accordance with Article 5(3) of Directive 2000/53/EC</w:t>
      </w:r>
      <w:r w:rsidR="00CC26ED" w:rsidRPr="00417C5D">
        <w:rPr>
          <w:rStyle w:val="FootnoteReference"/>
          <w:rFonts w:ascii="Times New Roman" w:hAnsi="Times New Roman" w:cs="Times New Roman"/>
          <w:noProof/>
          <w:sz w:val="24"/>
          <w:szCs w:val="24"/>
        </w:rPr>
        <w:footnoteReference w:id="22"/>
      </w:r>
      <w:r w:rsidR="00CC26ED" w:rsidRPr="00417C5D">
        <w:rPr>
          <w:rFonts w:ascii="Times New Roman" w:hAnsi="Times New Roman" w:cs="Times New Roman"/>
          <w:noProof/>
          <w:sz w:val="24"/>
          <w:szCs w:val="24"/>
        </w:rPr>
        <w:t>.</w:t>
      </w:r>
      <w:r w:rsidR="0017579A">
        <w:rPr>
          <w:rFonts w:ascii="Times New Roman" w:hAnsi="Times New Roman" w:cs="Times New Roman"/>
          <w:noProof/>
          <w:sz w:val="24"/>
          <w:szCs w:val="24"/>
        </w:rPr>
        <w:t xml:space="preserve"> </w:t>
      </w:r>
    </w:p>
    <w:p w14:paraId="3381F974" w14:textId="2EFDFFC9" w:rsidR="00CC26ED" w:rsidRPr="00417C5D" w:rsidRDefault="2F5D4EDD" w:rsidP="00CC26ED">
      <w:pPr>
        <w:spacing w:after="120"/>
        <w:jc w:val="both"/>
        <w:rPr>
          <w:rFonts w:ascii="Times New Roman" w:hAnsi="Times New Roman" w:cs="Times New Roman"/>
          <w:noProof/>
          <w:sz w:val="24"/>
          <w:szCs w:val="24"/>
          <w:lang w:val="en-US"/>
        </w:rPr>
      </w:pPr>
      <w:r w:rsidRPr="7F6450B9">
        <w:rPr>
          <w:rFonts w:ascii="Times New Roman" w:hAnsi="Times New Roman" w:cs="Times New Roman"/>
          <w:noProof/>
          <w:sz w:val="24"/>
          <w:szCs w:val="24"/>
          <w:lang w:val="en-US"/>
        </w:rPr>
        <w:t>The Commission ha</w:t>
      </w:r>
      <w:r w:rsidR="00A46707">
        <w:rPr>
          <w:rFonts w:ascii="Times New Roman" w:hAnsi="Times New Roman" w:cs="Times New Roman"/>
          <w:noProof/>
          <w:sz w:val="24"/>
          <w:szCs w:val="24"/>
          <w:lang w:val="en-US"/>
        </w:rPr>
        <w:t>s</w:t>
      </w:r>
      <w:r w:rsidRPr="7F6450B9">
        <w:rPr>
          <w:rFonts w:ascii="Times New Roman" w:hAnsi="Times New Roman" w:cs="Times New Roman"/>
          <w:noProof/>
          <w:sz w:val="24"/>
          <w:szCs w:val="24"/>
          <w:lang w:val="en-US"/>
        </w:rPr>
        <w:t xml:space="preserve"> </w:t>
      </w:r>
      <w:r w:rsidR="00A46707" w:rsidRPr="7F6450B9">
        <w:rPr>
          <w:rFonts w:ascii="Times New Roman" w:hAnsi="Times New Roman" w:cs="Times New Roman"/>
          <w:noProof/>
          <w:sz w:val="24"/>
          <w:szCs w:val="24"/>
          <w:lang w:val="en-US"/>
        </w:rPr>
        <w:t>n</w:t>
      </w:r>
      <w:r w:rsidR="00A46707">
        <w:rPr>
          <w:rFonts w:ascii="Times New Roman" w:hAnsi="Times New Roman" w:cs="Times New Roman"/>
          <w:noProof/>
          <w:sz w:val="24"/>
          <w:szCs w:val="24"/>
          <w:lang w:val="en-US"/>
        </w:rPr>
        <w:t>ot</w:t>
      </w:r>
      <w:r w:rsidR="00A46707" w:rsidRPr="7F6450B9">
        <w:rPr>
          <w:rFonts w:ascii="Times New Roman" w:hAnsi="Times New Roman" w:cs="Times New Roman"/>
          <w:noProof/>
          <w:sz w:val="24"/>
          <w:szCs w:val="24"/>
          <w:lang w:val="en-US"/>
        </w:rPr>
        <w:t xml:space="preserve"> </w:t>
      </w:r>
      <w:r w:rsidRPr="7F6450B9">
        <w:rPr>
          <w:rFonts w:ascii="Times New Roman" w:hAnsi="Times New Roman" w:cs="Times New Roman"/>
          <w:noProof/>
          <w:sz w:val="24"/>
          <w:szCs w:val="24"/>
          <w:lang w:val="en-US"/>
        </w:rPr>
        <w:t xml:space="preserve">identified </w:t>
      </w:r>
      <w:r w:rsidR="66B3B024" w:rsidRPr="7F6450B9">
        <w:rPr>
          <w:rFonts w:ascii="Times New Roman" w:hAnsi="Times New Roman" w:cs="Times New Roman"/>
          <w:noProof/>
          <w:sz w:val="24"/>
          <w:szCs w:val="24"/>
          <w:lang w:val="en-US"/>
        </w:rPr>
        <w:t xml:space="preserve">the </w:t>
      </w:r>
      <w:r w:rsidRPr="7F6450B9">
        <w:rPr>
          <w:rFonts w:ascii="Times New Roman" w:hAnsi="Times New Roman" w:cs="Times New Roman"/>
          <w:noProof/>
          <w:sz w:val="24"/>
          <w:szCs w:val="24"/>
          <w:lang w:val="en-US"/>
        </w:rPr>
        <w:t xml:space="preserve">need to amend this act nor adopt a new one.  </w:t>
      </w:r>
    </w:p>
    <w:p w14:paraId="1BC0A070" w14:textId="6C9AB7B7" w:rsidR="00076422" w:rsidRPr="00310516" w:rsidRDefault="00076422" w:rsidP="00076422">
      <w:pPr>
        <w:pStyle w:val="ListParagraph"/>
        <w:numPr>
          <w:ilvl w:val="2"/>
          <w:numId w:val="10"/>
        </w:numPr>
        <w:spacing w:after="120"/>
        <w:ind w:left="851" w:hanging="851"/>
        <w:contextualSpacing w:val="0"/>
        <w:jc w:val="both"/>
        <w:rPr>
          <w:rFonts w:ascii="Times New Roman" w:hAnsi="Times New Roman" w:cs="Times New Roman"/>
          <w:b/>
          <w:noProof/>
          <w:sz w:val="24"/>
          <w:szCs w:val="24"/>
        </w:rPr>
      </w:pPr>
      <w:r w:rsidRPr="00310516">
        <w:rPr>
          <w:rFonts w:ascii="Times New Roman" w:hAnsi="Times New Roman" w:cs="Times New Roman"/>
          <w:b/>
          <w:noProof/>
          <w:sz w:val="24"/>
          <w:szCs w:val="24"/>
        </w:rPr>
        <w:lastRenderedPageBreak/>
        <w:t xml:space="preserve">Amendment of Annex I </w:t>
      </w:r>
    </w:p>
    <w:p w14:paraId="47D7B244" w14:textId="182E8F9A" w:rsidR="00076422" w:rsidRDefault="00076422" w:rsidP="00076422">
      <w:pPr>
        <w:spacing w:after="120"/>
        <w:jc w:val="both"/>
        <w:rPr>
          <w:rFonts w:ascii="Times New Roman" w:hAnsi="Times New Roman" w:cs="Times New Roman"/>
          <w:noProof/>
          <w:sz w:val="24"/>
          <w:szCs w:val="24"/>
        </w:rPr>
      </w:pPr>
      <w:r w:rsidRPr="00310516">
        <w:rPr>
          <w:rFonts w:ascii="Times New Roman" w:hAnsi="Times New Roman" w:cs="Times New Roman"/>
          <w:noProof/>
          <w:sz w:val="24"/>
          <w:szCs w:val="24"/>
        </w:rPr>
        <w:t xml:space="preserve">Annex I </w:t>
      </w:r>
      <w:r w:rsidR="00402470">
        <w:rPr>
          <w:rFonts w:ascii="Times New Roman" w:hAnsi="Times New Roman" w:cs="Times New Roman"/>
          <w:noProof/>
          <w:sz w:val="24"/>
          <w:szCs w:val="24"/>
        </w:rPr>
        <w:t>to</w:t>
      </w:r>
      <w:r w:rsidR="00402470" w:rsidRPr="00310516">
        <w:rPr>
          <w:rFonts w:ascii="Times New Roman" w:hAnsi="Times New Roman" w:cs="Times New Roman"/>
          <w:noProof/>
          <w:sz w:val="24"/>
          <w:szCs w:val="24"/>
        </w:rPr>
        <w:t xml:space="preserve"> </w:t>
      </w:r>
      <w:r w:rsidR="00D6243A" w:rsidRPr="00310516">
        <w:rPr>
          <w:rFonts w:ascii="Times New Roman" w:hAnsi="Times New Roman" w:cs="Times New Roman"/>
          <w:noProof/>
          <w:sz w:val="24"/>
          <w:szCs w:val="24"/>
        </w:rPr>
        <w:t xml:space="preserve">Directive 2000/53/EC </w:t>
      </w:r>
      <w:r w:rsidRPr="00310516">
        <w:rPr>
          <w:rFonts w:ascii="Times New Roman" w:hAnsi="Times New Roman" w:cs="Times New Roman"/>
          <w:noProof/>
          <w:sz w:val="24"/>
          <w:szCs w:val="24"/>
        </w:rPr>
        <w:t xml:space="preserve">establishes minimum technical requirements for treatment of end-of-life </w:t>
      </w:r>
      <w:r w:rsidRPr="00417C5D">
        <w:rPr>
          <w:rFonts w:ascii="Times New Roman" w:hAnsi="Times New Roman" w:cs="Times New Roman"/>
          <w:noProof/>
          <w:sz w:val="24"/>
          <w:szCs w:val="24"/>
        </w:rPr>
        <w:t>vehicles.</w:t>
      </w:r>
    </w:p>
    <w:p w14:paraId="0A412A13" w14:textId="422D5009" w:rsidR="00FE458B" w:rsidRPr="00B07DAA" w:rsidRDefault="1AFFC4D8" w:rsidP="00076422">
      <w:pPr>
        <w:spacing w:after="120"/>
        <w:jc w:val="both"/>
        <w:rPr>
          <w:rFonts w:ascii="Times New Roman" w:hAnsi="Times New Roman" w:cs="Times New Roman"/>
          <w:noProof/>
          <w:sz w:val="24"/>
          <w:szCs w:val="24"/>
          <w:lang w:val="en-US"/>
        </w:rPr>
      </w:pPr>
      <w:r w:rsidRPr="1463D20E">
        <w:rPr>
          <w:rFonts w:ascii="Times New Roman" w:hAnsi="Times New Roman" w:cs="Times New Roman"/>
          <w:noProof/>
          <w:sz w:val="24"/>
          <w:szCs w:val="24"/>
          <w:shd w:val="clear" w:color="auto" w:fill="FFFFFF"/>
        </w:rPr>
        <w:t xml:space="preserve">The Commission </w:t>
      </w:r>
      <w:r w:rsidR="00A46707" w:rsidRPr="1463D20E">
        <w:rPr>
          <w:rFonts w:ascii="Times New Roman" w:hAnsi="Times New Roman" w:cs="Times New Roman"/>
          <w:noProof/>
          <w:sz w:val="24"/>
          <w:szCs w:val="24"/>
          <w:shd w:val="clear" w:color="auto" w:fill="FFFFFF"/>
        </w:rPr>
        <w:t>ha</w:t>
      </w:r>
      <w:r w:rsidR="00A46707">
        <w:rPr>
          <w:rFonts w:ascii="Times New Roman" w:hAnsi="Times New Roman" w:cs="Times New Roman"/>
          <w:noProof/>
          <w:sz w:val="24"/>
          <w:szCs w:val="24"/>
          <w:shd w:val="clear" w:color="auto" w:fill="FFFFFF"/>
        </w:rPr>
        <w:t>s</w:t>
      </w:r>
      <w:r w:rsidR="00A46707" w:rsidRPr="1463D20E">
        <w:rPr>
          <w:rFonts w:ascii="Times New Roman" w:hAnsi="Times New Roman" w:cs="Times New Roman"/>
          <w:noProof/>
          <w:sz w:val="24"/>
          <w:szCs w:val="24"/>
          <w:shd w:val="clear" w:color="auto" w:fill="FFFFFF"/>
        </w:rPr>
        <w:t xml:space="preserve"> </w:t>
      </w:r>
      <w:r w:rsidRPr="1463D20E">
        <w:rPr>
          <w:rFonts w:ascii="Times New Roman" w:hAnsi="Times New Roman" w:cs="Times New Roman"/>
          <w:noProof/>
          <w:sz w:val="24"/>
          <w:szCs w:val="24"/>
          <w:shd w:val="clear" w:color="auto" w:fill="FFFFFF"/>
        </w:rPr>
        <w:t>not identified the need to make use of the delegated power under this provision</w:t>
      </w:r>
      <w:r w:rsidR="3D7B071E">
        <w:rPr>
          <w:rFonts w:ascii="Times New Roman" w:hAnsi="Times New Roman" w:cs="Times New Roman"/>
          <w:noProof/>
          <w:sz w:val="24"/>
          <w:szCs w:val="24"/>
          <w:lang w:val="en-US"/>
        </w:rPr>
        <w:t xml:space="preserve">. </w:t>
      </w:r>
      <w:r w:rsidR="3D7B071E" w:rsidRPr="00B07DAA">
        <w:rPr>
          <w:rFonts w:ascii="Times New Roman" w:hAnsi="Times New Roman" w:cs="Times New Roman"/>
          <w:noProof/>
          <w:sz w:val="24"/>
          <w:szCs w:val="24"/>
          <w:lang w:val="en-US"/>
        </w:rPr>
        <w:t xml:space="preserve">However, the </w:t>
      </w:r>
      <w:r w:rsidR="00740660">
        <w:rPr>
          <w:rFonts w:ascii="Times New Roman" w:hAnsi="Times New Roman" w:cs="Times New Roman"/>
          <w:noProof/>
          <w:sz w:val="24"/>
          <w:szCs w:val="24"/>
          <w:lang w:val="en-US"/>
        </w:rPr>
        <w:t>need to amend Annex I</w:t>
      </w:r>
      <w:r w:rsidR="3D7B071E" w:rsidRPr="00B07DAA">
        <w:rPr>
          <w:rFonts w:ascii="Times New Roman" w:hAnsi="Times New Roman" w:cs="Times New Roman"/>
          <w:noProof/>
          <w:sz w:val="24"/>
          <w:szCs w:val="24"/>
          <w:lang w:val="en-US"/>
        </w:rPr>
        <w:t xml:space="preserve"> could arise in the future, </w:t>
      </w:r>
      <w:r w:rsidR="002D7F5F">
        <w:rPr>
          <w:rFonts w:ascii="Times New Roman" w:hAnsi="Times New Roman" w:cs="Times New Roman"/>
          <w:noProof/>
          <w:sz w:val="24"/>
          <w:szCs w:val="24"/>
          <w:lang w:val="en-US"/>
        </w:rPr>
        <w:t>therefore</w:t>
      </w:r>
      <w:r w:rsidR="3D7B071E" w:rsidRPr="00B07DAA">
        <w:rPr>
          <w:rFonts w:ascii="Times New Roman" w:hAnsi="Times New Roman" w:cs="Times New Roman"/>
          <w:noProof/>
          <w:sz w:val="24"/>
          <w:szCs w:val="24"/>
          <w:lang w:val="en-US"/>
        </w:rPr>
        <w:t xml:space="preserve"> the empowerment should be maintained until the </w:t>
      </w:r>
      <w:r w:rsidR="00424F08">
        <w:rPr>
          <w:rFonts w:ascii="Times New Roman" w:hAnsi="Times New Roman" w:cs="Times New Roman"/>
          <w:noProof/>
          <w:sz w:val="24"/>
          <w:szCs w:val="24"/>
        </w:rPr>
        <w:t>entry into force</w:t>
      </w:r>
      <w:r w:rsidR="002D7F5F" w:rsidRPr="00A12211">
        <w:rPr>
          <w:rFonts w:ascii="Times New Roman" w:hAnsi="Times New Roman" w:cs="Times New Roman"/>
          <w:noProof/>
          <w:sz w:val="24"/>
          <w:szCs w:val="24"/>
        </w:rPr>
        <w:t xml:space="preserve"> of the new Regulation</w:t>
      </w:r>
      <w:r w:rsidR="3D7B071E" w:rsidRPr="00B07DAA">
        <w:rPr>
          <w:rFonts w:ascii="Times New Roman" w:hAnsi="Times New Roman" w:cs="Times New Roman"/>
          <w:noProof/>
          <w:sz w:val="24"/>
          <w:szCs w:val="24"/>
          <w:lang w:val="en-US"/>
        </w:rPr>
        <w:t>.</w:t>
      </w:r>
    </w:p>
    <w:p w14:paraId="34C7E0D7" w14:textId="0C75F5B8" w:rsidR="00F83AFA" w:rsidRPr="00F83AFA" w:rsidRDefault="00F83AFA" w:rsidP="00F83AFA">
      <w:pPr>
        <w:pStyle w:val="ListParagraph"/>
        <w:numPr>
          <w:ilvl w:val="2"/>
          <w:numId w:val="10"/>
        </w:numPr>
        <w:spacing w:after="120"/>
        <w:ind w:left="851" w:hanging="851"/>
        <w:contextualSpacing w:val="0"/>
        <w:jc w:val="both"/>
        <w:rPr>
          <w:rFonts w:ascii="Times New Roman" w:hAnsi="Times New Roman" w:cs="Times New Roman"/>
          <w:b/>
          <w:noProof/>
          <w:sz w:val="24"/>
          <w:szCs w:val="24"/>
        </w:rPr>
      </w:pPr>
      <w:r w:rsidRPr="00F83AFA">
        <w:rPr>
          <w:rFonts w:ascii="Times New Roman" w:hAnsi="Times New Roman" w:cs="Times New Roman"/>
          <w:b/>
          <w:noProof/>
          <w:sz w:val="24"/>
          <w:szCs w:val="24"/>
        </w:rPr>
        <w:t>E</w:t>
      </w:r>
      <w:r w:rsidR="00564FDB">
        <w:rPr>
          <w:rFonts w:ascii="Times New Roman" w:hAnsi="Times New Roman" w:cs="Times New Roman"/>
          <w:b/>
          <w:noProof/>
          <w:sz w:val="24"/>
          <w:szCs w:val="24"/>
        </w:rPr>
        <w:t>stablis</w:t>
      </w:r>
      <w:r w:rsidRPr="00F83AFA">
        <w:rPr>
          <w:rFonts w:ascii="Times New Roman" w:hAnsi="Times New Roman" w:cs="Times New Roman"/>
          <w:b/>
          <w:noProof/>
          <w:sz w:val="24"/>
          <w:szCs w:val="24"/>
        </w:rPr>
        <w:t>hment of component and material coding standards</w:t>
      </w:r>
    </w:p>
    <w:p w14:paraId="73097949" w14:textId="272F4AF7" w:rsidR="008451C6" w:rsidRDefault="008451C6" w:rsidP="00564FDB">
      <w:pPr>
        <w:spacing w:after="120"/>
        <w:jc w:val="both"/>
        <w:rPr>
          <w:rFonts w:ascii="Times New Roman" w:hAnsi="Times New Roman" w:cs="Times New Roman"/>
          <w:noProof/>
          <w:sz w:val="24"/>
          <w:szCs w:val="24"/>
          <w:lang w:val="en-US"/>
        </w:rPr>
      </w:pPr>
      <w:r w:rsidRPr="008451C6">
        <w:rPr>
          <w:rFonts w:ascii="Times New Roman" w:hAnsi="Times New Roman" w:cs="Times New Roman"/>
          <w:noProof/>
          <w:sz w:val="24"/>
          <w:szCs w:val="24"/>
          <w:lang w:val="en-US"/>
        </w:rPr>
        <w:t xml:space="preserve">According to Article 8(1) of </w:t>
      </w:r>
      <w:r w:rsidR="00D6243A" w:rsidRPr="00310516">
        <w:rPr>
          <w:rFonts w:ascii="Times New Roman" w:hAnsi="Times New Roman" w:cs="Times New Roman"/>
          <w:noProof/>
          <w:sz w:val="24"/>
          <w:szCs w:val="24"/>
        </w:rPr>
        <w:t>Directive 2000/53/EC</w:t>
      </w:r>
      <w:r>
        <w:rPr>
          <w:rFonts w:ascii="Times New Roman" w:hAnsi="Times New Roman" w:cs="Times New Roman"/>
          <w:noProof/>
          <w:sz w:val="24"/>
          <w:szCs w:val="24"/>
          <w:lang w:val="en-US"/>
        </w:rPr>
        <w:t xml:space="preserve">, </w:t>
      </w:r>
      <w:r w:rsidRPr="008451C6">
        <w:rPr>
          <w:rFonts w:ascii="Times New Roman" w:hAnsi="Times New Roman" w:cs="Times New Roman"/>
          <w:noProof/>
          <w:sz w:val="24"/>
          <w:szCs w:val="24"/>
          <w:lang w:val="en-US"/>
        </w:rPr>
        <w:t>Member States shall take the necessary measures to ensure that producers, in concert with material and equipment manufacturers, use component and material coding standards, in particular to facilitate the identification of those components and materials which are suitable for reuse and recovery.</w:t>
      </w:r>
    </w:p>
    <w:p w14:paraId="4D7ED5E9" w14:textId="00427D56" w:rsidR="008451C6" w:rsidRDefault="008451C6" w:rsidP="00564FDB">
      <w:pPr>
        <w:spacing w:after="1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Pursuant to Article 8(2) of </w:t>
      </w:r>
      <w:r w:rsidR="00D6243A" w:rsidRPr="00310516">
        <w:rPr>
          <w:rFonts w:ascii="Times New Roman" w:hAnsi="Times New Roman" w:cs="Times New Roman"/>
          <w:noProof/>
          <w:sz w:val="24"/>
          <w:szCs w:val="24"/>
        </w:rPr>
        <w:t>Directive 2000/53/EC</w:t>
      </w:r>
      <w:r>
        <w:rPr>
          <w:rFonts w:ascii="Times New Roman" w:hAnsi="Times New Roman" w:cs="Times New Roman"/>
          <w:noProof/>
          <w:sz w:val="24"/>
          <w:szCs w:val="24"/>
          <w:lang w:val="en-US"/>
        </w:rPr>
        <w:t>, t</w:t>
      </w:r>
      <w:r w:rsidRPr="008451C6">
        <w:rPr>
          <w:rFonts w:ascii="Times New Roman" w:hAnsi="Times New Roman" w:cs="Times New Roman"/>
          <w:noProof/>
          <w:sz w:val="24"/>
          <w:szCs w:val="24"/>
          <w:lang w:val="en-US"/>
        </w:rPr>
        <w:t>he Commission is empow</w:t>
      </w:r>
      <w:r>
        <w:rPr>
          <w:rFonts w:ascii="Times New Roman" w:hAnsi="Times New Roman" w:cs="Times New Roman"/>
          <w:noProof/>
          <w:sz w:val="24"/>
          <w:szCs w:val="24"/>
          <w:lang w:val="en-US"/>
        </w:rPr>
        <w:t xml:space="preserve">ered to adopt delegated acts </w:t>
      </w:r>
      <w:r w:rsidRPr="008451C6">
        <w:rPr>
          <w:rFonts w:ascii="Times New Roman" w:hAnsi="Times New Roman" w:cs="Times New Roman"/>
          <w:noProof/>
          <w:sz w:val="24"/>
          <w:szCs w:val="24"/>
          <w:lang w:val="en-US"/>
        </w:rPr>
        <w:t xml:space="preserve">in order to supplement </w:t>
      </w:r>
      <w:r>
        <w:rPr>
          <w:rFonts w:ascii="Times New Roman" w:hAnsi="Times New Roman" w:cs="Times New Roman"/>
          <w:noProof/>
          <w:sz w:val="24"/>
          <w:szCs w:val="24"/>
          <w:lang w:val="en-US"/>
        </w:rPr>
        <w:t>the</w:t>
      </w:r>
      <w:r w:rsidR="00D6243A">
        <w:rPr>
          <w:rFonts w:ascii="Times New Roman" w:hAnsi="Times New Roman" w:cs="Times New Roman"/>
          <w:noProof/>
          <w:sz w:val="24"/>
          <w:szCs w:val="24"/>
          <w:lang w:val="en-US"/>
        </w:rPr>
        <w:t xml:space="preserve"> Directive</w:t>
      </w:r>
      <w:r w:rsidRPr="008451C6">
        <w:rPr>
          <w:rFonts w:ascii="Times New Roman" w:hAnsi="Times New Roman" w:cs="Times New Roman"/>
          <w:noProof/>
          <w:sz w:val="24"/>
          <w:szCs w:val="24"/>
          <w:lang w:val="en-US"/>
        </w:rPr>
        <w:t xml:space="preserve"> by establishing the</w:t>
      </w:r>
      <w:r>
        <w:rPr>
          <w:rFonts w:ascii="Times New Roman" w:hAnsi="Times New Roman" w:cs="Times New Roman"/>
          <w:noProof/>
          <w:sz w:val="24"/>
          <w:szCs w:val="24"/>
          <w:lang w:val="en-US"/>
        </w:rPr>
        <w:t>se</w:t>
      </w:r>
      <w:r w:rsidRPr="008451C6">
        <w:rPr>
          <w:rFonts w:ascii="Times New Roman" w:hAnsi="Times New Roman" w:cs="Times New Roman"/>
          <w:noProof/>
          <w:sz w:val="24"/>
          <w:szCs w:val="24"/>
          <w:lang w:val="en-US"/>
        </w:rPr>
        <w:t xml:space="preserve"> standards.</w:t>
      </w:r>
    </w:p>
    <w:p w14:paraId="15E1372B" w14:textId="533B951E" w:rsidR="00CB1982" w:rsidRPr="00417C5D" w:rsidRDefault="005B5088" w:rsidP="00CB1982">
      <w:pPr>
        <w:spacing w:after="1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In the period preceding this report, </w:t>
      </w:r>
      <w:r w:rsidR="00BF5D1D">
        <w:rPr>
          <w:rFonts w:ascii="Times New Roman" w:hAnsi="Times New Roman" w:cs="Times New Roman"/>
          <w:noProof/>
          <w:sz w:val="24"/>
          <w:szCs w:val="24"/>
          <w:lang w:val="en-US"/>
        </w:rPr>
        <w:t xml:space="preserve">based on former Article 8(2) of </w:t>
      </w:r>
      <w:r w:rsidR="00D6243A" w:rsidRPr="00310516">
        <w:rPr>
          <w:rFonts w:ascii="Times New Roman" w:hAnsi="Times New Roman" w:cs="Times New Roman"/>
          <w:noProof/>
          <w:sz w:val="24"/>
          <w:szCs w:val="24"/>
        </w:rPr>
        <w:t>Directive 2000/53/EC</w:t>
      </w:r>
      <w:r w:rsidR="00740660">
        <w:rPr>
          <w:rFonts w:ascii="Times New Roman" w:hAnsi="Times New Roman" w:cs="Times New Roman"/>
          <w:noProof/>
          <w:sz w:val="24"/>
          <w:szCs w:val="24"/>
        </w:rPr>
        <w:t>,</w:t>
      </w:r>
      <w:r w:rsidR="00BF5D1D">
        <w:rPr>
          <w:rFonts w:ascii="Times New Roman" w:hAnsi="Times New Roman" w:cs="Times New Roman"/>
          <w:noProof/>
          <w:sz w:val="24"/>
          <w:szCs w:val="24"/>
          <w:lang w:val="en-US"/>
        </w:rPr>
        <w:t xml:space="preserve"> </w:t>
      </w:r>
      <w:r w:rsidR="00740660">
        <w:rPr>
          <w:rFonts w:ascii="Times New Roman" w:hAnsi="Times New Roman" w:cs="Times New Roman"/>
          <w:noProof/>
          <w:sz w:val="24"/>
          <w:szCs w:val="24"/>
          <w:lang w:val="en-US"/>
        </w:rPr>
        <w:t>t</w:t>
      </w:r>
      <w:r w:rsidR="00740660" w:rsidRPr="00417C5D">
        <w:rPr>
          <w:rFonts w:ascii="Times New Roman" w:hAnsi="Times New Roman" w:cs="Times New Roman"/>
          <w:noProof/>
          <w:sz w:val="24"/>
          <w:szCs w:val="24"/>
          <w:lang w:val="en-US"/>
        </w:rPr>
        <w:t xml:space="preserve">he Commission </w:t>
      </w:r>
      <w:r w:rsidR="00740660">
        <w:rPr>
          <w:rFonts w:ascii="Times New Roman" w:hAnsi="Times New Roman" w:cs="Times New Roman"/>
          <w:noProof/>
          <w:sz w:val="24"/>
          <w:szCs w:val="24"/>
          <w:lang w:val="en-US"/>
        </w:rPr>
        <w:t xml:space="preserve">adopted </w:t>
      </w:r>
      <w:r w:rsidR="00FC1714">
        <w:rPr>
          <w:rFonts w:ascii="Times New Roman" w:hAnsi="Times New Roman" w:cs="Times New Roman"/>
          <w:noProof/>
          <w:sz w:val="24"/>
          <w:szCs w:val="24"/>
          <w:lang w:val="en-US"/>
        </w:rPr>
        <w:t xml:space="preserve">a </w:t>
      </w:r>
      <w:r w:rsidR="00CB1982" w:rsidRPr="00417C5D">
        <w:rPr>
          <w:rFonts w:ascii="Times New Roman" w:hAnsi="Times New Roman" w:cs="Times New Roman"/>
          <w:noProof/>
          <w:sz w:val="24"/>
          <w:szCs w:val="24"/>
          <w:lang w:val="en-US"/>
        </w:rPr>
        <w:t>Commission Decision 2003/138/EC of 27 February 2003 establishing component and material coding standards for vehicles pursuant to Directive 2000/53/EC</w:t>
      </w:r>
      <w:r w:rsidR="00CB1982" w:rsidRPr="00417C5D">
        <w:rPr>
          <w:rStyle w:val="FootnoteReference"/>
          <w:rFonts w:ascii="Times New Roman" w:hAnsi="Times New Roman" w:cs="Times New Roman"/>
          <w:noProof/>
          <w:sz w:val="24"/>
          <w:szCs w:val="24"/>
          <w:lang w:val="en-US"/>
        </w:rPr>
        <w:footnoteReference w:id="23"/>
      </w:r>
      <w:r w:rsidR="00CB1982" w:rsidRPr="00417C5D">
        <w:rPr>
          <w:rFonts w:ascii="Times New Roman" w:hAnsi="Times New Roman" w:cs="Times New Roman"/>
          <w:noProof/>
          <w:sz w:val="24"/>
          <w:szCs w:val="24"/>
          <w:lang w:val="en-US"/>
        </w:rPr>
        <w:t>.</w:t>
      </w:r>
    </w:p>
    <w:p w14:paraId="7C0E3932" w14:textId="0E2EA0F2" w:rsidR="00417C5D" w:rsidRPr="0077561C" w:rsidRDefault="1AF8BC1C" w:rsidP="51F50EA6">
      <w:pPr>
        <w:spacing w:after="120"/>
        <w:jc w:val="both"/>
        <w:rPr>
          <w:rFonts w:ascii="Times New Roman" w:hAnsi="Times New Roman" w:cs="Times New Roman"/>
          <w:noProof/>
          <w:sz w:val="24"/>
          <w:szCs w:val="24"/>
        </w:rPr>
      </w:pPr>
      <w:r w:rsidRPr="51F50EA6">
        <w:rPr>
          <w:rFonts w:ascii="Times New Roman" w:hAnsi="Times New Roman" w:cs="Times New Roman"/>
          <w:noProof/>
          <w:sz w:val="24"/>
          <w:szCs w:val="24"/>
        </w:rPr>
        <w:t xml:space="preserve">The Commission </w:t>
      </w:r>
      <w:r w:rsidR="00A46707" w:rsidRPr="51F50EA6">
        <w:rPr>
          <w:rFonts w:ascii="Times New Roman" w:hAnsi="Times New Roman" w:cs="Times New Roman"/>
          <w:noProof/>
          <w:sz w:val="24"/>
          <w:szCs w:val="24"/>
        </w:rPr>
        <w:t>ha</w:t>
      </w:r>
      <w:r w:rsidR="00A46707">
        <w:rPr>
          <w:rFonts w:ascii="Times New Roman" w:hAnsi="Times New Roman" w:cs="Times New Roman"/>
          <w:noProof/>
          <w:sz w:val="24"/>
          <w:szCs w:val="24"/>
        </w:rPr>
        <w:t>s</w:t>
      </w:r>
      <w:r w:rsidR="00A46707" w:rsidRPr="51F50EA6">
        <w:rPr>
          <w:rFonts w:ascii="Times New Roman" w:hAnsi="Times New Roman" w:cs="Times New Roman"/>
          <w:noProof/>
          <w:sz w:val="24"/>
          <w:szCs w:val="24"/>
        </w:rPr>
        <w:t xml:space="preserve"> </w:t>
      </w:r>
      <w:r w:rsidR="00A46707">
        <w:rPr>
          <w:rFonts w:ascii="Times New Roman" w:hAnsi="Times New Roman" w:cs="Times New Roman"/>
          <w:noProof/>
          <w:sz w:val="24"/>
          <w:szCs w:val="24"/>
        </w:rPr>
        <w:t>not</w:t>
      </w:r>
      <w:r w:rsidR="00A46707" w:rsidRPr="51F50EA6">
        <w:rPr>
          <w:rFonts w:ascii="Times New Roman" w:hAnsi="Times New Roman" w:cs="Times New Roman"/>
          <w:noProof/>
          <w:sz w:val="24"/>
          <w:szCs w:val="24"/>
        </w:rPr>
        <w:t xml:space="preserve"> </w:t>
      </w:r>
      <w:r w:rsidRPr="51F50EA6">
        <w:rPr>
          <w:rFonts w:ascii="Times New Roman" w:hAnsi="Times New Roman" w:cs="Times New Roman"/>
          <w:noProof/>
          <w:sz w:val="24"/>
          <w:szCs w:val="24"/>
        </w:rPr>
        <w:t xml:space="preserve">identified </w:t>
      </w:r>
      <w:r w:rsidR="1172B392" w:rsidRPr="51F50EA6">
        <w:rPr>
          <w:rFonts w:ascii="Times New Roman" w:hAnsi="Times New Roman" w:cs="Times New Roman"/>
          <w:noProof/>
          <w:sz w:val="24"/>
          <w:szCs w:val="24"/>
        </w:rPr>
        <w:t xml:space="preserve">the </w:t>
      </w:r>
      <w:r w:rsidRPr="51F50EA6">
        <w:rPr>
          <w:rFonts w:ascii="Times New Roman" w:hAnsi="Times New Roman" w:cs="Times New Roman"/>
          <w:noProof/>
          <w:sz w:val="24"/>
          <w:szCs w:val="24"/>
        </w:rPr>
        <w:t xml:space="preserve">need to amend this act nor </w:t>
      </w:r>
      <w:r w:rsidR="684A1143" w:rsidRPr="51F50EA6">
        <w:rPr>
          <w:rFonts w:ascii="Times New Roman" w:hAnsi="Times New Roman" w:cs="Times New Roman"/>
          <w:noProof/>
          <w:sz w:val="24"/>
          <w:szCs w:val="24"/>
        </w:rPr>
        <w:t>adopt a new one</w:t>
      </w:r>
      <w:r w:rsidRPr="51F50EA6">
        <w:rPr>
          <w:rFonts w:ascii="Times New Roman" w:hAnsi="Times New Roman" w:cs="Times New Roman"/>
          <w:noProof/>
          <w:sz w:val="24"/>
          <w:szCs w:val="24"/>
        </w:rPr>
        <w:t>.</w:t>
      </w:r>
    </w:p>
    <w:p w14:paraId="1926D09D" w14:textId="77777777" w:rsidR="00706E1E" w:rsidRPr="00310516" w:rsidRDefault="00706E1E" w:rsidP="00076422">
      <w:pPr>
        <w:spacing w:after="120"/>
        <w:jc w:val="both"/>
        <w:rPr>
          <w:rFonts w:ascii="Times New Roman" w:hAnsi="Times New Roman" w:cs="Times New Roman"/>
          <w:noProof/>
          <w:sz w:val="24"/>
          <w:szCs w:val="24"/>
        </w:rPr>
      </w:pPr>
    </w:p>
    <w:p w14:paraId="0B29AFDB" w14:textId="56127501" w:rsidR="00B13821" w:rsidRDefault="00B13821" w:rsidP="00076422">
      <w:pPr>
        <w:pStyle w:val="ListParagraph"/>
        <w:numPr>
          <w:ilvl w:val="0"/>
          <w:numId w:val="10"/>
        </w:numPr>
        <w:spacing w:after="120"/>
        <w:contextualSpacing w:val="0"/>
        <w:jc w:val="both"/>
        <w:rPr>
          <w:rFonts w:ascii="Times New Roman" w:hAnsi="Times New Roman" w:cs="Times New Roman"/>
          <w:b/>
          <w:noProof/>
          <w:color w:val="000000"/>
          <w:sz w:val="24"/>
          <w:szCs w:val="24"/>
          <w:shd w:val="clear" w:color="auto" w:fill="FFFFFF"/>
        </w:rPr>
      </w:pPr>
      <w:r>
        <w:rPr>
          <w:rFonts w:ascii="Times New Roman" w:hAnsi="Times New Roman" w:cs="Times New Roman"/>
          <w:b/>
          <w:noProof/>
          <w:color w:val="000000"/>
          <w:sz w:val="24"/>
          <w:szCs w:val="24"/>
          <w:shd w:val="clear" w:color="auto" w:fill="FFFFFF"/>
        </w:rPr>
        <w:t>Regulation</w:t>
      </w:r>
      <w:r w:rsidR="00D32DDF">
        <w:rPr>
          <w:rFonts w:ascii="Times New Roman" w:hAnsi="Times New Roman" w:cs="Times New Roman"/>
          <w:b/>
          <w:noProof/>
          <w:color w:val="000000"/>
          <w:sz w:val="24"/>
          <w:szCs w:val="24"/>
          <w:shd w:val="clear" w:color="auto" w:fill="FFFFFF"/>
        </w:rPr>
        <w:t xml:space="preserve"> (EC)</w:t>
      </w:r>
      <w:r>
        <w:rPr>
          <w:rFonts w:ascii="Times New Roman" w:hAnsi="Times New Roman" w:cs="Times New Roman"/>
          <w:b/>
          <w:noProof/>
          <w:color w:val="000000"/>
          <w:sz w:val="24"/>
          <w:szCs w:val="24"/>
          <w:shd w:val="clear" w:color="auto" w:fill="FFFFFF"/>
        </w:rPr>
        <w:t xml:space="preserve"> </w:t>
      </w:r>
      <w:r w:rsidRPr="008A454F">
        <w:rPr>
          <w:rFonts w:ascii="Times New Roman" w:eastAsia="Times New Roman" w:hAnsi="Times New Roman" w:cs="Times New Roman"/>
          <w:b/>
          <w:noProof/>
          <w:sz w:val="24"/>
          <w:szCs w:val="24"/>
          <w:lang w:eastAsia="en-GB"/>
        </w:rPr>
        <w:t>1013/2006</w:t>
      </w:r>
    </w:p>
    <w:p w14:paraId="29BC6C69" w14:textId="1A54C308" w:rsidR="007A75C4" w:rsidRPr="007A75C4" w:rsidRDefault="73C29C7F" w:rsidP="007A75C4">
      <w:pPr>
        <w:spacing w:before="120" w:after="1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Union is a party to the Basel Convention on the Control of Transboundary Movements of Hazardous Wastes and their Disposal of 22 March 1989</w:t>
      </w:r>
      <w:r w:rsidR="24E43031">
        <w:rPr>
          <w:rFonts w:ascii="Times New Roman" w:eastAsia="Times New Roman" w:hAnsi="Times New Roman" w:cs="Times New Roman"/>
          <w:noProof/>
          <w:sz w:val="24"/>
          <w:szCs w:val="24"/>
          <w:lang w:eastAsia="en-GB"/>
        </w:rPr>
        <w:t xml:space="preserve"> that </w:t>
      </w:r>
      <w:r>
        <w:rPr>
          <w:rFonts w:ascii="Times New Roman" w:eastAsia="Times New Roman" w:hAnsi="Times New Roman" w:cs="Times New Roman"/>
          <w:noProof/>
          <w:sz w:val="24"/>
          <w:szCs w:val="24"/>
          <w:lang w:eastAsia="en-GB"/>
        </w:rPr>
        <w:t>serves to protect human health and the environment against the adverse effects of hazardous wastes.</w:t>
      </w:r>
      <w:r w:rsidR="0346CF88">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noProof/>
          <w:sz w:val="24"/>
          <w:szCs w:val="24"/>
          <w:lang w:eastAsia="en-GB"/>
        </w:rPr>
        <w:t xml:space="preserve">Regulation (EC) </w:t>
      </w:r>
      <w:r w:rsidR="00A97F5F">
        <w:rPr>
          <w:rFonts w:ascii="Times New Roman" w:eastAsia="Times New Roman" w:hAnsi="Times New Roman" w:cs="Times New Roman"/>
          <w:noProof/>
          <w:sz w:val="24"/>
          <w:szCs w:val="24"/>
          <w:lang w:eastAsia="en-GB"/>
        </w:rPr>
        <w:t>1013/2006</w:t>
      </w:r>
      <w:r>
        <w:rPr>
          <w:rFonts w:ascii="Times New Roman" w:eastAsia="Times New Roman" w:hAnsi="Times New Roman" w:cs="Times New Roman"/>
          <w:noProof/>
          <w:sz w:val="24"/>
          <w:szCs w:val="24"/>
          <w:lang w:eastAsia="en-GB"/>
        </w:rPr>
        <w:t xml:space="preserve"> transposes th</w:t>
      </w:r>
      <w:r w:rsidR="63683A12">
        <w:rPr>
          <w:rFonts w:ascii="Times New Roman" w:eastAsia="Times New Roman" w:hAnsi="Times New Roman" w:cs="Times New Roman"/>
          <w:noProof/>
          <w:sz w:val="24"/>
          <w:szCs w:val="24"/>
          <w:lang w:eastAsia="en-GB"/>
        </w:rPr>
        <w:t>is</w:t>
      </w:r>
      <w:r>
        <w:rPr>
          <w:rFonts w:ascii="Times New Roman" w:eastAsia="Times New Roman" w:hAnsi="Times New Roman" w:cs="Times New Roman"/>
          <w:noProof/>
          <w:sz w:val="24"/>
          <w:szCs w:val="24"/>
          <w:lang w:eastAsia="en-GB"/>
        </w:rPr>
        <w:t xml:space="preserve"> Convention into </w:t>
      </w:r>
      <w:r w:rsidR="0346CF88">
        <w:rPr>
          <w:rFonts w:ascii="Times New Roman" w:eastAsia="Times New Roman" w:hAnsi="Times New Roman" w:cs="Times New Roman"/>
          <w:noProof/>
          <w:sz w:val="24"/>
          <w:szCs w:val="24"/>
          <w:lang w:eastAsia="en-GB"/>
        </w:rPr>
        <w:t>Union</w:t>
      </w:r>
      <w:r>
        <w:rPr>
          <w:rFonts w:ascii="Times New Roman" w:eastAsia="Times New Roman" w:hAnsi="Times New Roman" w:cs="Times New Roman"/>
          <w:noProof/>
          <w:sz w:val="24"/>
          <w:szCs w:val="24"/>
          <w:lang w:eastAsia="en-GB"/>
        </w:rPr>
        <w:t xml:space="preserve"> law</w:t>
      </w:r>
      <w:r w:rsidR="63683A12">
        <w:rPr>
          <w:rFonts w:ascii="Times New Roman" w:eastAsia="Times New Roman" w:hAnsi="Times New Roman" w:cs="Times New Roman"/>
          <w:noProof/>
          <w:sz w:val="24"/>
          <w:szCs w:val="24"/>
          <w:lang w:eastAsia="en-GB"/>
        </w:rPr>
        <w:t xml:space="preserve">. The </w:t>
      </w:r>
      <w:r w:rsidR="00D32DDF">
        <w:rPr>
          <w:rFonts w:ascii="Times New Roman" w:eastAsia="Times New Roman" w:hAnsi="Times New Roman" w:cs="Times New Roman"/>
          <w:noProof/>
          <w:sz w:val="24"/>
          <w:szCs w:val="24"/>
          <w:lang w:eastAsia="en-GB"/>
        </w:rPr>
        <w:t>Regulation</w:t>
      </w:r>
      <w:r w:rsidR="63683A12">
        <w:rPr>
          <w:rFonts w:ascii="Times New Roman" w:eastAsia="Times New Roman" w:hAnsi="Times New Roman" w:cs="Times New Roman"/>
          <w:noProof/>
          <w:sz w:val="24"/>
          <w:szCs w:val="24"/>
          <w:lang w:eastAsia="en-GB"/>
        </w:rPr>
        <w:t xml:space="preserve"> </w:t>
      </w:r>
      <w:r w:rsidR="63683A12" w:rsidRPr="007A0FCD">
        <w:rPr>
          <w:rFonts w:ascii="Times New Roman" w:eastAsia="Times New Roman" w:hAnsi="Times New Roman" w:cs="Times New Roman"/>
          <w:noProof/>
          <w:sz w:val="24"/>
          <w:szCs w:val="24"/>
          <w:lang w:eastAsia="en-GB"/>
        </w:rPr>
        <w:t>empowers the Commi</w:t>
      </w:r>
      <w:r w:rsidR="7842BE21">
        <w:rPr>
          <w:rFonts w:ascii="Times New Roman" w:eastAsia="Times New Roman" w:hAnsi="Times New Roman" w:cs="Times New Roman"/>
          <w:noProof/>
          <w:sz w:val="24"/>
          <w:szCs w:val="24"/>
          <w:lang w:eastAsia="en-GB"/>
        </w:rPr>
        <w:t>s</w:t>
      </w:r>
      <w:r w:rsidR="63683A12" w:rsidRPr="007A0FCD">
        <w:rPr>
          <w:rFonts w:ascii="Times New Roman" w:eastAsia="Times New Roman" w:hAnsi="Times New Roman" w:cs="Times New Roman"/>
          <w:noProof/>
          <w:sz w:val="24"/>
          <w:szCs w:val="24"/>
          <w:lang w:eastAsia="en-GB"/>
        </w:rPr>
        <w:t>sion to adopt delegated acts</w:t>
      </w:r>
      <w:r w:rsidR="414EBEA2">
        <w:rPr>
          <w:rFonts w:ascii="Times New Roman" w:eastAsia="Times New Roman" w:hAnsi="Times New Roman" w:cs="Times New Roman"/>
          <w:noProof/>
          <w:sz w:val="24"/>
          <w:szCs w:val="24"/>
          <w:lang w:eastAsia="en-GB"/>
        </w:rPr>
        <w:t xml:space="preserve">, as referred to in Article 58, to </w:t>
      </w:r>
      <w:r w:rsidR="414EBEA2" w:rsidRPr="007A75C4">
        <w:rPr>
          <w:rFonts w:ascii="Times New Roman" w:eastAsia="Times New Roman" w:hAnsi="Times New Roman" w:cs="Times New Roman"/>
          <w:noProof/>
          <w:sz w:val="24"/>
          <w:szCs w:val="24"/>
          <w:lang w:eastAsia="en-GB"/>
        </w:rPr>
        <w:t>amend:</w:t>
      </w:r>
    </w:p>
    <w:p w14:paraId="1E3289ED" w14:textId="264BEAE2" w:rsidR="0065557F" w:rsidRDefault="007A75C4" w:rsidP="007A75C4">
      <w:pPr>
        <w:pStyle w:val="ListParagraph"/>
        <w:numPr>
          <w:ilvl w:val="0"/>
          <w:numId w:val="23"/>
        </w:numPr>
        <w:spacing w:before="120" w:after="120"/>
        <w:jc w:val="both"/>
        <w:rPr>
          <w:rFonts w:ascii="Times New Roman" w:eastAsia="Times New Roman" w:hAnsi="Times New Roman" w:cs="Times New Roman"/>
          <w:noProof/>
          <w:sz w:val="24"/>
          <w:szCs w:val="24"/>
          <w:lang w:eastAsia="en-GB"/>
        </w:rPr>
      </w:pPr>
      <w:r w:rsidRPr="0065557F">
        <w:rPr>
          <w:rFonts w:ascii="Times New Roman" w:eastAsia="Times New Roman" w:hAnsi="Times New Roman" w:cs="Times New Roman"/>
          <w:noProof/>
          <w:sz w:val="24"/>
          <w:szCs w:val="24"/>
          <w:lang w:eastAsia="en-GB"/>
        </w:rPr>
        <w:t>Annexes IA, IB, IC, II, III, IIIA, IIIB, IV, V, VI and VII to take account of changes agreed under the Basel Convention and the OECD Decision</w:t>
      </w:r>
      <w:r w:rsidR="002D1C11">
        <w:rPr>
          <w:rStyle w:val="FootnoteReference"/>
          <w:rFonts w:ascii="Times New Roman" w:eastAsia="Times New Roman" w:hAnsi="Times New Roman" w:cs="Times New Roman"/>
          <w:noProof/>
          <w:sz w:val="24"/>
          <w:szCs w:val="24"/>
          <w:lang w:eastAsia="en-GB"/>
        </w:rPr>
        <w:footnoteReference w:id="24"/>
      </w:r>
      <w:r w:rsidRPr="0065557F">
        <w:rPr>
          <w:rFonts w:ascii="Times New Roman" w:eastAsia="Times New Roman" w:hAnsi="Times New Roman" w:cs="Times New Roman"/>
          <w:noProof/>
          <w:sz w:val="24"/>
          <w:szCs w:val="24"/>
          <w:lang w:eastAsia="en-GB"/>
        </w:rPr>
        <w:t>;</w:t>
      </w:r>
    </w:p>
    <w:p w14:paraId="1FC0A00F" w14:textId="4AD72479" w:rsidR="0065557F" w:rsidRDefault="007A75C4" w:rsidP="007A75C4">
      <w:pPr>
        <w:pStyle w:val="ListParagraph"/>
        <w:numPr>
          <w:ilvl w:val="0"/>
          <w:numId w:val="23"/>
        </w:numPr>
        <w:spacing w:before="120" w:after="120"/>
        <w:jc w:val="both"/>
        <w:rPr>
          <w:rFonts w:ascii="Times New Roman" w:eastAsia="Times New Roman" w:hAnsi="Times New Roman" w:cs="Times New Roman"/>
          <w:noProof/>
          <w:sz w:val="24"/>
          <w:szCs w:val="24"/>
          <w:lang w:eastAsia="en-GB"/>
        </w:rPr>
      </w:pPr>
      <w:r w:rsidRPr="0065557F">
        <w:rPr>
          <w:rFonts w:ascii="Times New Roman" w:eastAsia="Times New Roman" w:hAnsi="Times New Roman" w:cs="Times New Roman"/>
          <w:noProof/>
          <w:sz w:val="24"/>
          <w:szCs w:val="24"/>
          <w:lang w:eastAsia="en-GB"/>
        </w:rPr>
        <w:t>Annex V to reflect changes to the list of waste adopted in accordance with Article 7 of Directive 2008/98/EC;</w:t>
      </w:r>
    </w:p>
    <w:p w14:paraId="3B80AE91" w14:textId="7D54C190" w:rsidR="00D40B8D" w:rsidRPr="007F430D" w:rsidRDefault="007A75C4" w:rsidP="007F430D">
      <w:pPr>
        <w:pStyle w:val="ListParagraph"/>
        <w:numPr>
          <w:ilvl w:val="0"/>
          <w:numId w:val="23"/>
        </w:numPr>
        <w:spacing w:before="120" w:after="120"/>
        <w:jc w:val="both"/>
        <w:rPr>
          <w:rFonts w:ascii="Times New Roman" w:eastAsia="Times New Roman" w:hAnsi="Times New Roman" w:cs="Times New Roman"/>
          <w:noProof/>
          <w:sz w:val="24"/>
          <w:szCs w:val="24"/>
          <w:lang w:eastAsia="en-GB"/>
        </w:rPr>
      </w:pPr>
      <w:r w:rsidRPr="0065557F">
        <w:rPr>
          <w:rFonts w:ascii="Times New Roman" w:eastAsia="Times New Roman" w:hAnsi="Times New Roman" w:cs="Times New Roman"/>
          <w:noProof/>
          <w:sz w:val="24"/>
          <w:szCs w:val="24"/>
          <w:lang w:eastAsia="en-GB"/>
        </w:rPr>
        <w:t>Annex VIII to reflect decisions taken under relevant international conventions and agreements.</w:t>
      </w:r>
    </w:p>
    <w:p w14:paraId="6F864321" w14:textId="454D4795" w:rsidR="00F722D2" w:rsidRPr="00843F57" w:rsidRDefault="00FC1714" w:rsidP="008662DA">
      <w:pPr>
        <w:spacing w:after="120"/>
        <w:jc w:val="both"/>
        <w:rPr>
          <w:rFonts w:ascii="Times New Roman" w:hAnsi="Times New Roman" w:cs="Times New Roman"/>
          <w:noProof/>
          <w:sz w:val="24"/>
          <w:szCs w:val="24"/>
        </w:rPr>
      </w:pPr>
      <w:r>
        <w:rPr>
          <w:rFonts w:ascii="Times New Roman" w:hAnsi="Times New Roman" w:cs="Times New Roman"/>
          <w:noProof/>
          <w:sz w:val="24"/>
          <w:szCs w:val="24"/>
        </w:rPr>
        <w:t>A n</w:t>
      </w:r>
      <w:r w:rsidR="008662DA" w:rsidRPr="00843F57">
        <w:rPr>
          <w:rFonts w:ascii="Times New Roman" w:hAnsi="Times New Roman" w:cs="Times New Roman"/>
          <w:noProof/>
          <w:sz w:val="24"/>
          <w:szCs w:val="24"/>
        </w:rPr>
        <w:t xml:space="preserve">ew Regulation </w:t>
      </w:r>
      <w:r w:rsidR="00D32DDF">
        <w:rPr>
          <w:rFonts w:ascii="Times New Roman" w:hAnsi="Times New Roman" w:cs="Times New Roman"/>
          <w:noProof/>
          <w:sz w:val="24"/>
          <w:szCs w:val="24"/>
        </w:rPr>
        <w:t xml:space="preserve">of the European Parliament and of the Council (EU) 2024/1157 on shipments of waste </w:t>
      </w:r>
      <w:r w:rsidR="008662DA" w:rsidRPr="00843F57">
        <w:rPr>
          <w:rFonts w:ascii="Times New Roman" w:hAnsi="Times New Roman" w:cs="Times New Roman"/>
          <w:noProof/>
          <w:sz w:val="24"/>
          <w:szCs w:val="24"/>
        </w:rPr>
        <w:t xml:space="preserve">was adopted on </w:t>
      </w:r>
      <w:r w:rsidR="0027670E">
        <w:rPr>
          <w:rFonts w:ascii="Times New Roman" w:hAnsi="Times New Roman" w:cs="Times New Roman"/>
          <w:noProof/>
          <w:sz w:val="24"/>
          <w:szCs w:val="24"/>
        </w:rPr>
        <w:t>11 April 2024</w:t>
      </w:r>
      <w:r w:rsidR="00D32DDF" w:rsidRPr="2E27594B">
        <w:rPr>
          <w:rStyle w:val="FootnoteReference"/>
          <w:rFonts w:ascii="Times New Roman" w:hAnsi="Times New Roman" w:cs="Times New Roman"/>
          <w:noProof/>
          <w:sz w:val="24"/>
          <w:szCs w:val="24"/>
        </w:rPr>
        <w:footnoteReference w:id="25"/>
      </w:r>
      <w:r w:rsidR="008662DA" w:rsidRPr="00843F57">
        <w:rPr>
          <w:rFonts w:ascii="Times New Roman" w:hAnsi="Times New Roman" w:cs="Times New Roman"/>
          <w:noProof/>
          <w:sz w:val="24"/>
          <w:szCs w:val="24"/>
        </w:rPr>
        <w:t xml:space="preserve">. The present </w:t>
      </w:r>
      <w:r w:rsidR="0B513FC1" w:rsidRPr="00843F57">
        <w:rPr>
          <w:rFonts w:ascii="Times New Roman" w:hAnsi="Times New Roman" w:cs="Times New Roman"/>
          <w:noProof/>
          <w:sz w:val="24"/>
          <w:szCs w:val="24"/>
        </w:rPr>
        <w:t>empowerments</w:t>
      </w:r>
      <w:r w:rsidR="008662DA" w:rsidRPr="00843F57">
        <w:rPr>
          <w:rFonts w:ascii="Times New Roman" w:hAnsi="Times New Roman" w:cs="Times New Roman"/>
          <w:noProof/>
          <w:sz w:val="24"/>
          <w:szCs w:val="24"/>
        </w:rPr>
        <w:t xml:space="preserve"> contained in </w:t>
      </w:r>
      <w:r w:rsidR="00D32DDF">
        <w:rPr>
          <w:rFonts w:ascii="Times New Roman" w:hAnsi="Times New Roman" w:cs="Times New Roman"/>
          <w:noProof/>
          <w:sz w:val="24"/>
          <w:szCs w:val="24"/>
        </w:rPr>
        <w:t xml:space="preserve">Regulation (EC) 1013/2006 </w:t>
      </w:r>
      <w:r w:rsidR="008662DA" w:rsidRPr="00843F57">
        <w:rPr>
          <w:rFonts w:ascii="Times New Roman" w:hAnsi="Times New Roman" w:cs="Times New Roman"/>
          <w:noProof/>
          <w:sz w:val="24"/>
          <w:szCs w:val="24"/>
        </w:rPr>
        <w:t xml:space="preserve">remain relevant and should be maintained </w:t>
      </w:r>
      <w:r w:rsidR="002D7F5F">
        <w:rPr>
          <w:rFonts w:ascii="Times New Roman" w:hAnsi="Times New Roman" w:cs="Times New Roman"/>
          <w:noProof/>
          <w:sz w:val="24"/>
          <w:szCs w:val="24"/>
        </w:rPr>
        <w:t>as long as</w:t>
      </w:r>
      <w:r w:rsidR="002D7F5F" w:rsidRPr="00843F57">
        <w:rPr>
          <w:rFonts w:ascii="Times New Roman" w:hAnsi="Times New Roman" w:cs="Times New Roman"/>
          <w:noProof/>
          <w:sz w:val="24"/>
          <w:szCs w:val="24"/>
        </w:rPr>
        <w:t xml:space="preserve"> </w:t>
      </w:r>
      <w:r w:rsidR="0055485C">
        <w:rPr>
          <w:rFonts w:ascii="Times New Roman" w:hAnsi="Times New Roman" w:cs="Times New Roman"/>
          <w:noProof/>
          <w:sz w:val="24"/>
          <w:szCs w:val="24"/>
        </w:rPr>
        <w:t>this Regulation appl</w:t>
      </w:r>
      <w:r w:rsidR="002D7F5F">
        <w:rPr>
          <w:rFonts w:ascii="Times New Roman" w:hAnsi="Times New Roman" w:cs="Times New Roman"/>
          <w:noProof/>
          <w:sz w:val="24"/>
          <w:szCs w:val="24"/>
        </w:rPr>
        <w:t>ies</w:t>
      </w:r>
      <w:r w:rsidR="008662DA" w:rsidRPr="00843F57">
        <w:rPr>
          <w:rFonts w:ascii="Times New Roman" w:hAnsi="Times New Roman" w:cs="Times New Roman"/>
          <w:noProof/>
          <w:sz w:val="24"/>
          <w:szCs w:val="24"/>
        </w:rPr>
        <w:t xml:space="preserve">. </w:t>
      </w:r>
    </w:p>
    <w:p w14:paraId="361E3C7D" w14:textId="7694A391" w:rsidR="00441B18" w:rsidRPr="00441B18" w:rsidRDefault="00441B18" w:rsidP="00441B18">
      <w:pPr>
        <w:pStyle w:val="ListParagraph"/>
        <w:numPr>
          <w:ilvl w:val="1"/>
          <w:numId w:val="10"/>
        </w:numPr>
        <w:spacing w:before="120" w:after="120" w:line="240" w:lineRule="auto"/>
        <w:ind w:left="567" w:hanging="567"/>
        <w:jc w:val="both"/>
        <w:rPr>
          <w:rFonts w:ascii="Times New Roman" w:eastAsia="Times New Roman" w:hAnsi="Times New Roman" w:cs="Times New Roman"/>
          <w:b/>
          <w:bCs/>
          <w:noProof/>
          <w:sz w:val="24"/>
          <w:szCs w:val="24"/>
          <w:lang w:eastAsia="en-GB"/>
        </w:rPr>
      </w:pPr>
      <w:r w:rsidRPr="00441B18">
        <w:rPr>
          <w:rFonts w:ascii="Times New Roman" w:eastAsia="Times New Roman" w:hAnsi="Times New Roman" w:cs="Times New Roman"/>
          <w:b/>
          <w:bCs/>
          <w:noProof/>
          <w:sz w:val="24"/>
          <w:szCs w:val="24"/>
          <w:lang w:eastAsia="en-GB"/>
        </w:rPr>
        <w:t>Exercise of delegation</w:t>
      </w:r>
    </w:p>
    <w:p w14:paraId="01A3E621" w14:textId="02BEEE3C" w:rsidR="00B13821" w:rsidRPr="00D86DF9" w:rsidRDefault="007F430D" w:rsidP="00D86DF9">
      <w:pPr>
        <w:spacing w:before="120" w:after="120"/>
        <w:jc w:val="both"/>
        <w:rPr>
          <w:rFonts w:ascii="Times New Roman" w:hAnsi="Times New Roman"/>
          <w:bCs/>
          <w:noProof/>
          <w:sz w:val="24"/>
          <w:szCs w:val="24"/>
        </w:rPr>
      </w:pPr>
      <w:r>
        <w:rPr>
          <w:rFonts w:ascii="Times New Roman" w:hAnsi="Times New Roman"/>
          <w:bCs/>
          <w:noProof/>
          <w:sz w:val="24"/>
          <w:szCs w:val="24"/>
        </w:rPr>
        <w:lastRenderedPageBreak/>
        <w:t xml:space="preserve">During the period covered by this report, the </w:t>
      </w:r>
      <w:r w:rsidR="008F6421">
        <w:rPr>
          <w:rFonts w:ascii="Times New Roman" w:hAnsi="Times New Roman"/>
          <w:bCs/>
          <w:noProof/>
          <w:sz w:val="24"/>
          <w:szCs w:val="24"/>
        </w:rPr>
        <w:t xml:space="preserve">Commission adopted a </w:t>
      </w:r>
      <w:r w:rsidR="008F6421">
        <w:rPr>
          <w:rFonts w:ascii="Times New Roman" w:eastAsia="Times New Roman" w:hAnsi="Times New Roman" w:cs="Times New Roman"/>
          <w:noProof/>
          <w:sz w:val="24"/>
          <w:szCs w:val="24"/>
          <w:lang w:eastAsia="en-GB"/>
        </w:rPr>
        <w:t>C</w:t>
      </w:r>
      <w:r w:rsidR="008F6421" w:rsidRPr="009C38FD">
        <w:rPr>
          <w:rFonts w:ascii="Times New Roman" w:eastAsia="Times New Roman" w:hAnsi="Times New Roman" w:cs="Times New Roman"/>
          <w:noProof/>
          <w:sz w:val="24"/>
          <w:szCs w:val="24"/>
          <w:lang w:eastAsia="en-GB"/>
        </w:rPr>
        <w:t>ommission Delegated Regulation (EU) 2020/2174 of 19 October 2020 amending Annexes IC, III, IIIA, IV, V, VII and VIII to Regulation (EC) No 1013/2006</w:t>
      </w:r>
      <w:r w:rsidR="008F6421">
        <w:rPr>
          <w:rStyle w:val="FootnoteReference"/>
          <w:rFonts w:ascii="Times New Roman" w:eastAsia="Times New Roman" w:hAnsi="Times New Roman" w:cs="Times New Roman"/>
          <w:noProof/>
          <w:sz w:val="24"/>
          <w:szCs w:val="24"/>
          <w:lang w:eastAsia="en-GB"/>
        </w:rPr>
        <w:footnoteReference w:id="26"/>
      </w:r>
      <w:r w:rsidR="00FC1714">
        <w:rPr>
          <w:rFonts w:ascii="Times New Roman" w:eastAsia="Times New Roman" w:hAnsi="Times New Roman" w:cs="Times New Roman"/>
          <w:noProof/>
          <w:sz w:val="24"/>
          <w:szCs w:val="24"/>
          <w:lang w:eastAsia="en-GB"/>
        </w:rPr>
        <w:t xml:space="preserve"> to </w:t>
      </w:r>
      <w:r w:rsidR="002D7F5F">
        <w:rPr>
          <w:rFonts w:ascii="Times New Roman" w:eastAsia="Times New Roman" w:hAnsi="Times New Roman" w:cs="Times New Roman"/>
          <w:noProof/>
          <w:sz w:val="24"/>
          <w:szCs w:val="24"/>
          <w:lang w:eastAsia="en-GB"/>
        </w:rPr>
        <w:t>reflect</w:t>
      </w:r>
      <w:r w:rsidR="00FC1714">
        <w:rPr>
          <w:rFonts w:ascii="Times New Roman" w:eastAsia="Times New Roman" w:hAnsi="Times New Roman" w:cs="Times New Roman"/>
          <w:noProof/>
          <w:sz w:val="24"/>
          <w:szCs w:val="24"/>
          <w:lang w:eastAsia="en-GB"/>
        </w:rPr>
        <w:t xml:space="preserve"> </w:t>
      </w:r>
      <w:r w:rsidR="002D7F5F">
        <w:rPr>
          <w:rFonts w:ascii="Times New Roman" w:eastAsia="Times New Roman" w:hAnsi="Times New Roman" w:cs="Times New Roman"/>
          <w:noProof/>
          <w:sz w:val="24"/>
          <w:szCs w:val="24"/>
          <w:lang w:eastAsia="en-GB"/>
        </w:rPr>
        <w:t xml:space="preserve">the </w:t>
      </w:r>
      <w:r w:rsidR="00B13821" w:rsidRPr="009C38FD">
        <w:rPr>
          <w:rFonts w:ascii="Times New Roman" w:eastAsia="Times New Roman" w:hAnsi="Times New Roman" w:cs="Times New Roman"/>
          <w:noProof/>
          <w:sz w:val="24"/>
          <w:szCs w:val="24"/>
          <w:lang w:eastAsia="en-GB"/>
        </w:rPr>
        <w:t xml:space="preserve">changes to </w:t>
      </w:r>
      <w:r w:rsidR="00FC1714">
        <w:rPr>
          <w:rFonts w:ascii="Times New Roman" w:eastAsia="Times New Roman" w:hAnsi="Times New Roman" w:cs="Times New Roman"/>
          <w:noProof/>
          <w:sz w:val="24"/>
          <w:szCs w:val="24"/>
          <w:lang w:eastAsia="en-GB"/>
        </w:rPr>
        <w:t xml:space="preserve">the </w:t>
      </w:r>
      <w:r w:rsidR="00B13821" w:rsidRPr="009C38FD">
        <w:rPr>
          <w:rFonts w:ascii="Times New Roman" w:eastAsia="Times New Roman" w:hAnsi="Times New Roman" w:cs="Times New Roman"/>
          <w:noProof/>
          <w:sz w:val="24"/>
          <w:szCs w:val="24"/>
          <w:lang w:eastAsia="en-GB"/>
        </w:rPr>
        <w:t>entries on plastic waste in the Annexes to the Basel Convention.</w:t>
      </w:r>
    </w:p>
    <w:p w14:paraId="72C2CBF3" w14:textId="77777777" w:rsidR="00D86DF9" w:rsidRPr="00B13821" w:rsidRDefault="00D86DF9" w:rsidP="00B13821">
      <w:pPr>
        <w:spacing w:after="120"/>
        <w:jc w:val="both"/>
        <w:rPr>
          <w:rFonts w:ascii="Times New Roman" w:hAnsi="Times New Roman" w:cs="Times New Roman"/>
          <w:b/>
          <w:noProof/>
          <w:color w:val="000000"/>
          <w:sz w:val="24"/>
          <w:szCs w:val="24"/>
          <w:shd w:val="clear" w:color="auto" w:fill="FFFFFF"/>
        </w:rPr>
      </w:pPr>
    </w:p>
    <w:p w14:paraId="011DE604" w14:textId="64C5916E" w:rsidR="00076422" w:rsidRPr="00310516" w:rsidRDefault="00076422" w:rsidP="00076422">
      <w:pPr>
        <w:pStyle w:val="ListParagraph"/>
        <w:numPr>
          <w:ilvl w:val="0"/>
          <w:numId w:val="10"/>
        </w:numPr>
        <w:spacing w:after="120"/>
        <w:contextualSpacing w:val="0"/>
        <w:jc w:val="both"/>
        <w:rPr>
          <w:rFonts w:ascii="Times New Roman" w:hAnsi="Times New Roman" w:cs="Times New Roman"/>
          <w:b/>
          <w:noProof/>
          <w:color w:val="000000"/>
          <w:sz w:val="24"/>
          <w:szCs w:val="24"/>
          <w:shd w:val="clear" w:color="auto" w:fill="FFFFFF"/>
        </w:rPr>
      </w:pPr>
      <w:r w:rsidRPr="00310516">
        <w:rPr>
          <w:rFonts w:ascii="Times New Roman" w:hAnsi="Times New Roman" w:cs="Times New Roman"/>
          <w:b/>
          <w:noProof/>
          <w:color w:val="000000"/>
          <w:sz w:val="24"/>
          <w:szCs w:val="24"/>
          <w:shd w:val="clear" w:color="auto" w:fill="FFFFFF"/>
        </w:rPr>
        <w:t xml:space="preserve">Directive </w:t>
      </w:r>
      <w:r w:rsidR="00AF628A" w:rsidRPr="00310516">
        <w:rPr>
          <w:rFonts w:ascii="Times New Roman" w:hAnsi="Times New Roman" w:cs="Times New Roman"/>
          <w:b/>
          <w:noProof/>
          <w:color w:val="000000"/>
          <w:sz w:val="24"/>
          <w:szCs w:val="24"/>
          <w:shd w:val="clear" w:color="auto" w:fill="FFFFFF"/>
        </w:rPr>
        <w:t>2006/66/EC</w:t>
      </w:r>
    </w:p>
    <w:p w14:paraId="6A588E1C" w14:textId="07581C87" w:rsidR="00B80B1E" w:rsidRPr="00310516" w:rsidRDefault="00B80B1E" w:rsidP="00195C26">
      <w:pPr>
        <w:spacing w:after="120"/>
        <w:jc w:val="both"/>
        <w:rPr>
          <w:rFonts w:ascii="Times New Roman" w:hAnsi="Times New Roman" w:cs="Times New Roman"/>
          <w:noProof/>
          <w:sz w:val="24"/>
          <w:szCs w:val="24"/>
          <w:shd w:val="clear" w:color="auto" w:fill="FFFFFF"/>
        </w:rPr>
      </w:pPr>
      <w:r w:rsidRPr="00310516">
        <w:rPr>
          <w:rFonts w:ascii="Times New Roman" w:hAnsi="Times New Roman" w:cs="Times New Roman"/>
          <w:bCs/>
          <w:noProof/>
          <w:sz w:val="24"/>
          <w:szCs w:val="24"/>
          <w:shd w:val="clear" w:color="auto" w:fill="FFFFFF"/>
        </w:rPr>
        <w:t xml:space="preserve">Directive 2006/66/EC </w:t>
      </w:r>
      <w:r w:rsidR="007A7A06" w:rsidRPr="2E27594B">
        <w:rPr>
          <w:rFonts w:ascii="Times New Roman" w:hAnsi="Times New Roman" w:cs="Times New Roman"/>
          <w:noProof/>
          <w:sz w:val="24"/>
          <w:szCs w:val="24"/>
          <w:shd w:val="clear" w:color="auto" w:fill="FFFFFF"/>
        </w:rPr>
        <w:t xml:space="preserve">empowers the Commission to adopt delegated acts, as </w:t>
      </w:r>
      <w:r w:rsidR="2EEF87FA" w:rsidRPr="2E27594B">
        <w:rPr>
          <w:rFonts w:ascii="Times New Roman" w:hAnsi="Times New Roman" w:cs="Times New Roman"/>
          <w:noProof/>
          <w:sz w:val="24"/>
          <w:szCs w:val="24"/>
          <w:shd w:val="clear" w:color="auto" w:fill="FFFFFF"/>
        </w:rPr>
        <w:t>referred</w:t>
      </w:r>
      <w:r w:rsidR="007A7A06" w:rsidRPr="2E27594B">
        <w:rPr>
          <w:rFonts w:ascii="Times New Roman" w:hAnsi="Times New Roman" w:cs="Times New Roman"/>
          <w:noProof/>
          <w:sz w:val="24"/>
          <w:szCs w:val="24"/>
          <w:shd w:val="clear" w:color="auto" w:fill="FFFFFF"/>
        </w:rPr>
        <w:t xml:space="preserve"> to in Article 23a(2)</w:t>
      </w:r>
      <w:r w:rsidR="002D7F5F">
        <w:rPr>
          <w:rFonts w:ascii="Times New Roman" w:hAnsi="Times New Roman" w:cs="Times New Roman"/>
          <w:noProof/>
          <w:sz w:val="24"/>
          <w:szCs w:val="24"/>
          <w:shd w:val="clear" w:color="auto" w:fill="FFFFFF"/>
        </w:rPr>
        <w:t>,</w:t>
      </w:r>
      <w:r w:rsidR="007A7A06" w:rsidRPr="2E27594B">
        <w:rPr>
          <w:rFonts w:ascii="Times New Roman" w:hAnsi="Times New Roman" w:cs="Times New Roman"/>
          <w:noProof/>
          <w:sz w:val="24"/>
          <w:szCs w:val="24"/>
          <w:shd w:val="clear" w:color="auto" w:fill="FFFFFF"/>
        </w:rPr>
        <w:t xml:space="preserve"> in view of:</w:t>
      </w:r>
    </w:p>
    <w:p w14:paraId="6250C53A" w14:textId="69DBFA39" w:rsidR="00603868" w:rsidRPr="00310516" w:rsidRDefault="00603868" w:rsidP="00603868">
      <w:pPr>
        <w:pStyle w:val="ListParagraph"/>
        <w:numPr>
          <w:ilvl w:val="0"/>
          <w:numId w:val="15"/>
        </w:numPr>
        <w:spacing w:after="120"/>
        <w:jc w:val="both"/>
        <w:rPr>
          <w:rFonts w:ascii="Times New Roman" w:hAnsi="Times New Roman" w:cs="Times New Roman"/>
          <w:bCs/>
          <w:noProof/>
          <w:sz w:val="24"/>
          <w:szCs w:val="24"/>
          <w:shd w:val="clear" w:color="auto" w:fill="FFFFFF"/>
        </w:rPr>
      </w:pPr>
      <w:r w:rsidRPr="00310516">
        <w:rPr>
          <w:rFonts w:ascii="Times New Roman" w:hAnsi="Times New Roman" w:cs="Times New Roman"/>
          <w:bCs/>
          <w:noProof/>
          <w:sz w:val="24"/>
          <w:szCs w:val="24"/>
          <w:shd w:val="clear" w:color="auto" w:fill="FFFFFF"/>
        </w:rPr>
        <w:t>laying down criteria for the assessment of equivalent conditions for the recycling of waste batteries and accumulators taking place outside of the EU, as provided for in Article 15(3), to supplement the rul</w:t>
      </w:r>
      <w:r w:rsidR="00BF5D1D">
        <w:rPr>
          <w:rFonts w:ascii="Times New Roman" w:hAnsi="Times New Roman" w:cs="Times New Roman"/>
          <w:bCs/>
          <w:noProof/>
          <w:sz w:val="24"/>
          <w:szCs w:val="24"/>
          <w:shd w:val="clear" w:color="auto" w:fill="FFFFFF"/>
        </w:rPr>
        <w:t>es referred to by Article 15(2);</w:t>
      </w:r>
    </w:p>
    <w:p w14:paraId="4FAB21FA" w14:textId="77777777" w:rsidR="00F07557" w:rsidRPr="00310516" w:rsidRDefault="00AA62AF" w:rsidP="00C21E29">
      <w:pPr>
        <w:pStyle w:val="ListParagraph"/>
        <w:numPr>
          <w:ilvl w:val="0"/>
          <w:numId w:val="15"/>
        </w:numPr>
        <w:spacing w:after="120"/>
        <w:jc w:val="both"/>
        <w:rPr>
          <w:rFonts w:ascii="Times New Roman" w:hAnsi="Times New Roman" w:cs="Times New Roman"/>
          <w:bCs/>
          <w:noProof/>
          <w:sz w:val="24"/>
          <w:szCs w:val="24"/>
          <w:shd w:val="clear" w:color="auto" w:fill="FFFFFF"/>
        </w:rPr>
      </w:pPr>
      <w:r w:rsidRPr="00310516">
        <w:rPr>
          <w:rFonts w:ascii="Times New Roman" w:hAnsi="Times New Roman" w:cs="Times New Roman"/>
          <w:bCs/>
          <w:noProof/>
          <w:sz w:val="24"/>
          <w:szCs w:val="24"/>
          <w:shd w:val="clear" w:color="auto" w:fill="FFFFFF"/>
        </w:rPr>
        <w:t>establishing detailed rules supplementing</w:t>
      </w:r>
      <w:r w:rsidR="00C21E29" w:rsidRPr="00310516">
        <w:rPr>
          <w:rFonts w:ascii="Times New Roman" w:hAnsi="Times New Roman" w:cs="Times New Roman"/>
          <w:bCs/>
          <w:noProof/>
          <w:sz w:val="24"/>
          <w:szCs w:val="24"/>
          <w:shd w:val="clear" w:color="auto" w:fill="FFFFFF"/>
        </w:rPr>
        <w:t xml:space="preserve"> the requirement to indicate the capacity of portable and automotive batteries and accumulators on them in a visible, legible and indelible form</w:t>
      </w:r>
      <w:r w:rsidR="00F07557" w:rsidRPr="00310516">
        <w:rPr>
          <w:rFonts w:ascii="Times New Roman" w:hAnsi="Times New Roman" w:cs="Times New Roman"/>
          <w:bCs/>
          <w:noProof/>
          <w:sz w:val="24"/>
          <w:szCs w:val="24"/>
          <w:shd w:val="clear" w:color="auto" w:fill="FFFFFF"/>
        </w:rPr>
        <w:t>, as provided for in Article 21(2);</w:t>
      </w:r>
    </w:p>
    <w:p w14:paraId="734360D7" w14:textId="77777777" w:rsidR="00806D9C" w:rsidRDefault="0013787E" w:rsidP="00806D9C">
      <w:pPr>
        <w:pStyle w:val="ListParagraph"/>
        <w:numPr>
          <w:ilvl w:val="0"/>
          <w:numId w:val="15"/>
        </w:numPr>
        <w:spacing w:after="120"/>
        <w:jc w:val="both"/>
        <w:rPr>
          <w:rFonts w:ascii="Times New Roman" w:hAnsi="Times New Roman" w:cs="Times New Roman"/>
          <w:bCs/>
          <w:noProof/>
          <w:sz w:val="24"/>
          <w:szCs w:val="24"/>
          <w:shd w:val="clear" w:color="auto" w:fill="FFFFFF"/>
        </w:rPr>
      </w:pPr>
      <w:r w:rsidRPr="00310516">
        <w:rPr>
          <w:rFonts w:ascii="Times New Roman" w:hAnsi="Times New Roman" w:cs="Times New Roman"/>
          <w:bCs/>
          <w:noProof/>
          <w:sz w:val="24"/>
          <w:szCs w:val="24"/>
          <w:shd w:val="clear" w:color="auto" w:fill="FFFFFF"/>
        </w:rPr>
        <w:t>granting exemptions from</w:t>
      </w:r>
      <w:r w:rsidR="00806D9C">
        <w:rPr>
          <w:rFonts w:ascii="Times New Roman" w:hAnsi="Times New Roman" w:cs="Times New Roman"/>
          <w:bCs/>
          <w:noProof/>
          <w:sz w:val="24"/>
          <w:szCs w:val="24"/>
          <w:shd w:val="clear" w:color="auto" w:fill="FFFFFF"/>
        </w:rPr>
        <w:t xml:space="preserve"> labelling requirements set in A</w:t>
      </w:r>
      <w:r w:rsidRPr="00310516">
        <w:rPr>
          <w:rFonts w:ascii="Times New Roman" w:hAnsi="Times New Roman" w:cs="Times New Roman"/>
          <w:bCs/>
          <w:noProof/>
          <w:sz w:val="24"/>
          <w:szCs w:val="24"/>
          <w:shd w:val="clear" w:color="auto" w:fill="FFFFFF"/>
        </w:rPr>
        <w:t>rticle 21</w:t>
      </w:r>
      <w:r w:rsidR="00F07557" w:rsidRPr="00310516">
        <w:rPr>
          <w:rFonts w:ascii="Times New Roman" w:hAnsi="Times New Roman" w:cs="Times New Roman"/>
          <w:bCs/>
          <w:noProof/>
          <w:sz w:val="24"/>
          <w:szCs w:val="24"/>
          <w:shd w:val="clear" w:color="auto" w:fill="FFFFFF"/>
        </w:rPr>
        <w:t>, as provided for in Article 21(7)</w:t>
      </w:r>
      <w:r w:rsidRPr="00310516">
        <w:rPr>
          <w:rFonts w:ascii="Times New Roman" w:hAnsi="Times New Roman" w:cs="Times New Roman"/>
          <w:bCs/>
          <w:noProof/>
          <w:sz w:val="24"/>
          <w:szCs w:val="24"/>
          <w:shd w:val="clear" w:color="auto" w:fill="FFFFFF"/>
        </w:rPr>
        <w:t>.</w:t>
      </w:r>
    </w:p>
    <w:p w14:paraId="7AE6FCF5" w14:textId="2FCEA323" w:rsidR="00806D9C" w:rsidRPr="004C46BE" w:rsidRDefault="004622C3" w:rsidP="004C46BE">
      <w:pPr>
        <w:spacing w:after="120"/>
        <w:jc w:val="both"/>
        <w:rPr>
          <w:rFonts w:ascii="Times New Roman" w:hAnsi="Times New Roman" w:cs="Times New Roman"/>
          <w:bCs/>
          <w:noProof/>
          <w:sz w:val="24"/>
          <w:szCs w:val="24"/>
          <w:shd w:val="clear" w:color="auto" w:fill="FFFFFF"/>
        </w:rPr>
      </w:pPr>
      <w:r>
        <w:rPr>
          <w:rFonts w:ascii="Times New Roman" w:hAnsi="Times New Roman" w:cs="Times New Roman"/>
          <w:bCs/>
          <w:noProof/>
          <w:sz w:val="24"/>
          <w:szCs w:val="24"/>
          <w:shd w:val="clear" w:color="auto" w:fill="FFFFFF"/>
        </w:rPr>
        <w:t xml:space="preserve">Directive </w:t>
      </w:r>
      <w:r w:rsidR="003C1BAC" w:rsidRPr="00310516">
        <w:rPr>
          <w:rFonts w:ascii="Times New Roman" w:hAnsi="Times New Roman" w:cs="Times New Roman"/>
          <w:bCs/>
          <w:noProof/>
          <w:sz w:val="24"/>
          <w:szCs w:val="24"/>
          <w:shd w:val="clear" w:color="auto" w:fill="FFFFFF"/>
        </w:rPr>
        <w:t xml:space="preserve">2006/66/EC </w:t>
      </w:r>
      <w:r>
        <w:rPr>
          <w:rFonts w:ascii="Times New Roman" w:hAnsi="Times New Roman" w:cs="Times New Roman"/>
          <w:bCs/>
          <w:noProof/>
          <w:sz w:val="24"/>
          <w:szCs w:val="24"/>
          <w:shd w:val="clear" w:color="auto" w:fill="FFFFFF"/>
        </w:rPr>
        <w:t xml:space="preserve">was repealed by </w:t>
      </w:r>
      <w:r w:rsidRPr="004622C3">
        <w:rPr>
          <w:rFonts w:ascii="Times New Roman" w:hAnsi="Times New Roman" w:cs="Times New Roman"/>
          <w:bCs/>
          <w:noProof/>
          <w:sz w:val="24"/>
          <w:szCs w:val="24"/>
          <w:shd w:val="clear" w:color="auto" w:fill="FFFFFF"/>
        </w:rPr>
        <w:t>Regulation (EU) 2023/1542 of the European Parliament and of the Council of 12 July 2023 concerning batteries and waste batteries</w:t>
      </w:r>
      <w:r>
        <w:rPr>
          <w:rStyle w:val="FootnoteReference"/>
          <w:rFonts w:ascii="Times New Roman" w:hAnsi="Times New Roman" w:cs="Times New Roman"/>
          <w:bCs/>
          <w:noProof/>
          <w:sz w:val="24"/>
          <w:szCs w:val="24"/>
          <w:shd w:val="clear" w:color="auto" w:fill="FFFFFF"/>
        </w:rPr>
        <w:footnoteReference w:id="27"/>
      </w:r>
      <w:r>
        <w:rPr>
          <w:rFonts w:ascii="Times New Roman" w:hAnsi="Times New Roman" w:cs="Times New Roman"/>
          <w:bCs/>
          <w:noProof/>
          <w:sz w:val="24"/>
          <w:szCs w:val="24"/>
          <w:shd w:val="clear" w:color="auto" w:fill="FFFFFF"/>
        </w:rPr>
        <w:t xml:space="preserve"> with effect from </w:t>
      </w:r>
      <w:r w:rsidR="004B5812">
        <w:rPr>
          <w:rFonts w:ascii="Times New Roman" w:hAnsi="Times New Roman" w:cs="Times New Roman"/>
          <w:bCs/>
          <w:noProof/>
          <w:sz w:val="24"/>
          <w:szCs w:val="24"/>
          <w:shd w:val="clear" w:color="auto" w:fill="FFFFFF"/>
        </w:rPr>
        <w:t xml:space="preserve">18 August 2025. Thus, the </w:t>
      </w:r>
      <w:r w:rsidR="006C1FB1" w:rsidRPr="00444F9A">
        <w:rPr>
          <w:rFonts w:ascii="Times New Roman" w:hAnsi="Times New Roman" w:cs="Times New Roman"/>
          <w:noProof/>
          <w:sz w:val="24"/>
        </w:rPr>
        <w:t xml:space="preserve">Commission is not likely to exercise </w:t>
      </w:r>
      <w:r w:rsidR="004B5812">
        <w:rPr>
          <w:rFonts w:ascii="Times New Roman" w:hAnsi="Times New Roman" w:cs="Times New Roman"/>
          <w:noProof/>
          <w:sz w:val="24"/>
        </w:rPr>
        <w:t xml:space="preserve">any </w:t>
      </w:r>
      <w:r w:rsidR="006C1FB1" w:rsidRPr="00444F9A">
        <w:rPr>
          <w:rFonts w:ascii="Times New Roman" w:hAnsi="Times New Roman" w:cs="Times New Roman"/>
          <w:noProof/>
          <w:sz w:val="24"/>
        </w:rPr>
        <w:t>empowerment</w:t>
      </w:r>
      <w:r w:rsidR="00280617">
        <w:rPr>
          <w:rFonts w:ascii="Times New Roman" w:hAnsi="Times New Roman" w:cs="Times New Roman"/>
          <w:noProof/>
          <w:sz w:val="24"/>
        </w:rPr>
        <w:t>s</w:t>
      </w:r>
      <w:r w:rsidR="006C1FB1" w:rsidRPr="00444F9A">
        <w:rPr>
          <w:rFonts w:ascii="Times New Roman" w:hAnsi="Times New Roman" w:cs="Times New Roman"/>
          <w:noProof/>
          <w:sz w:val="24"/>
        </w:rPr>
        <w:t xml:space="preserve"> </w:t>
      </w:r>
      <w:r w:rsidR="00280617">
        <w:rPr>
          <w:rFonts w:ascii="Times New Roman" w:hAnsi="Times New Roman" w:cs="Times New Roman"/>
          <w:noProof/>
          <w:sz w:val="24"/>
        </w:rPr>
        <w:t>from th</w:t>
      </w:r>
      <w:r w:rsidR="00E33C3A">
        <w:rPr>
          <w:rFonts w:ascii="Times New Roman" w:hAnsi="Times New Roman" w:cs="Times New Roman"/>
          <w:noProof/>
          <w:sz w:val="24"/>
        </w:rPr>
        <w:t xml:space="preserve">is </w:t>
      </w:r>
      <w:r w:rsidR="006C1FB1" w:rsidRPr="00444F9A">
        <w:rPr>
          <w:rFonts w:ascii="Times New Roman" w:hAnsi="Times New Roman" w:cs="Times New Roman"/>
          <w:noProof/>
          <w:sz w:val="24"/>
        </w:rPr>
        <w:t>Directive in the future.</w:t>
      </w:r>
    </w:p>
    <w:p w14:paraId="469A143B" w14:textId="77777777" w:rsidR="00076422" w:rsidRPr="00310516" w:rsidRDefault="00076422" w:rsidP="00076422">
      <w:pPr>
        <w:pStyle w:val="ListParagraph"/>
        <w:numPr>
          <w:ilvl w:val="1"/>
          <w:numId w:val="10"/>
        </w:numPr>
        <w:spacing w:after="120"/>
        <w:ind w:left="567" w:hanging="567"/>
        <w:contextualSpacing w:val="0"/>
        <w:jc w:val="both"/>
        <w:rPr>
          <w:rFonts w:ascii="Times New Roman" w:hAnsi="Times New Roman" w:cs="Times New Roman"/>
          <w:b/>
          <w:noProof/>
          <w:sz w:val="24"/>
          <w:szCs w:val="24"/>
        </w:rPr>
      </w:pPr>
      <w:r w:rsidRPr="00310516">
        <w:rPr>
          <w:rFonts w:ascii="Times New Roman" w:hAnsi="Times New Roman" w:cs="Times New Roman"/>
          <w:b/>
          <w:noProof/>
          <w:sz w:val="24"/>
          <w:szCs w:val="24"/>
        </w:rPr>
        <w:t>Exercise of Delegation</w:t>
      </w:r>
    </w:p>
    <w:p w14:paraId="34EA7D65" w14:textId="729C437E" w:rsidR="00FC1714" w:rsidRPr="00310516" w:rsidRDefault="00FC1714" w:rsidP="00076422">
      <w:pPr>
        <w:spacing w:after="120"/>
        <w:jc w:val="both"/>
        <w:rPr>
          <w:rFonts w:ascii="Times New Roman" w:hAnsi="Times New Roman" w:cs="Times New Roman"/>
          <w:noProof/>
          <w:sz w:val="24"/>
          <w:szCs w:val="24"/>
        </w:rPr>
      </w:pPr>
      <w:r w:rsidRPr="00310516">
        <w:rPr>
          <w:rFonts w:ascii="Times New Roman" w:hAnsi="Times New Roman" w:cs="Times New Roman"/>
          <w:noProof/>
          <w:sz w:val="24"/>
          <w:szCs w:val="24"/>
        </w:rPr>
        <w:t xml:space="preserve">During the period covered by </w:t>
      </w:r>
      <w:r>
        <w:rPr>
          <w:rFonts w:ascii="Times New Roman" w:hAnsi="Times New Roman" w:cs="Times New Roman"/>
          <w:noProof/>
          <w:sz w:val="24"/>
          <w:szCs w:val="24"/>
        </w:rPr>
        <w:t xml:space="preserve">this </w:t>
      </w:r>
      <w:r w:rsidRPr="00310516">
        <w:rPr>
          <w:rFonts w:ascii="Times New Roman" w:hAnsi="Times New Roman" w:cs="Times New Roman"/>
          <w:noProof/>
          <w:sz w:val="24"/>
          <w:szCs w:val="24"/>
        </w:rPr>
        <w:t xml:space="preserve">report, the Commission did not make use of the delegated powers conferred </w:t>
      </w:r>
      <w:r>
        <w:rPr>
          <w:rFonts w:ascii="Times New Roman" w:hAnsi="Times New Roman" w:cs="Times New Roman"/>
          <w:noProof/>
          <w:sz w:val="24"/>
          <w:szCs w:val="24"/>
        </w:rPr>
        <w:t>up</w:t>
      </w:r>
      <w:r w:rsidRPr="00310516">
        <w:rPr>
          <w:rFonts w:ascii="Times New Roman" w:hAnsi="Times New Roman" w:cs="Times New Roman"/>
          <w:noProof/>
          <w:sz w:val="24"/>
          <w:szCs w:val="24"/>
        </w:rPr>
        <w:t xml:space="preserve">on it under </w:t>
      </w:r>
      <w:r>
        <w:rPr>
          <w:rFonts w:ascii="Times New Roman" w:hAnsi="Times New Roman" w:cs="Times New Roman"/>
          <w:bCs/>
          <w:noProof/>
          <w:sz w:val="24"/>
          <w:szCs w:val="24"/>
          <w:shd w:val="clear" w:color="auto" w:fill="FFFFFF"/>
        </w:rPr>
        <w:t xml:space="preserve">Directive </w:t>
      </w:r>
      <w:r w:rsidRPr="00310516">
        <w:rPr>
          <w:rFonts w:ascii="Times New Roman" w:hAnsi="Times New Roman" w:cs="Times New Roman"/>
          <w:bCs/>
          <w:noProof/>
          <w:sz w:val="24"/>
          <w:szCs w:val="24"/>
          <w:shd w:val="clear" w:color="auto" w:fill="FFFFFF"/>
        </w:rPr>
        <w:t>2006/66/EC</w:t>
      </w:r>
      <w:r w:rsidRPr="00310516">
        <w:rPr>
          <w:rFonts w:ascii="Times New Roman" w:hAnsi="Times New Roman" w:cs="Times New Roman"/>
          <w:noProof/>
          <w:sz w:val="24"/>
          <w:szCs w:val="24"/>
        </w:rPr>
        <w:t>.</w:t>
      </w:r>
      <w:r>
        <w:rPr>
          <w:rFonts w:ascii="Times New Roman" w:hAnsi="Times New Roman" w:cs="Times New Roman"/>
          <w:noProof/>
          <w:sz w:val="24"/>
          <w:szCs w:val="24"/>
        </w:rPr>
        <w:t xml:space="preserve"> However, Commission acts had been adopted in the areas </w:t>
      </w:r>
      <w:r>
        <w:rPr>
          <w:rFonts w:ascii="Times New Roman" w:hAnsi="Times New Roman" w:cs="Times New Roman"/>
          <w:noProof/>
          <w:sz w:val="24"/>
          <w:szCs w:val="24"/>
          <w:lang w:val="en-US"/>
        </w:rPr>
        <w:t>covered by the delegation of powers prior to the period covered by this report.</w:t>
      </w:r>
    </w:p>
    <w:p w14:paraId="471BC32B" w14:textId="77777777" w:rsidR="00603868" w:rsidRPr="00310516" w:rsidRDefault="00603868" w:rsidP="00603868">
      <w:pPr>
        <w:pStyle w:val="ListParagraph"/>
        <w:numPr>
          <w:ilvl w:val="2"/>
          <w:numId w:val="10"/>
        </w:numPr>
        <w:spacing w:after="120"/>
        <w:ind w:left="851" w:hanging="851"/>
        <w:contextualSpacing w:val="0"/>
        <w:jc w:val="both"/>
        <w:rPr>
          <w:rFonts w:ascii="Times New Roman" w:hAnsi="Times New Roman" w:cs="Times New Roman"/>
          <w:b/>
          <w:noProof/>
          <w:sz w:val="24"/>
          <w:szCs w:val="24"/>
        </w:rPr>
      </w:pPr>
      <w:r w:rsidRPr="00310516">
        <w:rPr>
          <w:rFonts w:ascii="Times New Roman" w:hAnsi="Times New Roman" w:cs="Times New Roman"/>
          <w:b/>
          <w:bCs/>
          <w:noProof/>
          <w:sz w:val="24"/>
          <w:szCs w:val="24"/>
          <w:shd w:val="clear" w:color="auto" w:fill="FFFFFF"/>
        </w:rPr>
        <w:t>Criteria for the assessment of equivalent conditions for the recycling of waste batteries and accumulators taking place outside of the EU</w:t>
      </w:r>
    </w:p>
    <w:p w14:paraId="0F1B2BE8" w14:textId="2AC66FE1" w:rsidR="00D500AB" w:rsidRPr="00AE3B65" w:rsidRDefault="00EA1910" w:rsidP="00D500AB">
      <w:pPr>
        <w:spacing w:after="1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Pursuant to Article 15(1) of </w:t>
      </w:r>
      <w:r w:rsidR="00D32DDF">
        <w:rPr>
          <w:rFonts w:ascii="Times New Roman" w:hAnsi="Times New Roman" w:cs="Times New Roman"/>
          <w:noProof/>
          <w:sz w:val="24"/>
          <w:szCs w:val="24"/>
          <w:lang w:val="en-US"/>
        </w:rPr>
        <w:t xml:space="preserve">Directive </w:t>
      </w:r>
      <w:r w:rsidR="00D32DDF" w:rsidRPr="00310516">
        <w:rPr>
          <w:rFonts w:ascii="Times New Roman" w:hAnsi="Times New Roman" w:cs="Times New Roman"/>
          <w:bCs/>
          <w:noProof/>
          <w:sz w:val="24"/>
          <w:szCs w:val="24"/>
          <w:shd w:val="clear" w:color="auto" w:fill="FFFFFF"/>
        </w:rPr>
        <w:t>2006/66/EC</w:t>
      </w:r>
      <w:r>
        <w:rPr>
          <w:rFonts w:ascii="Times New Roman" w:hAnsi="Times New Roman" w:cs="Times New Roman"/>
          <w:noProof/>
          <w:sz w:val="24"/>
          <w:szCs w:val="24"/>
          <w:lang w:val="en-US"/>
        </w:rPr>
        <w:t>, t</w:t>
      </w:r>
      <w:r w:rsidR="00D500AB" w:rsidRPr="00D500AB">
        <w:rPr>
          <w:rFonts w:ascii="Times New Roman" w:hAnsi="Times New Roman" w:cs="Times New Roman"/>
          <w:noProof/>
          <w:sz w:val="24"/>
          <w:szCs w:val="24"/>
          <w:lang w:val="en-US"/>
        </w:rPr>
        <w:t xml:space="preserve">reatment may be undertaken outside the Member State concerned or outside the </w:t>
      </w:r>
      <w:r>
        <w:rPr>
          <w:rFonts w:ascii="Times New Roman" w:hAnsi="Times New Roman" w:cs="Times New Roman"/>
          <w:noProof/>
          <w:sz w:val="24"/>
          <w:szCs w:val="24"/>
          <w:lang w:val="en-US"/>
        </w:rPr>
        <w:t>EU</w:t>
      </w:r>
      <w:r w:rsidR="00D500AB" w:rsidRPr="00D500AB">
        <w:rPr>
          <w:rFonts w:ascii="Times New Roman" w:hAnsi="Times New Roman" w:cs="Times New Roman"/>
          <w:noProof/>
          <w:sz w:val="24"/>
          <w:szCs w:val="24"/>
          <w:lang w:val="en-US"/>
        </w:rPr>
        <w:t>, provided that the shipment of waste batteries and accumulators is in compliance with</w:t>
      </w:r>
      <w:r w:rsidR="00E97ADA">
        <w:rPr>
          <w:rFonts w:ascii="Times New Roman" w:hAnsi="Times New Roman" w:cs="Times New Roman"/>
          <w:noProof/>
          <w:sz w:val="24"/>
          <w:szCs w:val="24"/>
          <w:lang w:val="en-US"/>
        </w:rPr>
        <w:t xml:space="preserve"> </w:t>
      </w:r>
      <w:r w:rsidR="00AB408B">
        <w:rPr>
          <w:rFonts w:ascii="Times New Roman" w:hAnsi="Times New Roman" w:cs="Times New Roman"/>
          <w:noProof/>
          <w:sz w:val="24"/>
          <w:szCs w:val="24"/>
          <w:lang w:val="en-US"/>
        </w:rPr>
        <w:t>R</w:t>
      </w:r>
      <w:r w:rsidR="00E97ADA" w:rsidRPr="00E97ADA">
        <w:rPr>
          <w:rFonts w:ascii="Times New Roman" w:hAnsi="Times New Roman" w:cs="Times New Roman"/>
          <w:noProof/>
          <w:sz w:val="24"/>
          <w:szCs w:val="24"/>
          <w:lang w:val="en-US"/>
        </w:rPr>
        <w:t>egulation (EC) 1013/2006</w:t>
      </w:r>
      <w:r w:rsidR="00E97ADA">
        <w:rPr>
          <w:rFonts w:ascii="Times New Roman" w:hAnsi="Times New Roman" w:cs="Times New Roman"/>
          <w:noProof/>
          <w:sz w:val="24"/>
          <w:szCs w:val="24"/>
          <w:lang w:val="en-US"/>
        </w:rPr>
        <w:t>. According to Article 15(2)</w:t>
      </w:r>
      <w:r w:rsidR="0036799F">
        <w:rPr>
          <w:rFonts w:ascii="Times New Roman" w:hAnsi="Times New Roman" w:cs="Times New Roman"/>
          <w:noProof/>
          <w:sz w:val="24"/>
          <w:szCs w:val="24"/>
          <w:lang w:val="en-US"/>
        </w:rPr>
        <w:t>,</w:t>
      </w:r>
      <w:r w:rsidR="00E97ADA">
        <w:rPr>
          <w:rFonts w:ascii="Times New Roman" w:hAnsi="Times New Roman" w:cs="Times New Roman"/>
          <w:noProof/>
          <w:sz w:val="24"/>
          <w:szCs w:val="24"/>
          <w:lang w:val="en-US"/>
        </w:rPr>
        <w:t xml:space="preserve"> w</w:t>
      </w:r>
      <w:r w:rsidR="00E97ADA" w:rsidRPr="00D500AB">
        <w:rPr>
          <w:rFonts w:ascii="Times New Roman" w:hAnsi="Times New Roman" w:cs="Times New Roman"/>
          <w:noProof/>
          <w:sz w:val="24"/>
          <w:szCs w:val="24"/>
          <w:lang w:val="en-US"/>
        </w:rPr>
        <w:t>aste batteries and accumulators exported out of the</w:t>
      </w:r>
      <w:r w:rsidR="00E97ADA">
        <w:rPr>
          <w:rFonts w:ascii="Times New Roman" w:hAnsi="Times New Roman" w:cs="Times New Roman"/>
          <w:noProof/>
          <w:sz w:val="24"/>
          <w:szCs w:val="24"/>
          <w:lang w:val="en-US"/>
        </w:rPr>
        <w:t xml:space="preserve"> EU</w:t>
      </w:r>
      <w:r w:rsidR="004E6C2E">
        <w:rPr>
          <w:rFonts w:ascii="Times New Roman" w:hAnsi="Times New Roman" w:cs="Times New Roman"/>
          <w:noProof/>
          <w:sz w:val="24"/>
          <w:szCs w:val="24"/>
          <w:lang w:val="en-US"/>
        </w:rPr>
        <w:t xml:space="preserve"> pursuant to respective laws</w:t>
      </w:r>
      <w:r w:rsidR="00E97ADA">
        <w:rPr>
          <w:rFonts w:ascii="Times New Roman" w:hAnsi="Times New Roman" w:cs="Times New Roman"/>
          <w:noProof/>
          <w:sz w:val="24"/>
          <w:szCs w:val="24"/>
          <w:lang w:val="en-US"/>
        </w:rPr>
        <w:t xml:space="preserve"> </w:t>
      </w:r>
      <w:r w:rsidR="00D500AB" w:rsidRPr="00D500AB">
        <w:rPr>
          <w:rFonts w:ascii="Times New Roman" w:hAnsi="Times New Roman" w:cs="Times New Roman"/>
          <w:noProof/>
          <w:sz w:val="24"/>
          <w:szCs w:val="24"/>
          <w:lang w:val="en-US"/>
        </w:rPr>
        <w:t xml:space="preserve">shall count towards the fulfilment of the obligations and efficiencies laid down in Annex III to </w:t>
      </w:r>
      <w:r w:rsidR="00E97ADA">
        <w:rPr>
          <w:rFonts w:ascii="Times New Roman" w:hAnsi="Times New Roman" w:cs="Times New Roman"/>
          <w:noProof/>
          <w:sz w:val="24"/>
          <w:szCs w:val="24"/>
          <w:lang w:val="en-US"/>
        </w:rPr>
        <w:t>th</w:t>
      </w:r>
      <w:r w:rsidR="0057747F">
        <w:rPr>
          <w:rFonts w:ascii="Times New Roman" w:hAnsi="Times New Roman" w:cs="Times New Roman"/>
          <w:noProof/>
          <w:sz w:val="24"/>
          <w:szCs w:val="24"/>
          <w:lang w:val="en-US"/>
        </w:rPr>
        <w:t xml:space="preserve">is </w:t>
      </w:r>
      <w:r w:rsidR="003074D9">
        <w:rPr>
          <w:rFonts w:ascii="Times New Roman" w:hAnsi="Times New Roman" w:cs="Times New Roman"/>
          <w:noProof/>
          <w:sz w:val="24"/>
          <w:szCs w:val="24"/>
          <w:lang w:val="en-US"/>
        </w:rPr>
        <w:t xml:space="preserve">Directive </w:t>
      </w:r>
      <w:r w:rsidR="00D500AB" w:rsidRPr="00D500AB">
        <w:rPr>
          <w:rFonts w:ascii="Times New Roman" w:hAnsi="Times New Roman" w:cs="Times New Roman"/>
          <w:noProof/>
          <w:sz w:val="24"/>
          <w:szCs w:val="24"/>
          <w:lang w:val="en-US"/>
        </w:rPr>
        <w:t>only if there is sound evidence that the recycling operation took place under conditions equivalent to the requirements of this Directive.</w:t>
      </w:r>
      <w:r w:rsidR="004E6C2E">
        <w:rPr>
          <w:rFonts w:ascii="Times New Roman" w:hAnsi="Times New Roman" w:cs="Times New Roman"/>
          <w:noProof/>
          <w:sz w:val="24"/>
          <w:szCs w:val="24"/>
          <w:lang w:val="en-US"/>
        </w:rPr>
        <w:t xml:space="preserve"> The Commission has been entitled to </w:t>
      </w:r>
      <w:r w:rsidR="004E6C2E" w:rsidRPr="004E6C2E">
        <w:rPr>
          <w:rFonts w:ascii="Times New Roman" w:hAnsi="Times New Roman" w:cs="Times New Roman"/>
          <w:noProof/>
          <w:sz w:val="24"/>
          <w:szCs w:val="24"/>
          <w:lang w:val="en-US"/>
        </w:rPr>
        <w:t xml:space="preserve">lay down detailed rules </w:t>
      </w:r>
      <w:r w:rsidR="004E6C2E" w:rsidRPr="00AE3B65">
        <w:rPr>
          <w:rFonts w:ascii="Times New Roman" w:hAnsi="Times New Roman" w:cs="Times New Roman"/>
          <w:noProof/>
          <w:sz w:val="24"/>
          <w:szCs w:val="24"/>
          <w:lang w:val="en-US"/>
        </w:rPr>
        <w:t>supplementing the rules referred to in Article 15(2), in particular criteria for the assessment of equivalent conditions as referred to therein.</w:t>
      </w:r>
    </w:p>
    <w:p w14:paraId="15F2FA6C" w14:textId="6671AAE8" w:rsidR="004A1633" w:rsidRPr="00444F9A" w:rsidRDefault="003D5F4D" w:rsidP="2BD83C06">
      <w:pPr>
        <w:spacing w:after="120"/>
        <w:jc w:val="both"/>
        <w:rPr>
          <w:rFonts w:ascii="Times New Roman" w:hAnsi="Times New Roman" w:cs="Times New Roman"/>
          <w:noProof/>
          <w:sz w:val="24"/>
        </w:rPr>
      </w:pPr>
      <w:r>
        <w:rPr>
          <w:rFonts w:ascii="Times New Roman" w:hAnsi="Times New Roman" w:cs="Times New Roman"/>
          <w:noProof/>
          <w:sz w:val="24"/>
        </w:rPr>
        <w:lastRenderedPageBreak/>
        <w:t>As</w:t>
      </w:r>
      <w:r w:rsidR="004A1633" w:rsidRPr="00873A26">
        <w:rPr>
          <w:rFonts w:ascii="Times New Roman" w:hAnsi="Times New Roman" w:cs="Times New Roman"/>
          <w:noProof/>
          <w:sz w:val="24"/>
        </w:rPr>
        <w:t xml:space="preserve"> the </w:t>
      </w:r>
      <w:r w:rsidR="00D32DDF">
        <w:rPr>
          <w:rFonts w:ascii="Times New Roman" w:hAnsi="Times New Roman" w:cs="Times New Roman"/>
          <w:noProof/>
          <w:sz w:val="24"/>
        </w:rPr>
        <w:t>newly adopted</w:t>
      </w:r>
      <w:r w:rsidR="004A1633" w:rsidRPr="00873A26">
        <w:rPr>
          <w:rFonts w:ascii="Times New Roman" w:hAnsi="Times New Roman" w:cs="Times New Roman"/>
          <w:noProof/>
          <w:sz w:val="24"/>
        </w:rPr>
        <w:t xml:space="preserve"> Regulation</w:t>
      </w:r>
      <w:r w:rsidR="00D32DDF">
        <w:rPr>
          <w:rFonts w:ascii="Times New Roman" w:hAnsi="Times New Roman" w:cs="Times New Roman"/>
          <w:noProof/>
          <w:sz w:val="24"/>
        </w:rPr>
        <w:t xml:space="preserve"> (EU) 2024/1157 </w:t>
      </w:r>
      <w:r w:rsidR="004A1633" w:rsidRPr="00873A26">
        <w:rPr>
          <w:rFonts w:ascii="Times New Roman" w:hAnsi="Times New Roman" w:cs="Times New Roman"/>
          <w:noProof/>
          <w:sz w:val="24"/>
        </w:rPr>
        <w:t xml:space="preserve">provides rules on criteria </w:t>
      </w:r>
      <w:r w:rsidR="004A1633" w:rsidRPr="00444F9A">
        <w:rPr>
          <w:rFonts w:ascii="Times New Roman" w:hAnsi="Times New Roman" w:cs="Times New Roman"/>
          <w:noProof/>
          <w:sz w:val="24"/>
        </w:rPr>
        <w:t>related to the assessment of equivalent conditions for the treatment of waste outside the EU</w:t>
      </w:r>
      <w:r w:rsidR="00C26E2A">
        <w:rPr>
          <w:rFonts w:ascii="Times New Roman" w:hAnsi="Times New Roman" w:cs="Times New Roman"/>
          <w:noProof/>
          <w:sz w:val="24"/>
        </w:rPr>
        <w:t xml:space="preserve">, </w:t>
      </w:r>
      <w:r w:rsidR="69A02136" w:rsidRPr="2BD83C06">
        <w:rPr>
          <w:rFonts w:ascii="Times New Roman" w:hAnsi="Times New Roman" w:cs="Times New Roman"/>
          <w:noProof/>
          <w:sz w:val="24"/>
          <w:szCs w:val="24"/>
        </w:rPr>
        <w:t>a</w:t>
      </w:r>
      <w:r w:rsidR="69A02136">
        <w:rPr>
          <w:rFonts w:ascii="Times New Roman" w:hAnsi="Times New Roman" w:cs="Times New Roman"/>
          <w:noProof/>
          <w:sz w:val="24"/>
        </w:rPr>
        <w:t xml:space="preserve"> </w:t>
      </w:r>
      <w:r w:rsidR="00C26E2A">
        <w:rPr>
          <w:rFonts w:ascii="Times New Roman" w:hAnsi="Times New Roman" w:cs="Times New Roman"/>
          <w:noProof/>
          <w:sz w:val="24"/>
        </w:rPr>
        <w:t xml:space="preserve">delegated act under Directive </w:t>
      </w:r>
      <w:r w:rsidR="00E86612" w:rsidRPr="00310516">
        <w:rPr>
          <w:rFonts w:ascii="Times New Roman" w:hAnsi="Times New Roman" w:cs="Times New Roman"/>
          <w:bCs/>
          <w:noProof/>
          <w:sz w:val="24"/>
          <w:szCs w:val="24"/>
          <w:shd w:val="clear" w:color="auto" w:fill="FFFFFF"/>
        </w:rPr>
        <w:t>2006/66/EC</w:t>
      </w:r>
      <w:r w:rsidR="00E86612">
        <w:rPr>
          <w:rFonts w:ascii="Times New Roman" w:hAnsi="Times New Roman" w:cs="Times New Roman"/>
          <w:noProof/>
          <w:sz w:val="24"/>
        </w:rPr>
        <w:t xml:space="preserve"> </w:t>
      </w:r>
      <w:r w:rsidR="00C26E2A">
        <w:rPr>
          <w:rFonts w:ascii="Times New Roman" w:hAnsi="Times New Roman" w:cs="Times New Roman"/>
          <w:noProof/>
          <w:sz w:val="24"/>
        </w:rPr>
        <w:t xml:space="preserve">was not adopted. </w:t>
      </w:r>
    </w:p>
    <w:p w14:paraId="2EE7B662" w14:textId="740E7A5A" w:rsidR="00603868" w:rsidRPr="00AE3B65" w:rsidRDefault="00603868" w:rsidP="0077561C">
      <w:pPr>
        <w:pStyle w:val="ListParagraph"/>
        <w:numPr>
          <w:ilvl w:val="2"/>
          <w:numId w:val="10"/>
        </w:numPr>
        <w:spacing w:after="120"/>
        <w:ind w:left="851" w:hanging="851"/>
        <w:contextualSpacing w:val="0"/>
        <w:jc w:val="both"/>
        <w:rPr>
          <w:rFonts w:ascii="Times New Roman" w:hAnsi="Times New Roman" w:cs="Times New Roman"/>
          <w:b/>
          <w:noProof/>
          <w:sz w:val="24"/>
          <w:szCs w:val="24"/>
        </w:rPr>
      </w:pPr>
      <w:r w:rsidRPr="00AE3B65">
        <w:rPr>
          <w:rFonts w:ascii="Times New Roman" w:hAnsi="Times New Roman" w:cs="Times New Roman"/>
          <w:b/>
          <w:bCs/>
          <w:noProof/>
          <w:sz w:val="24"/>
          <w:szCs w:val="24"/>
          <w:shd w:val="clear" w:color="auto" w:fill="FFFFFF"/>
        </w:rPr>
        <w:t>D</w:t>
      </w:r>
      <w:r w:rsidRPr="00AE3B65">
        <w:rPr>
          <w:rFonts w:ascii="Times New Roman" w:hAnsi="Times New Roman" w:cs="Times New Roman"/>
          <w:b/>
          <w:noProof/>
          <w:sz w:val="24"/>
          <w:szCs w:val="24"/>
        </w:rPr>
        <w:t xml:space="preserve">etailed rules supplementing the requirement to indicate the capacity of portable and automotive batteries and accumulators on them </w:t>
      </w:r>
    </w:p>
    <w:p w14:paraId="0A4C978F" w14:textId="1442F9AC" w:rsidR="0077561C" w:rsidRPr="00AE3B65" w:rsidRDefault="0077561C" w:rsidP="00421CFE">
      <w:pPr>
        <w:spacing w:after="120"/>
        <w:jc w:val="both"/>
        <w:rPr>
          <w:rFonts w:ascii="Times New Roman" w:hAnsi="Times New Roman" w:cs="Times New Roman"/>
          <w:noProof/>
          <w:sz w:val="24"/>
          <w:szCs w:val="24"/>
          <w:lang w:val="en-US"/>
        </w:rPr>
      </w:pPr>
      <w:r w:rsidRPr="00AE3B65">
        <w:rPr>
          <w:rFonts w:ascii="Times New Roman" w:hAnsi="Times New Roman" w:cs="Times New Roman"/>
          <w:noProof/>
          <w:sz w:val="24"/>
          <w:szCs w:val="24"/>
          <w:lang w:val="en-US"/>
        </w:rPr>
        <w:t xml:space="preserve">According to Article 21(2) of </w:t>
      </w:r>
      <w:r w:rsidR="00D32DDF">
        <w:rPr>
          <w:rFonts w:ascii="Times New Roman" w:hAnsi="Times New Roman" w:cs="Times New Roman"/>
          <w:noProof/>
          <w:sz w:val="24"/>
          <w:szCs w:val="24"/>
          <w:lang w:val="en-US"/>
        </w:rPr>
        <w:t xml:space="preserve">Directive </w:t>
      </w:r>
      <w:r w:rsidR="00D32DDF" w:rsidRPr="00310516">
        <w:rPr>
          <w:rFonts w:ascii="Times New Roman" w:hAnsi="Times New Roman" w:cs="Times New Roman"/>
          <w:bCs/>
          <w:noProof/>
          <w:sz w:val="24"/>
          <w:szCs w:val="24"/>
          <w:shd w:val="clear" w:color="auto" w:fill="FFFFFF"/>
        </w:rPr>
        <w:t>2006/66/EC</w:t>
      </w:r>
      <w:r w:rsidR="00E86612">
        <w:rPr>
          <w:rFonts w:ascii="Times New Roman" w:hAnsi="Times New Roman" w:cs="Times New Roman"/>
          <w:bCs/>
          <w:noProof/>
          <w:sz w:val="24"/>
          <w:szCs w:val="24"/>
          <w:shd w:val="clear" w:color="auto" w:fill="FFFFFF"/>
        </w:rPr>
        <w:t>,</w:t>
      </w:r>
      <w:r w:rsidR="00D32DDF">
        <w:rPr>
          <w:rFonts w:ascii="Times New Roman" w:hAnsi="Times New Roman" w:cs="Times New Roman"/>
          <w:bCs/>
          <w:noProof/>
          <w:sz w:val="24"/>
          <w:szCs w:val="24"/>
          <w:shd w:val="clear" w:color="auto" w:fill="FFFFFF"/>
        </w:rPr>
        <w:t xml:space="preserve"> </w:t>
      </w:r>
      <w:r w:rsidRPr="00AE3B65">
        <w:rPr>
          <w:rFonts w:ascii="Times New Roman" w:hAnsi="Times New Roman" w:cs="Times New Roman"/>
          <w:noProof/>
          <w:sz w:val="24"/>
          <w:szCs w:val="24"/>
          <w:lang w:val="en-US"/>
        </w:rPr>
        <w:t xml:space="preserve">Member States shall ensure that the capacity of all portable and automotive batteries and accumulators is indicated on them in a visible, legible and indelible form by 26 September 2009. </w:t>
      </w:r>
      <w:r w:rsidR="00987346">
        <w:rPr>
          <w:rFonts w:ascii="Times New Roman" w:hAnsi="Times New Roman" w:cs="Times New Roman"/>
          <w:noProof/>
          <w:sz w:val="24"/>
          <w:szCs w:val="24"/>
          <w:lang w:val="en-US"/>
        </w:rPr>
        <w:t>T</w:t>
      </w:r>
      <w:r w:rsidRPr="00AE3B65">
        <w:rPr>
          <w:rFonts w:ascii="Times New Roman" w:hAnsi="Times New Roman" w:cs="Times New Roman"/>
          <w:noProof/>
          <w:sz w:val="24"/>
          <w:szCs w:val="24"/>
          <w:lang w:val="en-US"/>
        </w:rPr>
        <w:t>he Commission</w:t>
      </w:r>
      <w:r w:rsidR="00987346">
        <w:rPr>
          <w:rFonts w:ascii="Times New Roman" w:hAnsi="Times New Roman" w:cs="Times New Roman"/>
          <w:noProof/>
          <w:sz w:val="24"/>
          <w:szCs w:val="24"/>
          <w:lang w:val="en-US"/>
        </w:rPr>
        <w:t xml:space="preserve"> is entitled</w:t>
      </w:r>
      <w:r w:rsidRPr="00AE3B65">
        <w:rPr>
          <w:rFonts w:ascii="Times New Roman" w:hAnsi="Times New Roman" w:cs="Times New Roman"/>
          <w:noProof/>
          <w:sz w:val="24"/>
          <w:szCs w:val="24"/>
          <w:lang w:val="en-US"/>
        </w:rPr>
        <w:t xml:space="preserve"> to adopt delegated acts laying down detailed rules supplementing that requirement. </w:t>
      </w:r>
    </w:p>
    <w:p w14:paraId="375F0724" w14:textId="6F7F62B1" w:rsidR="009915FC" w:rsidRPr="00AE3B65" w:rsidRDefault="00E86612" w:rsidP="009915FC">
      <w:pPr>
        <w:spacing w:after="1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In the period preceding this report, </w:t>
      </w:r>
      <w:r w:rsidR="00BF5D1D" w:rsidRPr="00AE3B65">
        <w:rPr>
          <w:rFonts w:ascii="Times New Roman" w:hAnsi="Times New Roman" w:cs="Times New Roman"/>
          <w:noProof/>
          <w:sz w:val="24"/>
          <w:szCs w:val="24"/>
          <w:lang w:val="en-US"/>
        </w:rPr>
        <w:t>based on former Articl</w:t>
      </w:r>
      <w:r w:rsidR="000C7D4A" w:rsidRPr="00AE3B65">
        <w:rPr>
          <w:rFonts w:ascii="Times New Roman" w:hAnsi="Times New Roman" w:cs="Times New Roman"/>
          <w:noProof/>
          <w:sz w:val="24"/>
          <w:szCs w:val="24"/>
          <w:lang w:val="en-US"/>
        </w:rPr>
        <w:t>e 21</w:t>
      </w:r>
      <w:r w:rsidR="00BF5D1D" w:rsidRPr="00AE3B65">
        <w:rPr>
          <w:rFonts w:ascii="Times New Roman" w:hAnsi="Times New Roman" w:cs="Times New Roman"/>
          <w:noProof/>
          <w:sz w:val="24"/>
          <w:szCs w:val="24"/>
          <w:lang w:val="en-US"/>
        </w:rPr>
        <w:t>(</w:t>
      </w:r>
      <w:r w:rsidR="000C7D4A" w:rsidRPr="00AE3B65">
        <w:rPr>
          <w:rFonts w:ascii="Times New Roman" w:hAnsi="Times New Roman" w:cs="Times New Roman"/>
          <w:noProof/>
          <w:sz w:val="24"/>
          <w:szCs w:val="24"/>
          <w:lang w:val="en-US"/>
        </w:rPr>
        <w:t>2</w:t>
      </w:r>
      <w:r w:rsidR="00BF5D1D" w:rsidRPr="00AE3B65">
        <w:rPr>
          <w:rFonts w:ascii="Times New Roman" w:hAnsi="Times New Roman" w:cs="Times New Roman"/>
          <w:noProof/>
          <w:sz w:val="24"/>
          <w:szCs w:val="24"/>
          <w:lang w:val="en-US"/>
        </w:rPr>
        <w:t>) of th</w:t>
      </w:r>
      <w:r w:rsidR="00A97ABB">
        <w:rPr>
          <w:rFonts w:ascii="Times New Roman" w:hAnsi="Times New Roman" w:cs="Times New Roman"/>
          <w:noProof/>
          <w:sz w:val="24"/>
          <w:szCs w:val="24"/>
          <w:lang w:val="en-US"/>
        </w:rPr>
        <w:t xml:space="preserve">is </w:t>
      </w:r>
      <w:r w:rsidR="000C7D4A" w:rsidRPr="00AE3B65">
        <w:rPr>
          <w:rFonts w:ascii="Times New Roman" w:hAnsi="Times New Roman" w:cs="Times New Roman"/>
          <w:noProof/>
          <w:sz w:val="24"/>
          <w:szCs w:val="24"/>
          <w:lang w:val="en-US"/>
        </w:rPr>
        <w:t>Directive</w:t>
      </w:r>
      <w:r w:rsidR="00FC1714">
        <w:rPr>
          <w:rFonts w:ascii="Times New Roman" w:hAnsi="Times New Roman" w:cs="Times New Roman"/>
          <w:noProof/>
          <w:sz w:val="24"/>
          <w:szCs w:val="24"/>
          <w:lang w:val="en-US"/>
        </w:rPr>
        <w:t>, t</w:t>
      </w:r>
      <w:r w:rsidR="00FC1714" w:rsidRPr="00AE3B65">
        <w:rPr>
          <w:rFonts w:ascii="Times New Roman" w:hAnsi="Times New Roman" w:cs="Times New Roman"/>
          <w:noProof/>
          <w:sz w:val="24"/>
          <w:szCs w:val="24"/>
          <w:lang w:val="en-US"/>
        </w:rPr>
        <w:t xml:space="preserve">he Commission adopted </w:t>
      </w:r>
      <w:r w:rsidR="009915FC" w:rsidRPr="00AE3B65">
        <w:rPr>
          <w:rFonts w:ascii="Times New Roman" w:hAnsi="Times New Roman" w:cs="Times New Roman"/>
          <w:noProof/>
          <w:sz w:val="24"/>
          <w:szCs w:val="24"/>
          <w:lang w:val="en-US"/>
        </w:rPr>
        <w:t>Commission Regulation (EU) No 1103/2010 of 29 November 2010 establishing, pursuant to Directive 2006/66/EC, rules as regards capacity labelling of portable secondary (rechargeable) and automotive batteries and accumulators</w:t>
      </w:r>
      <w:r w:rsidR="009915FC" w:rsidRPr="00AE3B65">
        <w:rPr>
          <w:rStyle w:val="FootnoteReference"/>
          <w:rFonts w:ascii="Times New Roman" w:hAnsi="Times New Roman" w:cs="Times New Roman"/>
          <w:noProof/>
          <w:sz w:val="24"/>
          <w:szCs w:val="24"/>
          <w:lang w:val="en-US"/>
        </w:rPr>
        <w:footnoteReference w:id="28"/>
      </w:r>
      <w:r w:rsidR="009915FC" w:rsidRPr="00AE3B65">
        <w:rPr>
          <w:rFonts w:ascii="Times New Roman" w:hAnsi="Times New Roman" w:cs="Times New Roman"/>
          <w:noProof/>
          <w:sz w:val="24"/>
          <w:szCs w:val="24"/>
          <w:lang w:val="en-US"/>
        </w:rPr>
        <w:t xml:space="preserve">. </w:t>
      </w:r>
    </w:p>
    <w:p w14:paraId="53A1C0C6" w14:textId="18CC9345" w:rsidR="009915FC" w:rsidRPr="00A97ABB" w:rsidRDefault="2829FCD2" w:rsidP="1463D20E">
      <w:pPr>
        <w:spacing w:after="120"/>
        <w:jc w:val="both"/>
        <w:rPr>
          <w:rFonts w:ascii="Times New Roman" w:hAnsi="Times New Roman" w:cs="Times New Roman"/>
          <w:noProof/>
          <w:sz w:val="24"/>
          <w:szCs w:val="24"/>
        </w:rPr>
      </w:pPr>
      <w:r w:rsidRPr="1463D20E">
        <w:rPr>
          <w:rFonts w:ascii="Times New Roman" w:hAnsi="Times New Roman" w:cs="Times New Roman"/>
          <w:noProof/>
          <w:sz w:val="24"/>
          <w:szCs w:val="24"/>
          <w:lang w:val="en-US"/>
        </w:rPr>
        <w:t>The Commission ha</w:t>
      </w:r>
      <w:r w:rsidR="00A46707">
        <w:rPr>
          <w:rFonts w:ascii="Times New Roman" w:hAnsi="Times New Roman" w:cs="Times New Roman"/>
          <w:noProof/>
          <w:sz w:val="24"/>
          <w:szCs w:val="24"/>
          <w:lang w:val="en-US"/>
        </w:rPr>
        <w:t xml:space="preserve">s not </w:t>
      </w:r>
      <w:r w:rsidRPr="1463D20E">
        <w:rPr>
          <w:rFonts w:ascii="Times New Roman" w:hAnsi="Times New Roman" w:cs="Times New Roman"/>
          <w:noProof/>
          <w:sz w:val="24"/>
          <w:szCs w:val="24"/>
          <w:lang w:val="en-US"/>
        </w:rPr>
        <w:t xml:space="preserve">identified </w:t>
      </w:r>
      <w:r w:rsidR="3825C570" w:rsidRPr="1463D20E">
        <w:rPr>
          <w:rFonts w:ascii="Times New Roman" w:hAnsi="Times New Roman" w:cs="Times New Roman"/>
          <w:noProof/>
          <w:sz w:val="24"/>
          <w:szCs w:val="24"/>
          <w:lang w:val="en-US"/>
        </w:rPr>
        <w:t>the need</w:t>
      </w:r>
      <w:r w:rsidRPr="1463D20E">
        <w:rPr>
          <w:rFonts w:ascii="Times New Roman" w:hAnsi="Times New Roman" w:cs="Times New Roman"/>
          <w:noProof/>
          <w:sz w:val="24"/>
          <w:szCs w:val="24"/>
          <w:lang w:val="en-US"/>
        </w:rPr>
        <w:t xml:space="preserve"> to amend this act</w:t>
      </w:r>
      <w:r w:rsidR="71FDE0A0" w:rsidRPr="1463D20E">
        <w:rPr>
          <w:rFonts w:ascii="Times New Roman" w:hAnsi="Times New Roman" w:cs="Times New Roman"/>
          <w:noProof/>
          <w:sz w:val="24"/>
          <w:szCs w:val="24"/>
          <w:lang w:val="en-US"/>
        </w:rPr>
        <w:t xml:space="preserve"> </w:t>
      </w:r>
      <w:r w:rsidR="3CEF84EC" w:rsidRPr="1463D20E">
        <w:rPr>
          <w:rFonts w:ascii="Times New Roman" w:hAnsi="Times New Roman" w:cs="Times New Roman"/>
          <w:noProof/>
          <w:sz w:val="24"/>
          <w:szCs w:val="24"/>
          <w:lang w:val="en-US"/>
        </w:rPr>
        <w:t>nor</w:t>
      </w:r>
      <w:r w:rsidR="71FDE0A0" w:rsidRPr="1463D20E">
        <w:rPr>
          <w:rFonts w:ascii="Times New Roman" w:hAnsi="Times New Roman" w:cs="Times New Roman"/>
          <w:noProof/>
          <w:sz w:val="24"/>
          <w:szCs w:val="24"/>
          <w:lang w:val="en-US"/>
        </w:rPr>
        <w:t xml:space="preserve"> adopt a new one.</w:t>
      </w:r>
      <w:r w:rsidRPr="1463D20E">
        <w:rPr>
          <w:rFonts w:ascii="Times New Roman" w:hAnsi="Times New Roman" w:cs="Times New Roman"/>
          <w:noProof/>
          <w:sz w:val="24"/>
          <w:szCs w:val="24"/>
          <w:lang w:val="en-US"/>
        </w:rPr>
        <w:t xml:space="preserve"> </w:t>
      </w:r>
    </w:p>
    <w:p w14:paraId="7F6D5DD1" w14:textId="789963EF" w:rsidR="00AA4167" w:rsidRPr="00AE3B65" w:rsidRDefault="00AA4167" w:rsidP="00AA4167">
      <w:pPr>
        <w:pStyle w:val="ListParagraph"/>
        <w:numPr>
          <w:ilvl w:val="2"/>
          <w:numId w:val="10"/>
        </w:numPr>
        <w:ind w:left="851" w:hanging="851"/>
        <w:rPr>
          <w:rFonts w:ascii="Times New Roman" w:hAnsi="Times New Roman" w:cs="Times New Roman"/>
          <w:b/>
          <w:noProof/>
          <w:sz w:val="24"/>
          <w:szCs w:val="24"/>
          <w:lang w:val="en-US"/>
        </w:rPr>
      </w:pPr>
      <w:r w:rsidRPr="00AE3B65">
        <w:rPr>
          <w:rFonts w:ascii="Times New Roman" w:hAnsi="Times New Roman" w:cs="Times New Roman"/>
          <w:b/>
          <w:noProof/>
          <w:sz w:val="24"/>
          <w:szCs w:val="24"/>
          <w:lang w:val="en-US"/>
        </w:rPr>
        <w:t xml:space="preserve">Granting exemptions from labelling requirements </w:t>
      </w:r>
    </w:p>
    <w:p w14:paraId="21B51EBA" w14:textId="46581667" w:rsidR="0077561C" w:rsidRPr="00AE3B65" w:rsidRDefault="0077561C" w:rsidP="00AA4167">
      <w:pPr>
        <w:spacing w:after="120"/>
        <w:jc w:val="both"/>
        <w:rPr>
          <w:rFonts w:ascii="Times New Roman" w:hAnsi="Times New Roman" w:cs="Times New Roman"/>
          <w:noProof/>
          <w:sz w:val="24"/>
          <w:szCs w:val="24"/>
          <w:lang w:val="en-US"/>
        </w:rPr>
      </w:pPr>
      <w:r w:rsidRPr="00AE3B65">
        <w:rPr>
          <w:rFonts w:ascii="Times New Roman" w:hAnsi="Times New Roman" w:cs="Times New Roman"/>
          <w:noProof/>
          <w:sz w:val="24"/>
          <w:szCs w:val="24"/>
        </w:rPr>
        <w:t>According to Article 21(7) of Directive</w:t>
      </w:r>
      <w:r w:rsidR="001C3DFF">
        <w:rPr>
          <w:rFonts w:ascii="Times New Roman" w:hAnsi="Times New Roman" w:cs="Times New Roman"/>
          <w:noProof/>
          <w:sz w:val="24"/>
          <w:szCs w:val="24"/>
        </w:rPr>
        <w:t xml:space="preserve"> 2006/66/</w:t>
      </w:r>
      <w:r w:rsidR="00E86612">
        <w:rPr>
          <w:rFonts w:ascii="Times New Roman" w:hAnsi="Times New Roman" w:cs="Times New Roman"/>
          <w:noProof/>
          <w:sz w:val="24"/>
          <w:szCs w:val="24"/>
        </w:rPr>
        <w:t>EC</w:t>
      </w:r>
      <w:r w:rsidRPr="00AE3B65">
        <w:rPr>
          <w:rFonts w:ascii="Times New Roman" w:hAnsi="Times New Roman" w:cs="Times New Roman"/>
          <w:noProof/>
          <w:sz w:val="24"/>
          <w:szCs w:val="24"/>
        </w:rPr>
        <w:t>, the Commission is empowered to adopt delegated acts to grant exemptions from the labelling requirements set out in Article 21.</w:t>
      </w:r>
    </w:p>
    <w:p w14:paraId="3C688C87" w14:textId="09B89280" w:rsidR="001105F6" w:rsidRPr="00AE3B65" w:rsidRDefault="00FC1714" w:rsidP="0077561C">
      <w:pPr>
        <w:spacing w:after="1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In the period preceding this report, </w:t>
      </w:r>
      <w:r w:rsidR="000C7D4A" w:rsidRPr="00AE3B65">
        <w:rPr>
          <w:rFonts w:ascii="Times New Roman" w:hAnsi="Times New Roman" w:cs="Times New Roman"/>
          <w:noProof/>
          <w:sz w:val="24"/>
          <w:szCs w:val="24"/>
          <w:lang w:val="en-US"/>
        </w:rPr>
        <w:t>based on the former Article 21(7) of th</w:t>
      </w:r>
      <w:r w:rsidR="00A97ABB">
        <w:rPr>
          <w:rFonts w:ascii="Times New Roman" w:hAnsi="Times New Roman" w:cs="Times New Roman"/>
          <w:noProof/>
          <w:sz w:val="24"/>
          <w:szCs w:val="24"/>
          <w:lang w:val="en-US"/>
        </w:rPr>
        <w:t xml:space="preserve">is </w:t>
      </w:r>
      <w:r w:rsidR="000C7D4A" w:rsidRPr="00AE3B65">
        <w:rPr>
          <w:rFonts w:ascii="Times New Roman" w:hAnsi="Times New Roman" w:cs="Times New Roman"/>
          <w:noProof/>
          <w:sz w:val="24"/>
          <w:szCs w:val="24"/>
          <w:lang w:val="en-US"/>
        </w:rPr>
        <w:t>Directive</w:t>
      </w:r>
      <w:r>
        <w:rPr>
          <w:rFonts w:ascii="Times New Roman" w:hAnsi="Times New Roman" w:cs="Times New Roman"/>
          <w:noProof/>
          <w:sz w:val="24"/>
          <w:szCs w:val="24"/>
          <w:lang w:val="en-US"/>
        </w:rPr>
        <w:t>, t</w:t>
      </w:r>
      <w:r w:rsidR="009915FC" w:rsidRPr="00AE3B65">
        <w:rPr>
          <w:rFonts w:ascii="Times New Roman" w:hAnsi="Times New Roman" w:cs="Times New Roman"/>
          <w:noProof/>
          <w:sz w:val="24"/>
          <w:szCs w:val="24"/>
          <w:lang w:val="en-US"/>
        </w:rPr>
        <w:t xml:space="preserve">he </w:t>
      </w:r>
      <w:r w:rsidRPr="00AE3B65">
        <w:rPr>
          <w:rFonts w:ascii="Times New Roman" w:hAnsi="Times New Roman" w:cs="Times New Roman"/>
          <w:noProof/>
          <w:sz w:val="24"/>
          <w:szCs w:val="24"/>
          <w:lang w:val="en-US"/>
        </w:rPr>
        <w:t xml:space="preserve">Commission adopted </w:t>
      </w:r>
      <w:r w:rsidR="0077561C" w:rsidRPr="00AE3B65">
        <w:rPr>
          <w:rFonts w:ascii="Times New Roman" w:hAnsi="Times New Roman" w:cs="Times New Roman"/>
          <w:noProof/>
          <w:sz w:val="24"/>
          <w:szCs w:val="24"/>
          <w:lang w:val="en-US"/>
        </w:rPr>
        <w:t xml:space="preserve">Commission Regulation (EU) No 1103/2010. </w:t>
      </w:r>
    </w:p>
    <w:p w14:paraId="7D2DB16E" w14:textId="7B3A7BBB" w:rsidR="00076422" w:rsidRPr="00AE3B65" w:rsidRDefault="296947E4" w:rsidP="1463D20E">
      <w:pPr>
        <w:spacing w:after="120"/>
        <w:jc w:val="both"/>
        <w:rPr>
          <w:rFonts w:ascii="Times New Roman" w:hAnsi="Times New Roman" w:cs="Times New Roman"/>
          <w:noProof/>
          <w:sz w:val="24"/>
          <w:szCs w:val="24"/>
          <w:shd w:val="clear" w:color="auto" w:fill="FFFFFF"/>
        </w:rPr>
      </w:pPr>
      <w:r w:rsidRPr="1463D20E">
        <w:rPr>
          <w:rFonts w:ascii="Times New Roman" w:hAnsi="Times New Roman" w:cs="Times New Roman"/>
          <w:noProof/>
          <w:sz w:val="24"/>
          <w:szCs w:val="24"/>
          <w:lang w:val="en-US"/>
        </w:rPr>
        <w:t>The Commission ha</w:t>
      </w:r>
      <w:r w:rsidR="00A46707">
        <w:rPr>
          <w:rFonts w:ascii="Times New Roman" w:hAnsi="Times New Roman" w:cs="Times New Roman"/>
          <w:noProof/>
          <w:sz w:val="24"/>
          <w:szCs w:val="24"/>
          <w:lang w:val="en-US"/>
        </w:rPr>
        <w:t xml:space="preserve">s not </w:t>
      </w:r>
      <w:r w:rsidRPr="1463D20E">
        <w:rPr>
          <w:rFonts w:ascii="Times New Roman" w:hAnsi="Times New Roman" w:cs="Times New Roman"/>
          <w:noProof/>
          <w:sz w:val="24"/>
          <w:szCs w:val="24"/>
          <w:lang w:val="en-US"/>
        </w:rPr>
        <w:t xml:space="preserve">identified </w:t>
      </w:r>
      <w:r w:rsidR="75D537E1" w:rsidRPr="1463D20E">
        <w:rPr>
          <w:rFonts w:ascii="Times New Roman" w:hAnsi="Times New Roman" w:cs="Times New Roman"/>
          <w:noProof/>
          <w:sz w:val="24"/>
          <w:szCs w:val="24"/>
          <w:lang w:val="en-US"/>
        </w:rPr>
        <w:t>the need</w:t>
      </w:r>
      <w:r w:rsidRPr="1463D20E">
        <w:rPr>
          <w:rFonts w:ascii="Times New Roman" w:hAnsi="Times New Roman" w:cs="Times New Roman"/>
          <w:noProof/>
          <w:sz w:val="24"/>
          <w:szCs w:val="24"/>
          <w:lang w:val="en-US"/>
        </w:rPr>
        <w:t xml:space="preserve"> to amend this act </w:t>
      </w:r>
      <w:r w:rsidR="0259C11D" w:rsidRPr="1463D20E">
        <w:rPr>
          <w:rFonts w:ascii="Times New Roman" w:hAnsi="Times New Roman" w:cs="Times New Roman"/>
          <w:noProof/>
          <w:sz w:val="24"/>
          <w:szCs w:val="24"/>
          <w:lang w:val="en-US"/>
        </w:rPr>
        <w:t>nor</w:t>
      </w:r>
      <w:r w:rsidRPr="1463D20E">
        <w:rPr>
          <w:rFonts w:ascii="Times New Roman" w:hAnsi="Times New Roman" w:cs="Times New Roman"/>
          <w:noProof/>
          <w:sz w:val="24"/>
          <w:szCs w:val="24"/>
          <w:lang w:val="en-US"/>
        </w:rPr>
        <w:t xml:space="preserve"> adopt a new one. </w:t>
      </w:r>
    </w:p>
    <w:p w14:paraId="5CFCC8CA" w14:textId="77777777" w:rsidR="00076422" w:rsidRPr="00A97ABB" w:rsidRDefault="00076422" w:rsidP="00076422">
      <w:pPr>
        <w:spacing w:after="120"/>
        <w:jc w:val="both"/>
        <w:rPr>
          <w:rFonts w:ascii="Times New Roman" w:hAnsi="Times New Roman" w:cs="Times New Roman"/>
          <w:b/>
          <w:noProof/>
          <w:sz w:val="24"/>
          <w:szCs w:val="24"/>
          <w:shd w:val="clear" w:color="auto" w:fill="FFFFFF"/>
        </w:rPr>
      </w:pPr>
    </w:p>
    <w:p w14:paraId="68AFC2B9" w14:textId="66A2B39A" w:rsidR="003524B5" w:rsidRPr="00FD3000" w:rsidRDefault="00907448" w:rsidP="2E27594B">
      <w:pPr>
        <w:pStyle w:val="ListParagraph"/>
        <w:numPr>
          <w:ilvl w:val="0"/>
          <w:numId w:val="10"/>
        </w:numPr>
        <w:spacing w:after="120"/>
        <w:ind w:left="284" w:hanging="284"/>
        <w:jc w:val="both"/>
        <w:rPr>
          <w:rFonts w:ascii="Times New Roman" w:hAnsi="Times New Roman" w:cs="Times New Roman"/>
          <w:b/>
          <w:bCs/>
          <w:noProof/>
          <w:sz w:val="24"/>
          <w:szCs w:val="24"/>
          <w:shd w:val="clear" w:color="auto" w:fill="FFFFFF"/>
        </w:rPr>
      </w:pPr>
      <w:r w:rsidRPr="2E27594B">
        <w:rPr>
          <w:rFonts w:ascii="Times New Roman" w:hAnsi="Times New Roman" w:cs="Times New Roman"/>
          <w:b/>
          <w:bCs/>
          <w:noProof/>
          <w:sz w:val="24"/>
          <w:szCs w:val="24"/>
        </w:rPr>
        <w:t xml:space="preserve">Directive </w:t>
      </w:r>
      <w:r w:rsidR="00444F9A" w:rsidRPr="2E27594B">
        <w:rPr>
          <w:rFonts w:ascii="Times New Roman" w:hAnsi="Times New Roman" w:cs="Times New Roman"/>
          <w:b/>
          <w:bCs/>
          <w:noProof/>
          <w:sz w:val="24"/>
          <w:szCs w:val="24"/>
        </w:rPr>
        <w:t>2008/98/EC</w:t>
      </w:r>
    </w:p>
    <w:p w14:paraId="4F58DB8C" w14:textId="04842FAD" w:rsidR="003D5DD9" w:rsidRPr="00AE3B65" w:rsidRDefault="00A41453" w:rsidP="003524B5">
      <w:pPr>
        <w:spacing w:after="120"/>
        <w:jc w:val="both"/>
        <w:rPr>
          <w:rFonts w:ascii="Times New Roman" w:hAnsi="Times New Roman" w:cs="Times New Roman"/>
          <w:noProof/>
          <w:sz w:val="24"/>
          <w:szCs w:val="24"/>
        </w:rPr>
      </w:pPr>
      <w:r w:rsidRPr="00AE3B65">
        <w:rPr>
          <w:rFonts w:ascii="Times New Roman" w:hAnsi="Times New Roman" w:cs="Times New Roman"/>
          <w:noProof/>
          <w:sz w:val="24"/>
          <w:szCs w:val="24"/>
        </w:rPr>
        <w:t xml:space="preserve">Directive 2008/98/EC </w:t>
      </w:r>
      <w:r w:rsidR="003D5DD9" w:rsidRPr="00AE3B65">
        <w:rPr>
          <w:rFonts w:ascii="Times New Roman" w:hAnsi="Times New Roman" w:cs="Times New Roman"/>
          <w:noProof/>
          <w:sz w:val="24"/>
          <w:szCs w:val="24"/>
        </w:rPr>
        <w:t>empowers the Commis</w:t>
      </w:r>
      <w:r w:rsidR="001C1C01">
        <w:rPr>
          <w:rFonts w:ascii="Times New Roman" w:hAnsi="Times New Roman" w:cs="Times New Roman"/>
          <w:noProof/>
          <w:sz w:val="24"/>
          <w:szCs w:val="24"/>
        </w:rPr>
        <w:t>s</w:t>
      </w:r>
      <w:r w:rsidR="003D5DD9" w:rsidRPr="00AE3B65">
        <w:rPr>
          <w:rFonts w:ascii="Times New Roman" w:hAnsi="Times New Roman" w:cs="Times New Roman"/>
          <w:noProof/>
          <w:sz w:val="24"/>
          <w:szCs w:val="24"/>
        </w:rPr>
        <w:t>ion to adopt delegated acts, as refer</w:t>
      </w:r>
      <w:r w:rsidR="001B2D6E">
        <w:rPr>
          <w:rFonts w:ascii="Times New Roman" w:hAnsi="Times New Roman" w:cs="Times New Roman"/>
          <w:noProof/>
          <w:sz w:val="24"/>
          <w:szCs w:val="24"/>
        </w:rPr>
        <w:t>r</w:t>
      </w:r>
      <w:r w:rsidR="003D5DD9" w:rsidRPr="00AE3B65">
        <w:rPr>
          <w:rFonts w:ascii="Times New Roman" w:hAnsi="Times New Roman" w:cs="Times New Roman"/>
          <w:noProof/>
          <w:sz w:val="24"/>
          <w:szCs w:val="24"/>
        </w:rPr>
        <w:t xml:space="preserve">ed to in Article </w:t>
      </w:r>
      <w:r w:rsidR="00D36FF5" w:rsidRPr="00AE3B65">
        <w:rPr>
          <w:rFonts w:ascii="Times New Roman" w:hAnsi="Times New Roman" w:cs="Times New Roman"/>
          <w:noProof/>
          <w:sz w:val="24"/>
          <w:szCs w:val="24"/>
        </w:rPr>
        <w:t>3</w:t>
      </w:r>
      <w:r w:rsidR="00D8744F" w:rsidRPr="00AE3B65">
        <w:rPr>
          <w:rFonts w:ascii="Times New Roman" w:hAnsi="Times New Roman" w:cs="Times New Roman"/>
          <w:noProof/>
          <w:sz w:val="24"/>
          <w:szCs w:val="24"/>
        </w:rPr>
        <w:t>8</w:t>
      </w:r>
      <w:r w:rsidR="003D5DD9" w:rsidRPr="00AE3B65">
        <w:rPr>
          <w:rFonts w:ascii="Times New Roman" w:hAnsi="Times New Roman" w:cs="Times New Roman"/>
          <w:noProof/>
          <w:sz w:val="24"/>
          <w:szCs w:val="24"/>
        </w:rPr>
        <w:t>a, in view of:</w:t>
      </w:r>
    </w:p>
    <w:p w14:paraId="1EEB6918" w14:textId="77777777" w:rsidR="000117F9" w:rsidRPr="00AE3B65" w:rsidRDefault="00CF23D6" w:rsidP="003524B5">
      <w:pPr>
        <w:pStyle w:val="ListParagraph"/>
        <w:numPr>
          <w:ilvl w:val="0"/>
          <w:numId w:val="3"/>
        </w:numPr>
        <w:spacing w:after="120"/>
        <w:contextualSpacing w:val="0"/>
        <w:jc w:val="both"/>
        <w:rPr>
          <w:rFonts w:ascii="Times New Roman" w:hAnsi="Times New Roman" w:cs="Times New Roman"/>
          <w:noProof/>
          <w:sz w:val="24"/>
          <w:szCs w:val="24"/>
        </w:rPr>
      </w:pPr>
      <w:r w:rsidRPr="00AE3B65">
        <w:rPr>
          <w:rFonts w:ascii="Times New Roman" w:hAnsi="Times New Roman" w:cs="Times New Roman"/>
          <w:noProof/>
          <w:sz w:val="24"/>
          <w:szCs w:val="24"/>
          <w:shd w:val="clear" w:color="auto" w:fill="FFFFFF"/>
        </w:rPr>
        <w:t>establishing, and reviewing a list of waste</w:t>
      </w:r>
      <w:r w:rsidR="009659F7" w:rsidRPr="00AE3B65">
        <w:rPr>
          <w:rFonts w:ascii="Times New Roman" w:hAnsi="Times New Roman" w:cs="Times New Roman"/>
          <w:noProof/>
          <w:sz w:val="24"/>
          <w:szCs w:val="24"/>
        </w:rPr>
        <w:t xml:space="preserve"> in accordance with Article 7(2) and (3) </w:t>
      </w:r>
      <w:r w:rsidR="000117F9" w:rsidRPr="00AE3B65">
        <w:rPr>
          <w:rFonts w:ascii="Times New Roman" w:hAnsi="Times New Roman" w:cs="Times New Roman"/>
          <w:noProof/>
          <w:sz w:val="24"/>
          <w:szCs w:val="24"/>
        </w:rPr>
        <w:t>as provided for in Article 7(1)</w:t>
      </w:r>
      <w:r w:rsidR="009659F7" w:rsidRPr="00AE3B65">
        <w:rPr>
          <w:rFonts w:ascii="Times New Roman" w:hAnsi="Times New Roman" w:cs="Times New Roman"/>
          <w:noProof/>
          <w:sz w:val="24"/>
          <w:szCs w:val="24"/>
        </w:rPr>
        <w:t>;</w:t>
      </w:r>
    </w:p>
    <w:p w14:paraId="482B9263" w14:textId="77777777" w:rsidR="000117F9" w:rsidRPr="00AE3B65" w:rsidRDefault="002519C6" w:rsidP="003524B5">
      <w:pPr>
        <w:pStyle w:val="ListParagraph"/>
        <w:numPr>
          <w:ilvl w:val="0"/>
          <w:numId w:val="3"/>
        </w:numPr>
        <w:spacing w:after="120"/>
        <w:contextualSpacing w:val="0"/>
        <w:jc w:val="both"/>
        <w:rPr>
          <w:rFonts w:ascii="Times New Roman" w:hAnsi="Times New Roman" w:cs="Times New Roman"/>
          <w:noProof/>
          <w:sz w:val="24"/>
          <w:szCs w:val="24"/>
        </w:rPr>
      </w:pPr>
      <w:r w:rsidRPr="00AE3B65">
        <w:rPr>
          <w:rFonts w:ascii="Times New Roman" w:hAnsi="Times New Roman" w:cs="Times New Roman"/>
          <w:noProof/>
          <w:sz w:val="24"/>
          <w:szCs w:val="24"/>
          <w:shd w:val="clear" w:color="auto" w:fill="FFFFFF"/>
        </w:rPr>
        <w:t>establishing a common methodology and minimum quality requirements for the uniform measurement of levels of food waste</w:t>
      </w:r>
      <w:r w:rsidR="000117F9" w:rsidRPr="00AE3B65">
        <w:rPr>
          <w:rFonts w:ascii="Times New Roman" w:hAnsi="Times New Roman" w:cs="Times New Roman"/>
          <w:noProof/>
          <w:sz w:val="24"/>
          <w:szCs w:val="24"/>
        </w:rPr>
        <w:t>, as provided for in Article 9(8)</w:t>
      </w:r>
      <w:r w:rsidR="009659F7" w:rsidRPr="00AE3B65">
        <w:rPr>
          <w:rFonts w:ascii="Times New Roman" w:hAnsi="Times New Roman" w:cs="Times New Roman"/>
          <w:noProof/>
          <w:sz w:val="24"/>
          <w:szCs w:val="24"/>
        </w:rPr>
        <w:t>;</w:t>
      </w:r>
    </w:p>
    <w:p w14:paraId="4A9BC38B" w14:textId="77777777" w:rsidR="000117F9" w:rsidRPr="00310516" w:rsidRDefault="0069614E" w:rsidP="003524B5">
      <w:pPr>
        <w:pStyle w:val="ListParagraph"/>
        <w:numPr>
          <w:ilvl w:val="0"/>
          <w:numId w:val="3"/>
        </w:numPr>
        <w:spacing w:after="120"/>
        <w:contextualSpacing w:val="0"/>
        <w:jc w:val="both"/>
        <w:rPr>
          <w:rFonts w:ascii="Times New Roman" w:hAnsi="Times New Roman" w:cs="Times New Roman"/>
          <w:noProof/>
          <w:sz w:val="24"/>
          <w:szCs w:val="24"/>
        </w:rPr>
      </w:pPr>
      <w:r w:rsidRPr="00AE3B65">
        <w:rPr>
          <w:rFonts w:ascii="Times New Roman" w:hAnsi="Times New Roman" w:cs="Times New Roman"/>
          <w:noProof/>
          <w:sz w:val="24"/>
          <w:szCs w:val="24"/>
          <w:shd w:val="clear" w:color="auto" w:fill="FFFFFF"/>
        </w:rPr>
        <w:t xml:space="preserve">establishing rules for the calculation, verification and reporting of the weight of materials or </w:t>
      </w:r>
      <w:r w:rsidRPr="00310516">
        <w:rPr>
          <w:rFonts w:ascii="Times New Roman" w:hAnsi="Times New Roman" w:cs="Times New Roman"/>
          <w:noProof/>
          <w:sz w:val="24"/>
          <w:szCs w:val="24"/>
          <w:shd w:val="clear" w:color="auto" w:fill="FFFFFF"/>
        </w:rPr>
        <w:t>substances which are removed after a sorting operation and which are not subsequently recycled, based on average loss rates for sorted waste</w:t>
      </w:r>
      <w:r w:rsidR="000117F9" w:rsidRPr="00310516">
        <w:rPr>
          <w:rFonts w:ascii="Times New Roman" w:hAnsi="Times New Roman" w:cs="Times New Roman"/>
          <w:noProof/>
          <w:sz w:val="24"/>
          <w:szCs w:val="24"/>
        </w:rPr>
        <w:t>, as provided for in Article 11a(10)</w:t>
      </w:r>
      <w:r w:rsidR="009659F7" w:rsidRPr="00310516">
        <w:rPr>
          <w:rFonts w:ascii="Times New Roman" w:hAnsi="Times New Roman" w:cs="Times New Roman"/>
          <w:noProof/>
          <w:sz w:val="24"/>
          <w:szCs w:val="24"/>
        </w:rPr>
        <w:t>;</w:t>
      </w:r>
    </w:p>
    <w:p w14:paraId="54A994B2" w14:textId="77777777" w:rsidR="000117F9" w:rsidRPr="00310516" w:rsidRDefault="0069614E" w:rsidP="003524B5">
      <w:pPr>
        <w:pStyle w:val="ListParagraph"/>
        <w:numPr>
          <w:ilvl w:val="0"/>
          <w:numId w:val="3"/>
        </w:numPr>
        <w:spacing w:after="120"/>
        <w:contextualSpacing w:val="0"/>
        <w:jc w:val="both"/>
        <w:rPr>
          <w:rFonts w:ascii="Times New Roman" w:hAnsi="Times New Roman" w:cs="Times New Roman"/>
          <w:noProof/>
          <w:sz w:val="24"/>
          <w:szCs w:val="24"/>
        </w:rPr>
      </w:pPr>
      <w:r w:rsidRPr="00310516">
        <w:rPr>
          <w:rFonts w:ascii="Times New Roman" w:hAnsi="Times New Roman" w:cs="Times New Roman"/>
          <w:noProof/>
          <w:sz w:val="24"/>
          <w:szCs w:val="24"/>
          <w:shd w:val="clear" w:color="auto" w:fill="FFFFFF"/>
        </w:rPr>
        <w:t xml:space="preserve">setting out technical minimum standards for treatment activities, including for sorting and recycling of waste, which require a permit pursuant to Article 23 where there is evidence that a benefit in terms of the protection of human health and the </w:t>
      </w:r>
      <w:r w:rsidRPr="00310516">
        <w:rPr>
          <w:rFonts w:ascii="Times New Roman" w:hAnsi="Times New Roman" w:cs="Times New Roman"/>
          <w:noProof/>
          <w:sz w:val="24"/>
          <w:szCs w:val="24"/>
          <w:shd w:val="clear" w:color="auto" w:fill="FFFFFF"/>
        </w:rPr>
        <w:lastRenderedPageBreak/>
        <w:t>environment would be gained from such minimum standards</w:t>
      </w:r>
      <w:r w:rsidR="000117F9" w:rsidRPr="00310516">
        <w:rPr>
          <w:rFonts w:ascii="Times New Roman" w:hAnsi="Times New Roman" w:cs="Times New Roman"/>
          <w:noProof/>
          <w:sz w:val="24"/>
          <w:szCs w:val="24"/>
        </w:rPr>
        <w:t>, as provided for in Article 27(1)</w:t>
      </w:r>
      <w:r w:rsidR="005B4382" w:rsidRPr="00310516">
        <w:rPr>
          <w:rFonts w:ascii="Times New Roman" w:hAnsi="Times New Roman" w:cs="Times New Roman"/>
          <w:noProof/>
          <w:sz w:val="24"/>
          <w:szCs w:val="24"/>
        </w:rPr>
        <w:t>;</w:t>
      </w:r>
    </w:p>
    <w:p w14:paraId="08BA4B68" w14:textId="77777777" w:rsidR="005B4382" w:rsidRPr="00310516" w:rsidRDefault="005B4382" w:rsidP="003524B5">
      <w:pPr>
        <w:pStyle w:val="ListParagraph"/>
        <w:numPr>
          <w:ilvl w:val="0"/>
          <w:numId w:val="3"/>
        </w:numPr>
        <w:spacing w:after="120"/>
        <w:contextualSpacing w:val="0"/>
        <w:jc w:val="both"/>
        <w:rPr>
          <w:rFonts w:ascii="Times New Roman" w:hAnsi="Times New Roman" w:cs="Times New Roman"/>
          <w:noProof/>
          <w:sz w:val="24"/>
          <w:szCs w:val="24"/>
        </w:rPr>
      </w:pPr>
      <w:r w:rsidRPr="00310516">
        <w:rPr>
          <w:rFonts w:ascii="Times New Roman" w:hAnsi="Times New Roman" w:cs="Times New Roman"/>
          <w:noProof/>
          <w:sz w:val="24"/>
          <w:szCs w:val="24"/>
        </w:rPr>
        <w:t>setting out the minimum standards for activities of establishments or undertakings which collect or transport waste on a professional basis as well as of dealers or brokers, that require registration where there is evidence that a benefit in terms of the protection of human health and the environment or in avoiding disruption to the internal market would be gained from such minimum standards, as provided for in Article 27(4);</w:t>
      </w:r>
    </w:p>
    <w:p w14:paraId="6DEB86FB" w14:textId="77777777" w:rsidR="000117F9" w:rsidRPr="00310516" w:rsidRDefault="001443B4" w:rsidP="003524B5">
      <w:pPr>
        <w:pStyle w:val="ListParagraph"/>
        <w:numPr>
          <w:ilvl w:val="0"/>
          <w:numId w:val="3"/>
        </w:numPr>
        <w:spacing w:after="120"/>
        <w:ind w:left="777" w:hanging="357"/>
        <w:contextualSpacing w:val="0"/>
        <w:jc w:val="both"/>
        <w:rPr>
          <w:rFonts w:ascii="Times New Roman" w:hAnsi="Times New Roman" w:cs="Times New Roman"/>
          <w:noProof/>
          <w:sz w:val="24"/>
          <w:szCs w:val="24"/>
        </w:rPr>
      </w:pPr>
      <w:r w:rsidRPr="00310516">
        <w:rPr>
          <w:rFonts w:ascii="Times New Roman" w:hAnsi="Times New Roman" w:cs="Times New Roman"/>
          <w:noProof/>
          <w:sz w:val="24"/>
          <w:szCs w:val="24"/>
          <w:shd w:val="clear" w:color="auto" w:fill="FFFFFF"/>
        </w:rPr>
        <w:t xml:space="preserve">amending point R1 of Annex II </w:t>
      </w:r>
      <w:r w:rsidR="00024432" w:rsidRPr="00310516">
        <w:rPr>
          <w:rFonts w:ascii="Times New Roman" w:hAnsi="Times New Roman" w:cs="Times New Roman"/>
          <w:noProof/>
          <w:sz w:val="24"/>
          <w:szCs w:val="24"/>
          <w:shd w:val="clear" w:color="auto" w:fill="FFFFFF"/>
        </w:rPr>
        <w:t>by specifying the application of the formula for incineration facilities refe</w:t>
      </w:r>
      <w:r w:rsidR="00953387" w:rsidRPr="00310516">
        <w:rPr>
          <w:rFonts w:ascii="Times New Roman" w:hAnsi="Times New Roman" w:cs="Times New Roman"/>
          <w:noProof/>
          <w:sz w:val="24"/>
          <w:szCs w:val="24"/>
          <w:shd w:val="clear" w:color="auto" w:fill="FFFFFF"/>
        </w:rPr>
        <w:t xml:space="preserve">rred </w:t>
      </w:r>
      <w:r w:rsidR="00F45108" w:rsidRPr="00310516">
        <w:rPr>
          <w:rFonts w:ascii="Times New Roman" w:hAnsi="Times New Roman" w:cs="Times New Roman"/>
          <w:noProof/>
          <w:sz w:val="24"/>
          <w:szCs w:val="24"/>
          <w:shd w:val="clear" w:color="auto" w:fill="FFFFFF"/>
        </w:rPr>
        <w:t>thereto</w:t>
      </w:r>
      <w:r w:rsidR="000117F9" w:rsidRPr="00310516">
        <w:rPr>
          <w:rFonts w:ascii="Times New Roman" w:hAnsi="Times New Roman" w:cs="Times New Roman"/>
          <w:noProof/>
          <w:sz w:val="24"/>
          <w:szCs w:val="24"/>
        </w:rPr>
        <w:t>, as provided for in Article 38(2)</w:t>
      </w:r>
      <w:r w:rsidR="00417C5D">
        <w:rPr>
          <w:rFonts w:ascii="Times New Roman" w:hAnsi="Times New Roman" w:cs="Times New Roman"/>
          <w:noProof/>
          <w:sz w:val="24"/>
          <w:szCs w:val="24"/>
        </w:rPr>
        <w:t>;</w:t>
      </w:r>
    </w:p>
    <w:p w14:paraId="7FA63FD8" w14:textId="77777777" w:rsidR="003524B5" w:rsidRPr="00310516" w:rsidRDefault="00F45108" w:rsidP="00706E1E">
      <w:pPr>
        <w:pStyle w:val="norm"/>
        <w:numPr>
          <w:ilvl w:val="0"/>
          <w:numId w:val="3"/>
        </w:numPr>
        <w:shd w:val="clear" w:color="auto" w:fill="FFFFFF"/>
        <w:spacing w:before="0" w:beforeAutospacing="0" w:after="120" w:afterAutospacing="0" w:line="276" w:lineRule="auto"/>
        <w:ind w:left="777" w:hanging="357"/>
        <w:jc w:val="both"/>
        <w:rPr>
          <w:noProof/>
        </w:rPr>
      </w:pPr>
      <w:r w:rsidRPr="00310516">
        <w:rPr>
          <w:noProof/>
        </w:rPr>
        <w:t>amending</w:t>
      </w:r>
      <w:r w:rsidR="00024432" w:rsidRPr="00310516">
        <w:rPr>
          <w:noProof/>
        </w:rPr>
        <w:t xml:space="preserve"> Annexes IV and V in the light of scientific and technical progress</w:t>
      </w:r>
      <w:r w:rsidR="000117F9" w:rsidRPr="00310516">
        <w:rPr>
          <w:noProof/>
        </w:rPr>
        <w:t>, as provided for in Article 38(3)</w:t>
      </w:r>
      <w:r w:rsidR="005B4382" w:rsidRPr="00310516">
        <w:rPr>
          <w:noProof/>
        </w:rPr>
        <w:t>.</w:t>
      </w:r>
    </w:p>
    <w:p w14:paraId="1A1DDACB" w14:textId="77777777" w:rsidR="00C47323" w:rsidRPr="00310516" w:rsidRDefault="00C47323" w:rsidP="003524B5">
      <w:pPr>
        <w:pStyle w:val="ListParagraph"/>
        <w:numPr>
          <w:ilvl w:val="1"/>
          <w:numId w:val="10"/>
        </w:numPr>
        <w:spacing w:after="120"/>
        <w:ind w:left="567" w:hanging="567"/>
        <w:contextualSpacing w:val="0"/>
        <w:jc w:val="both"/>
        <w:rPr>
          <w:rFonts w:ascii="Times New Roman" w:hAnsi="Times New Roman" w:cs="Times New Roman"/>
          <w:b/>
          <w:noProof/>
          <w:sz w:val="24"/>
          <w:szCs w:val="24"/>
        </w:rPr>
      </w:pPr>
      <w:r w:rsidRPr="00310516">
        <w:rPr>
          <w:rFonts w:ascii="Times New Roman" w:hAnsi="Times New Roman" w:cs="Times New Roman"/>
          <w:b/>
          <w:noProof/>
          <w:sz w:val="24"/>
          <w:szCs w:val="24"/>
        </w:rPr>
        <w:t>Exercise of Delegation</w:t>
      </w:r>
    </w:p>
    <w:p w14:paraId="065F5BB7" w14:textId="0BF1B47E" w:rsidR="00BD7E7D" w:rsidRPr="00310516" w:rsidRDefault="077C6F6B" w:rsidP="003524B5">
      <w:pPr>
        <w:spacing w:after="120"/>
        <w:jc w:val="both"/>
        <w:rPr>
          <w:rFonts w:ascii="Times New Roman" w:hAnsi="Times New Roman" w:cs="Times New Roman"/>
          <w:noProof/>
          <w:sz w:val="24"/>
          <w:szCs w:val="24"/>
          <w:lang w:val="en-US"/>
        </w:rPr>
      </w:pPr>
      <w:r w:rsidRPr="1463D20E">
        <w:rPr>
          <w:rFonts w:ascii="Times New Roman" w:hAnsi="Times New Roman" w:cs="Times New Roman"/>
          <w:noProof/>
          <w:sz w:val="24"/>
          <w:szCs w:val="24"/>
        </w:rPr>
        <w:t>During the period covered by the report</w:t>
      </w:r>
      <w:r w:rsidR="00513B20">
        <w:rPr>
          <w:rFonts w:ascii="Times New Roman" w:hAnsi="Times New Roman" w:cs="Times New Roman"/>
          <w:noProof/>
          <w:sz w:val="24"/>
          <w:szCs w:val="24"/>
        </w:rPr>
        <w:t>,</w:t>
      </w:r>
      <w:r w:rsidRPr="1463D20E">
        <w:rPr>
          <w:rFonts w:ascii="Times New Roman" w:hAnsi="Times New Roman" w:cs="Times New Roman"/>
          <w:noProof/>
          <w:sz w:val="24"/>
          <w:szCs w:val="24"/>
        </w:rPr>
        <w:t xml:space="preserve"> the Commission adopted </w:t>
      </w:r>
      <w:r w:rsidR="00513B20">
        <w:rPr>
          <w:rFonts w:ascii="Times New Roman" w:hAnsi="Times New Roman" w:cs="Times New Roman"/>
          <w:noProof/>
          <w:sz w:val="24"/>
          <w:szCs w:val="24"/>
        </w:rPr>
        <w:t>one</w:t>
      </w:r>
      <w:r w:rsidRPr="1463D20E">
        <w:rPr>
          <w:rFonts w:ascii="Times New Roman" w:hAnsi="Times New Roman" w:cs="Times New Roman"/>
          <w:noProof/>
          <w:sz w:val="24"/>
          <w:szCs w:val="24"/>
        </w:rPr>
        <w:t xml:space="preserve"> delegated act on a common methodology and minimum quality requirements for the uniform measurement of levels of food waste.</w:t>
      </w:r>
      <w:r w:rsidRPr="005D46BA">
        <w:rPr>
          <w:rFonts w:ascii="Times New Roman" w:hAnsi="Times New Roman" w:cs="Times New Roman"/>
          <w:noProof/>
          <w:sz w:val="24"/>
          <w:szCs w:val="24"/>
        </w:rPr>
        <w:t xml:space="preserve"> </w:t>
      </w:r>
    </w:p>
    <w:p w14:paraId="134E3747" w14:textId="77777777" w:rsidR="0055691F" w:rsidRPr="00310516" w:rsidRDefault="008D0203" w:rsidP="0055691F">
      <w:pPr>
        <w:pStyle w:val="ListParagraph"/>
        <w:numPr>
          <w:ilvl w:val="2"/>
          <w:numId w:val="10"/>
        </w:numPr>
        <w:spacing w:after="120"/>
        <w:ind w:left="851" w:hanging="851"/>
        <w:contextualSpacing w:val="0"/>
        <w:jc w:val="both"/>
        <w:rPr>
          <w:rFonts w:ascii="Times New Roman" w:hAnsi="Times New Roman" w:cs="Times New Roman"/>
          <w:b/>
          <w:noProof/>
          <w:sz w:val="24"/>
          <w:szCs w:val="24"/>
        </w:rPr>
      </w:pPr>
      <w:r w:rsidRPr="00310516">
        <w:rPr>
          <w:rFonts w:ascii="Times New Roman" w:hAnsi="Times New Roman" w:cs="Times New Roman"/>
          <w:b/>
          <w:noProof/>
          <w:sz w:val="24"/>
          <w:szCs w:val="24"/>
        </w:rPr>
        <w:t>Establishment and revision of a list of waste</w:t>
      </w:r>
    </w:p>
    <w:p w14:paraId="40D1D66C" w14:textId="36EBC1DB" w:rsidR="0092070F" w:rsidRDefault="0055691F" w:rsidP="00A71DC4">
      <w:pPr>
        <w:spacing w:after="120"/>
        <w:jc w:val="both"/>
        <w:rPr>
          <w:rFonts w:ascii="Times New Roman" w:hAnsi="Times New Roman" w:cs="Times New Roman"/>
          <w:noProof/>
          <w:sz w:val="24"/>
          <w:szCs w:val="24"/>
        </w:rPr>
      </w:pPr>
      <w:r w:rsidRPr="00310516">
        <w:rPr>
          <w:rFonts w:ascii="Times New Roman" w:hAnsi="Times New Roman" w:cs="Times New Roman"/>
          <w:noProof/>
          <w:sz w:val="24"/>
          <w:szCs w:val="24"/>
        </w:rPr>
        <w:t xml:space="preserve">Pursuant to Article 7(1) of </w:t>
      </w:r>
      <w:r w:rsidR="003B7C69" w:rsidRPr="00AE3B65">
        <w:rPr>
          <w:rFonts w:ascii="Times New Roman" w:hAnsi="Times New Roman" w:cs="Times New Roman"/>
          <w:noProof/>
          <w:sz w:val="24"/>
          <w:szCs w:val="24"/>
        </w:rPr>
        <w:t>Directive 2008/98/EC</w:t>
      </w:r>
      <w:r w:rsidRPr="00310516">
        <w:rPr>
          <w:rFonts w:ascii="Times New Roman" w:hAnsi="Times New Roman" w:cs="Times New Roman"/>
          <w:noProof/>
          <w:sz w:val="24"/>
          <w:szCs w:val="24"/>
        </w:rPr>
        <w:t xml:space="preserve">, the Commission is empowered to adopt delegated acts establishing, and reviewing in accordance with paragraphs 2 and 3 of this Article, a list of waste. </w:t>
      </w:r>
    </w:p>
    <w:p w14:paraId="696954E4" w14:textId="6D06A594" w:rsidR="00A71DC4" w:rsidRPr="0092070F" w:rsidRDefault="00513B20" w:rsidP="00A71DC4">
      <w:pPr>
        <w:spacing w:after="120"/>
        <w:jc w:val="both"/>
        <w:rPr>
          <w:rFonts w:ascii="Times New Roman" w:hAnsi="Times New Roman" w:cs="Times New Roman"/>
          <w:noProof/>
          <w:sz w:val="24"/>
          <w:szCs w:val="24"/>
        </w:rPr>
      </w:pPr>
      <w:r>
        <w:rPr>
          <w:rFonts w:ascii="Times New Roman" w:hAnsi="Times New Roman" w:cs="Times New Roman"/>
          <w:noProof/>
          <w:sz w:val="24"/>
          <w:szCs w:val="24"/>
          <w:lang w:val="en-US"/>
        </w:rPr>
        <w:t>Prior to the period covered by this report</w:t>
      </w:r>
      <w:r w:rsidR="001B7946">
        <w:rPr>
          <w:rFonts w:ascii="Times New Roman" w:hAnsi="Times New Roman" w:cs="Times New Roman"/>
          <w:noProof/>
          <w:sz w:val="24"/>
          <w:szCs w:val="24"/>
          <w:lang w:val="en-US"/>
        </w:rPr>
        <w:t xml:space="preserve">, based on former Article 7(1) of </w:t>
      </w:r>
      <w:r w:rsidR="003B7C69" w:rsidRPr="00AE3B65">
        <w:rPr>
          <w:rFonts w:ascii="Times New Roman" w:hAnsi="Times New Roman" w:cs="Times New Roman"/>
          <w:noProof/>
          <w:sz w:val="24"/>
          <w:szCs w:val="24"/>
        </w:rPr>
        <w:t>Directive 2008/98/EC</w:t>
      </w:r>
      <w:r>
        <w:rPr>
          <w:rFonts w:ascii="Times New Roman" w:hAnsi="Times New Roman" w:cs="Times New Roman"/>
          <w:noProof/>
          <w:sz w:val="24"/>
          <w:szCs w:val="24"/>
        </w:rPr>
        <w:t>, the Commission adopted a</w:t>
      </w:r>
      <w:r w:rsidR="001B7946">
        <w:rPr>
          <w:rFonts w:ascii="Times New Roman" w:hAnsi="Times New Roman" w:cs="Times New Roman"/>
          <w:noProof/>
          <w:sz w:val="24"/>
          <w:szCs w:val="24"/>
          <w:lang w:val="en-US"/>
        </w:rPr>
        <w:t xml:space="preserve"> </w:t>
      </w:r>
      <w:r w:rsidR="00A71DC4" w:rsidRPr="00A71DC4">
        <w:rPr>
          <w:rFonts w:ascii="Times New Roman" w:hAnsi="Times New Roman" w:cs="Times New Roman"/>
          <w:noProof/>
          <w:sz w:val="24"/>
          <w:szCs w:val="24"/>
          <w:lang w:val="en-US"/>
        </w:rPr>
        <w:t xml:space="preserve">Commission Decision </w:t>
      </w:r>
      <w:r w:rsidR="00A71DC4" w:rsidRPr="00A71DC4">
        <w:rPr>
          <w:rFonts w:ascii="Times New Roman" w:hAnsi="Times New Roman" w:cs="Times New Roman"/>
          <w:bCs/>
          <w:noProof/>
          <w:color w:val="333333"/>
          <w:sz w:val="24"/>
          <w:szCs w:val="24"/>
          <w:shd w:val="clear" w:color="auto" w:fill="FFFFFF"/>
        </w:rPr>
        <w:t xml:space="preserve">2014/955/EU </w:t>
      </w:r>
      <w:r w:rsidR="00A71DC4" w:rsidRPr="00A71DC4">
        <w:rPr>
          <w:rFonts w:ascii="Times New Roman" w:hAnsi="Times New Roman" w:cs="Times New Roman"/>
          <w:noProof/>
          <w:sz w:val="24"/>
          <w:szCs w:val="24"/>
          <w:lang w:val="en-US"/>
        </w:rPr>
        <w:t>of 18 December 2014</w:t>
      </w:r>
      <w:r w:rsidR="00A71DC4">
        <w:rPr>
          <w:rFonts w:ascii="Times New Roman" w:hAnsi="Times New Roman" w:cs="Times New Roman"/>
          <w:noProof/>
          <w:sz w:val="24"/>
          <w:szCs w:val="24"/>
          <w:lang w:val="en-US"/>
        </w:rPr>
        <w:t xml:space="preserve"> </w:t>
      </w:r>
      <w:r w:rsidR="00A71DC4" w:rsidRPr="00A71DC4">
        <w:rPr>
          <w:rFonts w:ascii="Times New Roman" w:hAnsi="Times New Roman" w:cs="Times New Roman"/>
          <w:noProof/>
          <w:sz w:val="24"/>
          <w:szCs w:val="24"/>
          <w:lang w:val="en-US"/>
        </w:rPr>
        <w:t>amending Decision 2000/532/EC on the list of waste pursuant to Directive 2008/98/</w:t>
      </w:r>
      <w:r w:rsidR="00A71DC4">
        <w:rPr>
          <w:rStyle w:val="FootnoteReference"/>
          <w:rFonts w:ascii="Times New Roman" w:hAnsi="Times New Roman" w:cs="Times New Roman"/>
          <w:noProof/>
          <w:sz w:val="24"/>
          <w:szCs w:val="24"/>
          <w:lang w:val="en-US"/>
        </w:rPr>
        <w:footnoteReference w:id="29"/>
      </w:r>
      <w:r w:rsidR="00A71DC4">
        <w:rPr>
          <w:rFonts w:ascii="Times New Roman" w:hAnsi="Times New Roman" w:cs="Times New Roman"/>
          <w:noProof/>
          <w:sz w:val="24"/>
          <w:szCs w:val="24"/>
          <w:lang w:val="en-US"/>
        </w:rPr>
        <w:t>.</w:t>
      </w:r>
    </w:p>
    <w:p w14:paraId="2578A3DA" w14:textId="0DA9A195" w:rsidR="0092070F" w:rsidRPr="00AE3B65" w:rsidRDefault="3480C198" w:rsidP="1463D20E">
      <w:pPr>
        <w:spacing w:after="120"/>
        <w:jc w:val="both"/>
        <w:rPr>
          <w:rFonts w:ascii="Times New Roman" w:hAnsi="Times New Roman" w:cs="Times New Roman"/>
          <w:noProof/>
          <w:sz w:val="24"/>
          <w:szCs w:val="24"/>
          <w:shd w:val="clear" w:color="auto" w:fill="FFFFFF"/>
        </w:rPr>
      </w:pPr>
      <w:r w:rsidRPr="1463D20E">
        <w:rPr>
          <w:rFonts w:ascii="Times New Roman" w:hAnsi="Times New Roman" w:cs="Times New Roman"/>
          <w:noProof/>
          <w:sz w:val="24"/>
          <w:szCs w:val="24"/>
          <w:lang w:val="en-US"/>
        </w:rPr>
        <w:t>The Commission ha</w:t>
      </w:r>
      <w:r w:rsidR="00A46707">
        <w:rPr>
          <w:rFonts w:ascii="Times New Roman" w:hAnsi="Times New Roman" w:cs="Times New Roman"/>
          <w:noProof/>
          <w:sz w:val="24"/>
          <w:szCs w:val="24"/>
          <w:lang w:val="en-US"/>
        </w:rPr>
        <w:t xml:space="preserve">s not </w:t>
      </w:r>
      <w:r w:rsidRPr="1463D20E">
        <w:rPr>
          <w:rFonts w:ascii="Times New Roman" w:hAnsi="Times New Roman" w:cs="Times New Roman"/>
          <w:noProof/>
          <w:sz w:val="24"/>
          <w:szCs w:val="24"/>
          <w:lang w:val="en-US"/>
        </w:rPr>
        <w:t xml:space="preserve">identified </w:t>
      </w:r>
      <w:r w:rsidR="13F3BF8A" w:rsidRPr="1463D20E">
        <w:rPr>
          <w:rFonts w:ascii="Times New Roman" w:hAnsi="Times New Roman" w:cs="Times New Roman"/>
          <w:noProof/>
          <w:sz w:val="24"/>
          <w:szCs w:val="24"/>
          <w:lang w:val="en-US"/>
        </w:rPr>
        <w:t>the need</w:t>
      </w:r>
      <w:r w:rsidRPr="1463D20E">
        <w:rPr>
          <w:rFonts w:ascii="Times New Roman" w:hAnsi="Times New Roman" w:cs="Times New Roman"/>
          <w:noProof/>
          <w:sz w:val="24"/>
          <w:szCs w:val="24"/>
          <w:lang w:val="en-US"/>
        </w:rPr>
        <w:t xml:space="preserve"> to amend this act </w:t>
      </w:r>
      <w:r w:rsidR="73EC5837" w:rsidRPr="1463D20E">
        <w:rPr>
          <w:rFonts w:ascii="Times New Roman" w:hAnsi="Times New Roman" w:cs="Times New Roman"/>
          <w:noProof/>
          <w:sz w:val="24"/>
          <w:szCs w:val="24"/>
          <w:lang w:val="en-US"/>
        </w:rPr>
        <w:t>nor</w:t>
      </w:r>
      <w:r w:rsidRPr="1463D20E">
        <w:rPr>
          <w:rFonts w:ascii="Times New Roman" w:hAnsi="Times New Roman" w:cs="Times New Roman"/>
          <w:noProof/>
          <w:sz w:val="24"/>
          <w:szCs w:val="24"/>
          <w:lang w:val="en-US"/>
        </w:rPr>
        <w:t xml:space="preserve"> adopt a new one. </w:t>
      </w:r>
    </w:p>
    <w:p w14:paraId="13E4FF52" w14:textId="57B692A3" w:rsidR="009659F7" w:rsidRPr="00310516" w:rsidRDefault="008D0203" w:rsidP="003524B5">
      <w:pPr>
        <w:pStyle w:val="ListParagraph"/>
        <w:numPr>
          <w:ilvl w:val="2"/>
          <w:numId w:val="10"/>
        </w:numPr>
        <w:spacing w:after="120"/>
        <w:ind w:left="851" w:hanging="851"/>
        <w:contextualSpacing w:val="0"/>
        <w:jc w:val="both"/>
        <w:rPr>
          <w:rFonts w:ascii="Times New Roman" w:hAnsi="Times New Roman" w:cs="Times New Roman"/>
          <w:b/>
          <w:noProof/>
          <w:sz w:val="24"/>
          <w:szCs w:val="24"/>
        </w:rPr>
      </w:pPr>
      <w:r w:rsidRPr="00310516">
        <w:rPr>
          <w:rFonts w:ascii="Times New Roman" w:hAnsi="Times New Roman" w:cs="Times New Roman"/>
          <w:b/>
          <w:noProof/>
          <w:sz w:val="24"/>
          <w:szCs w:val="24"/>
          <w:shd w:val="clear" w:color="auto" w:fill="FFFFFF"/>
        </w:rPr>
        <w:t xml:space="preserve">Establishment of </w:t>
      </w:r>
      <w:r w:rsidR="000F4F95" w:rsidRPr="00310516">
        <w:rPr>
          <w:rFonts w:ascii="Times New Roman" w:hAnsi="Times New Roman" w:cs="Times New Roman"/>
          <w:b/>
          <w:noProof/>
          <w:sz w:val="24"/>
          <w:szCs w:val="24"/>
          <w:shd w:val="clear" w:color="auto" w:fill="FFFFFF"/>
        </w:rPr>
        <w:t>common methodology and minimum q</w:t>
      </w:r>
      <w:r w:rsidRPr="00310516">
        <w:rPr>
          <w:rFonts w:ascii="Times New Roman" w:hAnsi="Times New Roman" w:cs="Times New Roman"/>
          <w:b/>
          <w:noProof/>
          <w:sz w:val="24"/>
          <w:szCs w:val="24"/>
          <w:shd w:val="clear" w:color="auto" w:fill="FFFFFF"/>
        </w:rPr>
        <w:t>uality requirements for the uniform measurement of levels of food waste</w:t>
      </w:r>
    </w:p>
    <w:p w14:paraId="1849A811" w14:textId="5C9A622B" w:rsidR="0055691F" w:rsidRPr="00310516" w:rsidRDefault="0055691F" w:rsidP="0055691F">
      <w:pPr>
        <w:spacing w:after="120"/>
        <w:jc w:val="both"/>
        <w:rPr>
          <w:rFonts w:ascii="Times New Roman" w:hAnsi="Times New Roman" w:cs="Times New Roman"/>
          <w:noProof/>
          <w:sz w:val="24"/>
          <w:szCs w:val="24"/>
        </w:rPr>
      </w:pPr>
      <w:r w:rsidRPr="00310516">
        <w:rPr>
          <w:rFonts w:ascii="Times New Roman" w:hAnsi="Times New Roman" w:cs="Times New Roman"/>
          <w:noProof/>
          <w:sz w:val="24"/>
          <w:szCs w:val="24"/>
        </w:rPr>
        <w:t xml:space="preserve">According to Article 9(8) of the </w:t>
      </w:r>
      <w:r w:rsidR="003B7C69" w:rsidRPr="00AE3B65">
        <w:rPr>
          <w:rFonts w:ascii="Times New Roman" w:hAnsi="Times New Roman" w:cs="Times New Roman"/>
          <w:noProof/>
          <w:sz w:val="24"/>
          <w:szCs w:val="24"/>
        </w:rPr>
        <w:t>Directive 2008/98/EC</w:t>
      </w:r>
      <w:r w:rsidR="00513B20">
        <w:rPr>
          <w:rFonts w:ascii="Times New Roman" w:hAnsi="Times New Roman" w:cs="Times New Roman"/>
          <w:noProof/>
          <w:sz w:val="24"/>
          <w:szCs w:val="24"/>
        </w:rPr>
        <w:t>,</w:t>
      </w:r>
      <w:r w:rsidR="003B7C69">
        <w:rPr>
          <w:rFonts w:ascii="Times New Roman" w:hAnsi="Times New Roman" w:cs="Times New Roman"/>
          <w:noProof/>
          <w:sz w:val="24"/>
          <w:szCs w:val="24"/>
        </w:rPr>
        <w:t xml:space="preserve"> </w:t>
      </w:r>
      <w:r w:rsidRPr="00310516">
        <w:rPr>
          <w:rFonts w:ascii="Times New Roman" w:hAnsi="Times New Roman" w:cs="Times New Roman"/>
          <w:noProof/>
          <w:sz w:val="24"/>
          <w:szCs w:val="24"/>
        </w:rPr>
        <w:t xml:space="preserve">the Commission shall adopt a delegated act establishing a common methodology and minimum quality requirements for the uniform measurement of levels of food waste. </w:t>
      </w:r>
      <w:r w:rsidR="000F2FF8">
        <w:rPr>
          <w:rFonts w:ascii="Times New Roman" w:hAnsi="Times New Roman" w:cs="Times New Roman"/>
          <w:noProof/>
          <w:sz w:val="24"/>
          <w:szCs w:val="24"/>
        </w:rPr>
        <w:t>O</w:t>
      </w:r>
      <w:r w:rsidR="000F2FF8" w:rsidRPr="00310516">
        <w:rPr>
          <w:rFonts w:ascii="Times New Roman" w:hAnsi="Times New Roman" w:cs="Times New Roman"/>
          <w:noProof/>
          <w:sz w:val="24"/>
          <w:szCs w:val="24"/>
        </w:rPr>
        <w:t>n 3 of May 2019</w:t>
      </w:r>
      <w:r w:rsidR="000F2FF8">
        <w:rPr>
          <w:rFonts w:ascii="Times New Roman" w:hAnsi="Times New Roman" w:cs="Times New Roman"/>
          <w:noProof/>
          <w:sz w:val="24"/>
          <w:szCs w:val="24"/>
        </w:rPr>
        <w:t>, t</w:t>
      </w:r>
      <w:r w:rsidRPr="00310516">
        <w:rPr>
          <w:rFonts w:ascii="Times New Roman" w:hAnsi="Times New Roman" w:cs="Times New Roman"/>
          <w:noProof/>
          <w:sz w:val="24"/>
          <w:szCs w:val="24"/>
        </w:rPr>
        <w:t xml:space="preserve">he Commission adopted </w:t>
      </w:r>
      <w:r w:rsidR="00513B20">
        <w:rPr>
          <w:rFonts w:ascii="Times New Roman" w:hAnsi="Times New Roman" w:cs="Times New Roman"/>
          <w:noProof/>
          <w:sz w:val="24"/>
          <w:szCs w:val="24"/>
        </w:rPr>
        <w:t xml:space="preserve">a </w:t>
      </w:r>
      <w:r w:rsidRPr="00310516">
        <w:rPr>
          <w:rFonts w:ascii="Times New Roman" w:hAnsi="Times New Roman" w:cs="Times New Roman"/>
          <w:noProof/>
          <w:sz w:val="24"/>
          <w:szCs w:val="24"/>
        </w:rPr>
        <w:t>Commission Delegated Decision (EU) 2019/1597 supplementing Directive 2008/98/EC as regards a common methodology and minimum quality requirements for the uniform measurement of levels of food waste</w:t>
      </w:r>
      <w:r w:rsidRPr="00310516">
        <w:rPr>
          <w:rStyle w:val="FootnoteReference"/>
          <w:rFonts w:ascii="Times New Roman" w:hAnsi="Times New Roman" w:cs="Times New Roman"/>
          <w:noProof/>
          <w:sz w:val="24"/>
          <w:szCs w:val="24"/>
        </w:rPr>
        <w:footnoteReference w:id="30"/>
      </w:r>
      <w:r w:rsidRPr="00310516">
        <w:rPr>
          <w:rFonts w:ascii="Times New Roman" w:hAnsi="Times New Roman" w:cs="Times New Roman"/>
          <w:noProof/>
          <w:sz w:val="24"/>
          <w:szCs w:val="24"/>
        </w:rPr>
        <w:t>.</w:t>
      </w:r>
    </w:p>
    <w:p w14:paraId="0202B403" w14:textId="29FCA1A1" w:rsidR="005B4382" w:rsidRPr="00310516" w:rsidRDefault="009659F7" w:rsidP="003524B5">
      <w:pPr>
        <w:pStyle w:val="ListParagraph"/>
        <w:numPr>
          <w:ilvl w:val="2"/>
          <w:numId w:val="10"/>
        </w:numPr>
        <w:spacing w:after="120"/>
        <w:ind w:left="851" w:hanging="851"/>
        <w:contextualSpacing w:val="0"/>
        <w:jc w:val="both"/>
        <w:rPr>
          <w:rFonts w:ascii="Times New Roman" w:hAnsi="Times New Roman" w:cs="Times New Roman"/>
          <w:b/>
          <w:noProof/>
          <w:sz w:val="24"/>
          <w:szCs w:val="24"/>
        </w:rPr>
      </w:pPr>
      <w:r w:rsidRPr="00310516">
        <w:rPr>
          <w:rFonts w:ascii="Times New Roman" w:hAnsi="Times New Roman" w:cs="Times New Roman"/>
          <w:b/>
          <w:noProof/>
          <w:sz w:val="24"/>
          <w:szCs w:val="24"/>
        </w:rPr>
        <w:t>Establishment of rules for the calculation, verification and reporting of the weight of materials or substances which are removed after a sorting operation and which are not subsequently recycled, based on average loss rates for sorted waste</w:t>
      </w:r>
    </w:p>
    <w:p w14:paraId="3CC07DFA" w14:textId="799563B9" w:rsidR="00F55D22" w:rsidRPr="00C03C39" w:rsidRDefault="00F55D22" w:rsidP="00F55D22">
      <w:pPr>
        <w:spacing w:after="120"/>
        <w:jc w:val="both"/>
        <w:rPr>
          <w:rFonts w:ascii="Times New Roman" w:hAnsi="Times New Roman" w:cs="Times New Roman"/>
          <w:noProof/>
          <w:sz w:val="24"/>
          <w:szCs w:val="24"/>
        </w:rPr>
      </w:pPr>
      <w:r w:rsidRPr="00310516">
        <w:rPr>
          <w:rFonts w:ascii="Times New Roman" w:hAnsi="Times New Roman" w:cs="Times New Roman"/>
          <w:noProof/>
          <w:sz w:val="24"/>
          <w:szCs w:val="24"/>
        </w:rPr>
        <w:t xml:space="preserve">Pursuant to Article 11(10) of </w:t>
      </w:r>
      <w:r w:rsidR="003B7C69" w:rsidRPr="00AE3B65">
        <w:rPr>
          <w:rFonts w:ascii="Times New Roman" w:hAnsi="Times New Roman" w:cs="Times New Roman"/>
          <w:noProof/>
          <w:sz w:val="24"/>
          <w:szCs w:val="24"/>
        </w:rPr>
        <w:t>Directive 2008/98/EC</w:t>
      </w:r>
      <w:r w:rsidRPr="00FD3000">
        <w:rPr>
          <w:rFonts w:ascii="Times New Roman" w:hAnsi="Times New Roman" w:cs="Times New Roman"/>
          <w:noProof/>
          <w:sz w:val="24"/>
          <w:szCs w:val="24"/>
        </w:rPr>
        <w:t>, by 31 March 2019,</w:t>
      </w:r>
      <w:r w:rsidRPr="00C03C39">
        <w:rPr>
          <w:rFonts w:ascii="Times New Roman" w:hAnsi="Times New Roman" w:cs="Times New Roman"/>
          <w:noProof/>
          <w:sz w:val="24"/>
          <w:szCs w:val="24"/>
        </w:rPr>
        <w:t xml:space="preserve"> the Commission shall adopt a delegated act establishing rules for the calculation, verification and reporting of the weight of materials or substances which are removed after a sorting operation and which are not subsequently recycled, based on average loss rates for sorted waste.</w:t>
      </w:r>
    </w:p>
    <w:p w14:paraId="3FADC414" w14:textId="3952DA8B" w:rsidR="00F55D22" w:rsidRPr="00C03C39" w:rsidRDefault="00F55D22" w:rsidP="00F55D22">
      <w:pPr>
        <w:spacing w:after="120"/>
        <w:jc w:val="both"/>
        <w:rPr>
          <w:rFonts w:ascii="Times New Roman" w:hAnsi="Times New Roman" w:cs="Times New Roman"/>
          <w:noProof/>
          <w:sz w:val="24"/>
          <w:szCs w:val="24"/>
        </w:rPr>
      </w:pPr>
      <w:r w:rsidRPr="00FD3000">
        <w:rPr>
          <w:rFonts w:ascii="Times New Roman" w:hAnsi="Times New Roman" w:cs="Times New Roman"/>
          <w:noProof/>
          <w:sz w:val="24"/>
          <w:szCs w:val="24"/>
        </w:rPr>
        <w:t xml:space="preserve">The Commission </w:t>
      </w:r>
      <w:r w:rsidR="003A1E0F">
        <w:rPr>
          <w:rFonts w:ascii="Times New Roman" w:hAnsi="Times New Roman" w:cs="Times New Roman"/>
          <w:noProof/>
          <w:sz w:val="24"/>
          <w:szCs w:val="24"/>
        </w:rPr>
        <w:t>adopted</w:t>
      </w:r>
      <w:r w:rsidR="003A1E0F" w:rsidRPr="00FD3000">
        <w:rPr>
          <w:rFonts w:ascii="Times New Roman" w:hAnsi="Times New Roman" w:cs="Times New Roman"/>
          <w:noProof/>
          <w:sz w:val="24"/>
          <w:szCs w:val="24"/>
        </w:rPr>
        <w:t xml:space="preserve"> </w:t>
      </w:r>
      <w:r w:rsidRPr="00FD3000">
        <w:rPr>
          <w:rFonts w:ascii="Times New Roman" w:hAnsi="Times New Roman" w:cs="Times New Roman"/>
          <w:noProof/>
          <w:sz w:val="24"/>
          <w:szCs w:val="24"/>
        </w:rPr>
        <w:t xml:space="preserve">a proposal </w:t>
      </w:r>
      <w:r w:rsidR="005B5088">
        <w:rPr>
          <w:rFonts w:ascii="Times New Roman" w:hAnsi="Times New Roman" w:cs="Times New Roman"/>
          <w:noProof/>
          <w:sz w:val="24"/>
          <w:szCs w:val="24"/>
        </w:rPr>
        <w:t>for</w:t>
      </w:r>
      <w:r w:rsidR="005B5088" w:rsidRPr="00FD3000">
        <w:rPr>
          <w:rFonts w:ascii="Times New Roman" w:hAnsi="Times New Roman" w:cs="Times New Roman"/>
          <w:noProof/>
          <w:sz w:val="24"/>
          <w:szCs w:val="24"/>
        </w:rPr>
        <w:t xml:space="preserve"> </w:t>
      </w:r>
      <w:r w:rsidRPr="00FD3000">
        <w:rPr>
          <w:rFonts w:ascii="Times New Roman" w:hAnsi="Times New Roman" w:cs="Times New Roman"/>
          <w:noProof/>
          <w:sz w:val="24"/>
          <w:szCs w:val="24"/>
        </w:rPr>
        <w:t>a Commiss</w:t>
      </w:r>
      <w:r w:rsidR="00FB45D6" w:rsidRPr="00FD3000">
        <w:rPr>
          <w:rFonts w:ascii="Times New Roman" w:hAnsi="Times New Roman" w:cs="Times New Roman"/>
          <w:noProof/>
          <w:sz w:val="24"/>
          <w:szCs w:val="24"/>
        </w:rPr>
        <w:t xml:space="preserve">ion Delegated Decision </w:t>
      </w:r>
      <w:r w:rsidR="003A1E0F">
        <w:rPr>
          <w:rFonts w:ascii="Times New Roman" w:hAnsi="Times New Roman" w:cs="Times New Roman"/>
          <w:noProof/>
          <w:sz w:val="24"/>
          <w:szCs w:val="24"/>
        </w:rPr>
        <w:t>on 31</w:t>
      </w:r>
      <w:r w:rsidR="00FB45D6" w:rsidRPr="00FD3000">
        <w:rPr>
          <w:rFonts w:ascii="Times New Roman" w:hAnsi="Times New Roman" w:cs="Times New Roman"/>
          <w:noProof/>
          <w:sz w:val="24"/>
          <w:szCs w:val="24"/>
        </w:rPr>
        <w:t xml:space="preserve"> Aug</w:t>
      </w:r>
      <w:r w:rsidRPr="00FD3000">
        <w:rPr>
          <w:rFonts w:ascii="Times New Roman" w:hAnsi="Times New Roman" w:cs="Times New Roman"/>
          <w:noProof/>
          <w:sz w:val="24"/>
          <w:szCs w:val="24"/>
        </w:rPr>
        <w:t>ust 2021, but the Council objected to this proposal on 1</w:t>
      </w:r>
      <w:r w:rsidR="00C52B15">
        <w:rPr>
          <w:rFonts w:ascii="Times New Roman" w:hAnsi="Times New Roman" w:cs="Times New Roman"/>
          <w:noProof/>
          <w:sz w:val="24"/>
          <w:szCs w:val="24"/>
        </w:rPr>
        <w:t>3</w:t>
      </w:r>
      <w:r w:rsidRPr="00FD3000">
        <w:rPr>
          <w:rFonts w:ascii="Times New Roman" w:hAnsi="Times New Roman" w:cs="Times New Roman"/>
          <w:noProof/>
          <w:sz w:val="24"/>
          <w:szCs w:val="24"/>
        </w:rPr>
        <w:t xml:space="preserve"> December 2021</w:t>
      </w:r>
      <w:r w:rsidRPr="00FD3000">
        <w:rPr>
          <w:rStyle w:val="FootnoteReference"/>
          <w:rFonts w:ascii="Times New Roman" w:hAnsi="Times New Roman" w:cs="Times New Roman"/>
          <w:noProof/>
          <w:sz w:val="24"/>
          <w:szCs w:val="24"/>
        </w:rPr>
        <w:footnoteReference w:id="31"/>
      </w:r>
      <w:r w:rsidR="001278EC">
        <w:rPr>
          <w:rFonts w:ascii="Times New Roman" w:hAnsi="Times New Roman" w:cs="Times New Roman"/>
          <w:noProof/>
          <w:sz w:val="24"/>
          <w:szCs w:val="24"/>
        </w:rPr>
        <w:t>.</w:t>
      </w:r>
      <w:r w:rsidRPr="00C03C39">
        <w:rPr>
          <w:rFonts w:ascii="Times New Roman" w:hAnsi="Times New Roman" w:cs="Times New Roman"/>
          <w:noProof/>
          <w:sz w:val="24"/>
          <w:szCs w:val="24"/>
        </w:rPr>
        <w:t xml:space="preserve"> </w:t>
      </w:r>
    </w:p>
    <w:p w14:paraId="4D120EAA" w14:textId="2CB9226A" w:rsidR="005B4382" w:rsidRPr="00C03C39" w:rsidRDefault="005B4382" w:rsidP="003524B5">
      <w:pPr>
        <w:pStyle w:val="ListParagraph"/>
        <w:numPr>
          <w:ilvl w:val="2"/>
          <w:numId w:val="10"/>
        </w:numPr>
        <w:spacing w:after="120"/>
        <w:ind w:left="851" w:hanging="851"/>
        <w:contextualSpacing w:val="0"/>
        <w:jc w:val="both"/>
        <w:rPr>
          <w:rFonts w:ascii="Times New Roman" w:hAnsi="Times New Roman" w:cs="Times New Roman"/>
          <w:b/>
          <w:noProof/>
          <w:sz w:val="24"/>
          <w:szCs w:val="24"/>
        </w:rPr>
      </w:pPr>
      <w:r w:rsidRPr="00C03C39">
        <w:rPr>
          <w:rFonts w:ascii="Times New Roman" w:hAnsi="Times New Roman" w:cs="Times New Roman"/>
          <w:b/>
          <w:noProof/>
          <w:sz w:val="24"/>
          <w:szCs w:val="24"/>
        </w:rPr>
        <w:t>Setting of technical minimum standards for treatment activities</w:t>
      </w:r>
    </w:p>
    <w:p w14:paraId="48C96C85" w14:textId="303C2E2C" w:rsidR="00F0198B" w:rsidRPr="00FD3000" w:rsidRDefault="00F0198B" w:rsidP="2E27594B">
      <w:pPr>
        <w:spacing w:after="120"/>
        <w:jc w:val="both"/>
        <w:rPr>
          <w:rFonts w:ascii="Times New Roman" w:hAnsi="Times New Roman" w:cs="Times New Roman"/>
          <w:noProof/>
          <w:sz w:val="24"/>
          <w:szCs w:val="24"/>
          <w:shd w:val="clear" w:color="auto" w:fill="FFFFFF"/>
        </w:rPr>
      </w:pPr>
      <w:r w:rsidRPr="00C03C39">
        <w:rPr>
          <w:rFonts w:ascii="Times New Roman" w:hAnsi="Times New Roman" w:cs="Times New Roman"/>
          <w:noProof/>
          <w:sz w:val="24"/>
          <w:szCs w:val="24"/>
          <w:shd w:val="clear" w:color="auto" w:fill="FFFFFF"/>
        </w:rPr>
        <w:t>According to Art</w:t>
      </w:r>
      <w:r w:rsidR="3D982413" w:rsidRPr="00C03C39">
        <w:rPr>
          <w:rFonts w:ascii="Times New Roman" w:hAnsi="Times New Roman" w:cs="Times New Roman"/>
          <w:noProof/>
          <w:sz w:val="24"/>
          <w:szCs w:val="24"/>
          <w:shd w:val="clear" w:color="auto" w:fill="FFFFFF"/>
        </w:rPr>
        <w:t>i</w:t>
      </w:r>
      <w:r w:rsidRPr="00C03C39">
        <w:rPr>
          <w:rFonts w:ascii="Times New Roman" w:hAnsi="Times New Roman" w:cs="Times New Roman"/>
          <w:noProof/>
          <w:sz w:val="24"/>
          <w:szCs w:val="24"/>
          <w:shd w:val="clear" w:color="auto" w:fill="FFFFFF"/>
        </w:rPr>
        <w:t xml:space="preserve">cle 27(1) of </w:t>
      </w:r>
      <w:r w:rsidR="003B7C69" w:rsidRPr="00AE3B65">
        <w:rPr>
          <w:rFonts w:ascii="Times New Roman" w:hAnsi="Times New Roman" w:cs="Times New Roman"/>
          <w:noProof/>
          <w:sz w:val="24"/>
          <w:szCs w:val="24"/>
        </w:rPr>
        <w:t>Directive 2008/98/EC</w:t>
      </w:r>
      <w:r w:rsidR="003A1E0F">
        <w:rPr>
          <w:rFonts w:ascii="Times New Roman" w:hAnsi="Times New Roman" w:cs="Times New Roman"/>
          <w:noProof/>
          <w:sz w:val="24"/>
          <w:szCs w:val="24"/>
        </w:rPr>
        <w:t>,</w:t>
      </w:r>
      <w:r w:rsidR="003B7C69">
        <w:rPr>
          <w:rFonts w:ascii="Times New Roman" w:hAnsi="Times New Roman" w:cs="Times New Roman"/>
          <w:noProof/>
          <w:sz w:val="24"/>
          <w:szCs w:val="24"/>
        </w:rPr>
        <w:t xml:space="preserve"> </w:t>
      </w:r>
      <w:r w:rsidRPr="00C03C39">
        <w:rPr>
          <w:rFonts w:ascii="Times New Roman" w:hAnsi="Times New Roman" w:cs="Times New Roman"/>
          <w:noProof/>
          <w:sz w:val="24"/>
          <w:szCs w:val="24"/>
          <w:shd w:val="clear" w:color="auto" w:fill="FFFFFF"/>
        </w:rPr>
        <w:t xml:space="preserve">the Commission shall adopt delegated acts in order to supplement the </w:t>
      </w:r>
      <w:r w:rsidR="003B7C69">
        <w:rPr>
          <w:rFonts w:ascii="Times New Roman" w:hAnsi="Times New Roman" w:cs="Times New Roman"/>
          <w:noProof/>
          <w:sz w:val="24"/>
          <w:szCs w:val="24"/>
          <w:shd w:val="clear" w:color="auto" w:fill="FFFFFF"/>
        </w:rPr>
        <w:t>Directive</w:t>
      </w:r>
      <w:r w:rsidRPr="00C03C39">
        <w:rPr>
          <w:rFonts w:ascii="Times New Roman" w:hAnsi="Times New Roman" w:cs="Times New Roman"/>
          <w:noProof/>
          <w:sz w:val="24"/>
          <w:szCs w:val="24"/>
          <w:shd w:val="clear" w:color="auto" w:fill="FFFFFF"/>
        </w:rPr>
        <w:t xml:space="preserve"> by setting out technical minimum standards for treatment activities, including for sorting and recycling of waste, which require a permit</w:t>
      </w:r>
      <w:r w:rsidR="00FB45D6" w:rsidRPr="00C03C39">
        <w:rPr>
          <w:rFonts w:ascii="Times New Roman" w:hAnsi="Times New Roman" w:cs="Times New Roman"/>
          <w:noProof/>
          <w:sz w:val="24"/>
          <w:szCs w:val="24"/>
          <w:shd w:val="clear" w:color="auto" w:fill="FFFFFF"/>
        </w:rPr>
        <w:t>,</w:t>
      </w:r>
      <w:r w:rsidRPr="00C03C39">
        <w:rPr>
          <w:rFonts w:ascii="Times New Roman" w:hAnsi="Times New Roman" w:cs="Times New Roman"/>
          <w:noProof/>
          <w:sz w:val="24"/>
          <w:szCs w:val="24"/>
          <w:shd w:val="clear" w:color="auto" w:fill="FFFFFF"/>
        </w:rPr>
        <w:t xml:space="preserve"> where there is evidence that a benefit in terms of the protection of human health and the environment would be gained from such minimum standards.</w:t>
      </w:r>
    </w:p>
    <w:p w14:paraId="0B015482" w14:textId="6247D290" w:rsidR="00647EB6" w:rsidRPr="00647EB6" w:rsidRDefault="004925A6" w:rsidP="00647EB6">
      <w:pPr>
        <w:spacing w:after="120"/>
        <w:jc w:val="both"/>
        <w:rPr>
          <w:rFonts w:ascii="Times New Roman" w:hAnsi="Times New Roman" w:cs="Times New Roman"/>
          <w:b/>
          <w:bCs/>
          <w:noProof/>
          <w:sz w:val="24"/>
          <w:szCs w:val="24"/>
        </w:rPr>
      </w:pPr>
      <w:r w:rsidRPr="723E4AB3">
        <w:rPr>
          <w:rFonts w:ascii="Times New Roman" w:hAnsi="Times New Roman" w:cs="Times New Roman"/>
          <w:noProof/>
          <w:sz w:val="24"/>
          <w:szCs w:val="24"/>
          <w:shd w:val="clear" w:color="auto" w:fill="FFFFFF"/>
        </w:rPr>
        <w:t xml:space="preserve">The Commission </w:t>
      </w:r>
      <w:r w:rsidR="1F701ADE" w:rsidRPr="723E4AB3">
        <w:rPr>
          <w:rFonts w:ascii="Times New Roman" w:hAnsi="Times New Roman" w:cs="Times New Roman"/>
          <w:noProof/>
          <w:sz w:val="24"/>
          <w:szCs w:val="24"/>
          <w:shd w:val="clear" w:color="auto" w:fill="FFFFFF"/>
        </w:rPr>
        <w:t>ha</w:t>
      </w:r>
      <w:r w:rsidR="000F2FF8">
        <w:rPr>
          <w:rFonts w:ascii="Times New Roman" w:hAnsi="Times New Roman" w:cs="Times New Roman"/>
          <w:noProof/>
          <w:sz w:val="24"/>
          <w:szCs w:val="24"/>
          <w:shd w:val="clear" w:color="auto" w:fill="FFFFFF"/>
        </w:rPr>
        <w:t>s</w:t>
      </w:r>
      <w:r w:rsidR="1F701ADE" w:rsidRPr="723E4AB3">
        <w:rPr>
          <w:rFonts w:ascii="Times New Roman" w:hAnsi="Times New Roman" w:cs="Times New Roman"/>
          <w:noProof/>
          <w:sz w:val="24"/>
          <w:szCs w:val="24"/>
          <w:shd w:val="clear" w:color="auto" w:fill="FFFFFF"/>
        </w:rPr>
        <w:t xml:space="preserve"> </w:t>
      </w:r>
      <w:r w:rsidRPr="723E4AB3">
        <w:rPr>
          <w:rFonts w:ascii="Times New Roman" w:hAnsi="Times New Roman" w:cs="Times New Roman"/>
          <w:noProof/>
          <w:sz w:val="24"/>
          <w:szCs w:val="24"/>
          <w:shd w:val="clear" w:color="auto" w:fill="FFFFFF"/>
        </w:rPr>
        <w:t>not identified the need to make use of the delegated power under this provision</w:t>
      </w:r>
      <w:r w:rsidRPr="00647EB6">
        <w:rPr>
          <w:rFonts w:ascii="Times New Roman" w:hAnsi="Times New Roman" w:cs="Times New Roman"/>
          <w:noProof/>
          <w:sz w:val="24"/>
          <w:szCs w:val="24"/>
          <w:lang w:val="en-US"/>
        </w:rPr>
        <w:t xml:space="preserve">. </w:t>
      </w:r>
    </w:p>
    <w:p w14:paraId="41CF8CBD" w14:textId="695207C7" w:rsidR="005B4382" w:rsidRPr="00C03C39" w:rsidRDefault="005B4382" w:rsidP="2E27594B">
      <w:pPr>
        <w:pStyle w:val="ListParagraph"/>
        <w:numPr>
          <w:ilvl w:val="2"/>
          <w:numId w:val="10"/>
        </w:numPr>
        <w:spacing w:after="120"/>
        <w:ind w:left="851" w:hanging="851"/>
        <w:jc w:val="both"/>
        <w:rPr>
          <w:rFonts w:ascii="Times New Roman" w:hAnsi="Times New Roman" w:cs="Times New Roman"/>
          <w:b/>
          <w:bCs/>
          <w:noProof/>
          <w:sz w:val="24"/>
          <w:szCs w:val="24"/>
        </w:rPr>
      </w:pPr>
      <w:r w:rsidRPr="00C03C39">
        <w:rPr>
          <w:rFonts w:ascii="Times New Roman" w:hAnsi="Times New Roman" w:cs="Times New Roman"/>
          <w:b/>
          <w:bCs/>
          <w:noProof/>
          <w:sz w:val="24"/>
          <w:szCs w:val="24"/>
        </w:rPr>
        <w:t xml:space="preserve">Setting out the minimum standards for activities </w:t>
      </w:r>
      <w:r w:rsidR="005D60F4" w:rsidRPr="00C03C39">
        <w:rPr>
          <w:rFonts w:ascii="Times New Roman" w:hAnsi="Times New Roman" w:cs="Times New Roman"/>
          <w:b/>
          <w:bCs/>
          <w:noProof/>
          <w:sz w:val="24"/>
          <w:szCs w:val="24"/>
        </w:rPr>
        <w:t>related to professional waste collection and transport</w:t>
      </w:r>
      <w:r w:rsidRPr="00C03C39">
        <w:rPr>
          <w:rFonts w:ascii="Times New Roman" w:hAnsi="Times New Roman" w:cs="Times New Roman"/>
          <w:b/>
          <w:bCs/>
          <w:noProof/>
          <w:sz w:val="24"/>
          <w:szCs w:val="24"/>
        </w:rPr>
        <w:t xml:space="preserve"> a</w:t>
      </w:r>
      <w:r w:rsidR="00FB45D6" w:rsidRPr="00C03C39">
        <w:rPr>
          <w:rFonts w:ascii="Times New Roman" w:hAnsi="Times New Roman" w:cs="Times New Roman"/>
          <w:b/>
          <w:bCs/>
          <w:noProof/>
          <w:sz w:val="24"/>
          <w:szCs w:val="24"/>
        </w:rPr>
        <w:t xml:space="preserve">s well as of </w:t>
      </w:r>
      <w:r w:rsidR="005D60F4" w:rsidRPr="00C03C39">
        <w:rPr>
          <w:rFonts w:ascii="Times New Roman" w:hAnsi="Times New Roman" w:cs="Times New Roman"/>
          <w:b/>
          <w:bCs/>
          <w:noProof/>
          <w:sz w:val="24"/>
          <w:szCs w:val="24"/>
        </w:rPr>
        <w:t>activ</w:t>
      </w:r>
      <w:r w:rsidR="37F42BD9" w:rsidRPr="00C03C39">
        <w:rPr>
          <w:rFonts w:ascii="Times New Roman" w:hAnsi="Times New Roman" w:cs="Times New Roman"/>
          <w:b/>
          <w:bCs/>
          <w:noProof/>
          <w:sz w:val="24"/>
          <w:szCs w:val="24"/>
        </w:rPr>
        <w:t>i</w:t>
      </w:r>
      <w:r w:rsidR="005D60F4" w:rsidRPr="00C03C39">
        <w:rPr>
          <w:rFonts w:ascii="Times New Roman" w:hAnsi="Times New Roman" w:cs="Times New Roman"/>
          <w:b/>
          <w:bCs/>
          <w:noProof/>
          <w:sz w:val="24"/>
          <w:szCs w:val="24"/>
        </w:rPr>
        <w:t xml:space="preserve">ties of </w:t>
      </w:r>
      <w:r w:rsidR="00FB45D6" w:rsidRPr="00C03C39">
        <w:rPr>
          <w:rFonts w:ascii="Times New Roman" w:hAnsi="Times New Roman" w:cs="Times New Roman"/>
          <w:b/>
          <w:bCs/>
          <w:noProof/>
          <w:sz w:val="24"/>
          <w:szCs w:val="24"/>
        </w:rPr>
        <w:t>dealers or brokers</w:t>
      </w:r>
      <w:r w:rsidRPr="00C03C39">
        <w:rPr>
          <w:rFonts w:ascii="Times New Roman" w:hAnsi="Times New Roman" w:cs="Times New Roman"/>
          <w:b/>
          <w:bCs/>
          <w:noProof/>
          <w:sz w:val="24"/>
          <w:szCs w:val="24"/>
        </w:rPr>
        <w:t xml:space="preserve"> </w:t>
      </w:r>
    </w:p>
    <w:p w14:paraId="52570B7F" w14:textId="5B7E4FCB" w:rsidR="00F0198B" w:rsidRPr="00F0198B" w:rsidRDefault="00F0198B" w:rsidP="00706E1E">
      <w:pPr>
        <w:spacing w:after="120"/>
        <w:jc w:val="both"/>
        <w:rPr>
          <w:rFonts w:ascii="Times New Roman" w:hAnsi="Times New Roman" w:cs="Times New Roman"/>
          <w:bCs/>
          <w:noProof/>
          <w:sz w:val="24"/>
          <w:szCs w:val="24"/>
          <w:shd w:val="clear" w:color="auto" w:fill="FFFFFF"/>
        </w:rPr>
      </w:pPr>
      <w:r w:rsidRPr="00C03C39">
        <w:rPr>
          <w:rFonts w:ascii="Times New Roman" w:hAnsi="Times New Roman" w:cs="Times New Roman"/>
          <w:bCs/>
          <w:noProof/>
          <w:sz w:val="24"/>
          <w:szCs w:val="24"/>
          <w:shd w:val="clear" w:color="auto" w:fill="FFFFFF"/>
        </w:rPr>
        <w:t xml:space="preserve">Pursuant to Article 27(4) of </w:t>
      </w:r>
      <w:r w:rsidR="003B7C69" w:rsidRPr="00AE3B65">
        <w:rPr>
          <w:rFonts w:ascii="Times New Roman" w:hAnsi="Times New Roman" w:cs="Times New Roman"/>
          <w:noProof/>
          <w:sz w:val="24"/>
          <w:szCs w:val="24"/>
        </w:rPr>
        <w:t>Directive 2008/98/EC</w:t>
      </w:r>
      <w:r w:rsidR="003A1E0F">
        <w:rPr>
          <w:rFonts w:ascii="Times New Roman" w:hAnsi="Times New Roman" w:cs="Times New Roman"/>
          <w:noProof/>
          <w:sz w:val="24"/>
          <w:szCs w:val="24"/>
        </w:rPr>
        <w:t>,</w:t>
      </w:r>
      <w:r w:rsidR="001278EC">
        <w:rPr>
          <w:rFonts w:ascii="Times New Roman" w:hAnsi="Times New Roman" w:cs="Times New Roman"/>
          <w:noProof/>
          <w:sz w:val="24"/>
          <w:szCs w:val="24"/>
        </w:rPr>
        <w:t xml:space="preserve"> </w:t>
      </w:r>
      <w:r w:rsidRPr="00C03C39">
        <w:rPr>
          <w:rFonts w:ascii="Times New Roman" w:hAnsi="Times New Roman" w:cs="Times New Roman"/>
          <w:bCs/>
          <w:noProof/>
          <w:sz w:val="24"/>
          <w:szCs w:val="24"/>
          <w:shd w:val="clear" w:color="auto" w:fill="FFFFFF"/>
        </w:rPr>
        <w:t xml:space="preserve">the Commission shall adopt delegated acts in order to supplement the </w:t>
      </w:r>
      <w:r w:rsidR="003B7C69">
        <w:rPr>
          <w:rFonts w:ascii="Times New Roman" w:hAnsi="Times New Roman" w:cs="Times New Roman"/>
          <w:bCs/>
          <w:noProof/>
          <w:sz w:val="24"/>
          <w:szCs w:val="24"/>
          <w:shd w:val="clear" w:color="auto" w:fill="FFFFFF"/>
        </w:rPr>
        <w:t>Directive</w:t>
      </w:r>
      <w:r w:rsidRPr="00C03C39">
        <w:rPr>
          <w:rFonts w:ascii="Times New Roman" w:hAnsi="Times New Roman" w:cs="Times New Roman"/>
          <w:bCs/>
          <w:noProof/>
          <w:sz w:val="24"/>
          <w:szCs w:val="24"/>
          <w:shd w:val="clear" w:color="auto" w:fill="FFFFFF"/>
        </w:rPr>
        <w:t xml:space="preserve"> by setting out the minimum standards for activities </w:t>
      </w:r>
      <w:r w:rsidR="00FB45D6" w:rsidRPr="00C03C39">
        <w:rPr>
          <w:rFonts w:ascii="Times New Roman" w:hAnsi="Times New Roman" w:cs="Times New Roman"/>
          <w:noProof/>
          <w:sz w:val="24"/>
          <w:szCs w:val="24"/>
        </w:rPr>
        <w:t>of establishments or undertakings which collect or transport waste on a professional basis</w:t>
      </w:r>
      <w:r w:rsidR="00FB45D6" w:rsidRPr="00FB45D6">
        <w:rPr>
          <w:rFonts w:ascii="Times New Roman" w:hAnsi="Times New Roman" w:cs="Times New Roman"/>
          <w:noProof/>
          <w:sz w:val="24"/>
          <w:szCs w:val="24"/>
        </w:rPr>
        <w:t xml:space="preserve"> as well as of dealers or brokers, </w:t>
      </w:r>
      <w:r w:rsidRPr="00FB45D6">
        <w:rPr>
          <w:rFonts w:ascii="Times New Roman" w:hAnsi="Times New Roman" w:cs="Times New Roman"/>
          <w:bCs/>
          <w:noProof/>
          <w:sz w:val="24"/>
          <w:szCs w:val="24"/>
          <w:shd w:val="clear" w:color="auto" w:fill="FFFFFF"/>
        </w:rPr>
        <w:t xml:space="preserve">where </w:t>
      </w:r>
      <w:r w:rsidRPr="00F0198B">
        <w:rPr>
          <w:rFonts w:ascii="Times New Roman" w:hAnsi="Times New Roman" w:cs="Times New Roman"/>
          <w:bCs/>
          <w:noProof/>
          <w:sz w:val="24"/>
          <w:szCs w:val="24"/>
          <w:shd w:val="clear" w:color="auto" w:fill="FFFFFF"/>
        </w:rPr>
        <w:t>there is evidence that a benefit in terms of the protection of human health and the environment or in avoiding disruption to the internal market would be gained from such minimum standards.</w:t>
      </w:r>
    </w:p>
    <w:p w14:paraId="11CAAE12" w14:textId="7865C629" w:rsidR="00C82010" w:rsidRPr="00C82010" w:rsidRDefault="000A606E" w:rsidP="723E4AB3">
      <w:pPr>
        <w:spacing w:after="120"/>
        <w:jc w:val="both"/>
        <w:rPr>
          <w:rFonts w:ascii="Times New Roman" w:hAnsi="Times New Roman" w:cs="Times New Roman"/>
          <w:b/>
          <w:bCs/>
          <w:noProof/>
          <w:sz w:val="24"/>
          <w:szCs w:val="24"/>
        </w:rPr>
      </w:pPr>
      <w:r w:rsidRPr="723E4AB3">
        <w:rPr>
          <w:rFonts w:ascii="Times New Roman" w:hAnsi="Times New Roman" w:cs="Times New Roman"/>
          <w:noProof/>
          <w:sz w:val="24"/>
          <w:szCs w:val="24"/>
          <w:shd w:val="clear" w:color="auto" w:fill="FFFFFF"/>
        </w:rPr>
        <w:t xml:space="preserve">The Commission </w:t>
      </w:r>
      <w:r w:rsidR="6BB0B6F6" w:rsidRPr="723E4AB3">
        <w:rPr>
          <w:rFonts w:ascii="Times New Roman" w:hAnsi="Times New Roman" w:cs="Times New Roman"/>
          <w:noProof/>
          <w:sz w:val="24"/>
          <w:szCs w:val="24"/>
          <w:shd w:val="clear" w:color="auto" w:fill="FFFFFF"/>
        </w:rPr>
        <w:t>ha</w:t>
      </w:r>
      <w:r w:rsidR="000F2FF8">
        <w:rPr>
          <w:rFonts w:ascii="Times New Roman" w:hAnsi="Times New Roman" w:cs="Times New Roman"/>
          <w:noProof/>
          <w:sz w:val="24"/>
          <w:szCs w:val="24"/>
          <w:shd w:val="clear" w:color="auto" w:fill="FFFFFF"/>
        </w:rPr>
        <w:t>s</w:t>
      </w:r>
      <w:r w:rsidR="6BB0B6F6" w:rsidRPr="723E4AB3">
        <w:rPr>
          <w:rFonts w:ascii="Times New Roman" w:hAnsi="Times New Roman" w:cs="Times New Roman"/>
          <w:noProof/>
          <w:sz w:val="24"/>
          <w:szCs w:val="24"/>
          <w:shd w:val="clear" w:color="auto" w:fill="FFFFFF"/>
        </w:rPr>
        <w:t xml:space="preserve"> </w:t>
      </w:r>
      <w:r w:rsidRPr="723E4AB3">
        <w:rPr>
          <w:rFonts w:ascii="Times New Roman" w:hAnsi="Times New Roman" w:cs="Times New Roman"/>
          <w:noProof/>
          <w:sz w:val="24"/>
          <w:szCs w:val="24"/>
          <w:shd w:val="clear" w:color="auto" w:fill="FFFFFF"/>
        </w:rPr>
        <w:t>not identified the need to make use of the delegated power under this provision</w:t>
      </w:r>
      <w:r w:rsidRPr="00C82010">
        <w:rPr>
          <w:rFonts w:ascii="Times New Roman" w:hAnsi="Times New Roman" w:cs="Times New Roman"/>
          <w:noProof/>
          <w:sz w:val="24"/>
          <w:szCs w:val="24"/>
          <w:lang w:val="en-US"/>
        </w:rPr>
        <w:t xml:space="preserve">. </w:t>
      </w:r>
    </w:p>
    <w:p w14:paraId="4FF14500" w14:textId="758F33FF" w:rsidR="005B4382" w:rsidRPr="00310516" w:rsidRDefault="005B4382" w:rsidP="003524B5">
      <w:pPr>
        <w:pStyle w:val="ListParagraph"/>
        <w:numPr>
          <w:ilvl w:val="2"/>
          <w:numId w:val="10"/>
        </w:numPr>
        <w:spacing w:after="120"/>
        <w:ind w:left="851" w:hanging="851"/>
        <w:contextualSpacing w:val="0"/>
        <w:jc w:val="both"/>
        <w:rPr>
          <w:rFonts w:ascii="Times New Roman" w:hAnsi="Times New Roman" w:cs="Times New Roman"/>
          <w:b/>
          <w:noProof/>
          <w:sz w:val="24"/>
          <w:szCs w:val="24"/>
        </w:rPr>
      </w:pPr>
      <w:r w:rsidRPr="00310516">
        <w:rPr>
          <w:rFonts w:ascii="Times New Roman" w:hAnsi="Times New Roman" w:cs="Times New Roman"/>
          <w:b/>
          <w:noProof/>
          <w:sz w:val="24"/>
          <w:szCs w:val="24"/>
        </w:rPr>
        <w:t xml:space="preserve">Amendment of point R1 of Annex II </w:t>
      </w:r>
    </w:p>
    <w:p w14:paraId="75F0EE48" w14:textId="19DEEF1D" w:rsidR="00FB45D6" w:rsidRDefault="00F0198B" w:rsidP="00706E1E">
      <w:pPr>
        <w:spacing w:after="1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According to Article 38(2) of </w:t>
      </w:r>
      <w:r w:rsidR="003B7C69" w:rsidRPr="00AE3B65">
        <w:rPr>
          <w:rFonts w:ascii="Times New Roman" w:hAnsi="Times New Roman" w:cs="Times New Roman"/>
          <w:noProof/>
          <w:sz w:val="24"/>
          <w:szCs w:val="24"/>
        </w:rPr>
        <w:t>Directive 2008/98/EC</w:t>
      </w:r>
      <w:r w:rsidR="005B5088">
        <w:rPr>
          <w:rFonts w:ascii="Times New Roman" w:hAnsi="Times New Roman" w:cs="Times New Roman"/>
          <w:noProof/>
          <w:sz w:val="24"/>
          <w:szCs w:val="24"/>
        </w:rPr>
        <w:t>,</w:t>
      </w:r>
      <w:r w:rsidR="003B7C69">
        <w:rPr>
          <w:rFonts w:ascii="Times New Roman" w:hAnsi="Times New Roman" w:cs="Times New Roman"/>
          <w:noProof/>
          <w:sz w:val="24"/>
          <w:szCs w:val="24"/>
        </w:rPr>
        <w:t xml:space="preserve"> </w:t>
      </w:r>
      <w:r>
        <w:rPr>
          <w:rFonts w:ascii="Times New Roman" w:hAnsi="Times New Roman" w:cs="Times New Roman"/>
          <w:noProof/>
          <w:sz w:val="24"/>
          <w:szCs w:val="24"/>
          <w:lang w:val="en-US"/>
        </w:rPr>
        <w:t>t</w:t>
      </w:r>
      <w:r w:rsidRPr="00F0198B">
        <w:rPr>
          <w:rFonts w:ascii="Times New Roman" w:hAnsi="Times New Roman" w:cs="Times New Roman"/>
          <w:noProof/>
          <w:sz w:val="24"/>
          <w:szCs w:val="24"/>
          <w:lang w:val="en-US"/>
        </w:rPr>
        <w:t xml:space="preserve">he Commission is empowered to adopt delegated acts </w:t>
      </w:r>
      <w:r w:rsidR="005B5088">
        <w:rPr>
          <w:rFonts w:ascii="Times New Roman" w:hAnsi="Times New Roman" w:cs="Times New Roman"/>
          <w:noProof/>
          <w:sz w:val="24"/>
          <w:szCs w:val="24"/>
          <w:lang w:val="en-US"/>
        </w:rPr>
        <w:t xml:space="preserve">to </w:t>
      </w:r>
      <w:r w:rsidRPr="00F0198B">
        <w:rPr>
          <w:rFonts w:ascii="Times New Roman" w:hAnsi="Times New Roman" w:cs="Times New Roman"/>
          <w:noProof/>
          <w:sz w:val="24"/>
          <w:szCs w:val="24"/>
          <w:lang w:val="en-US"/>
        </w:rPr>
        <w:t xml:space="preserve">amend </w:t>
      </w:r>
      <w:r w:rsidR="00FB45D6">
        <w:rPr>
          <w:rFonts w:ascii="Times New Roman" w:hAnsi="Times New Roman" w:cs="Times New Roman"/>
          <w:noProof/>
          <w:sz w:val="24"/>
          <w:szCs w:val="24"/>
          <w:lang w:val="en-US"/>
        </w:rPr>
        <w:t xml:space="preserve">the </w:t>
      </w:r>
      <w:r w:rsidR="003B7C69">
        <w:rPr>
          <w:rFonts w:ascii="Times New Roman" w:hAnsi="Times New Roman" w:cs="Times New Roman"/>
          <w:noProof/>
          <w:sz w:val="24"/>
          <w:szCs w:val="24"/>
          <w:lang w:val="en-US"/>
        </w:rPr>
        <w:t>Directive</w:t>
      </w:r>
      <w:r w:rsidRPr="00F0198B">
        <w:rPr>
          <w:rFonts w:ascii="Times New Roman" w:hAnsi="Times New Roman" w:cs="Times New Roman"/>
          <w:noProof/>
          <w:sz w:val="24"/>
          <w:szCs w:val="24"/>
          <w:lang w:val="en-US"/>
        </w:rPr>
        <w:t xml:space="preserve"> by specifying the application of the formula for incineration facilities referred to in point R1 of Annex II. </w:t>
      </w:r>
      <w:r w:rsidR="00FB45D6">
        <w:rPr>
          <w:rFonts w:ascii="Times New Roman" w:hAnsi="Times New Roman" w:cs="Times New Roman"/>
          <w:noProof/>
          <w:sz w:val="24"/>
          <w:szCs w:val="24"/>
          <w:lang w:val="en-US"/>
        </w:rPr>
        <w:t>Annex II contains a list of recovery operations, one of which is R1, described as “</w:t>
      </w:r>
      <w:r w:rsidR="00FB45D6" w:rsidRPr="00F0198B">
        <w:rPr>
          <w:rFonts w:ascii="Times New Roman" w:hAnsi="Times New Roman" w:cs="Times New Roman"/>
          <w:noProof/>
          <w:sz w:val="24"/>
          <w:szCs w:val="24"/>
          <w:lang w:val="en-US"/>
        </w:rPr>
        <w:t>Use principally as a fuel or other means to generate energy</w:t>
      </w:r>
      <w:r w:rsidR="00FB45D6">
        <w:rPr>
          <w:rFonts w:ascii="Times New Roman" w:hAnsi="Times New Roman" w:cs="Times New Roman"/>
          <w:noProof/>
          <w:sz w:val="24"/>
          <w:szCs w:val="24"/>
          <w:lang w:val="en-US"/>
        </w:rPr>
        <w:t>”.</w:t>
      </w:r>
    </w:p>
    <w:p w14:paraId="36F245D4" w14:textId="317E41A0" w:rsidR="00417C5D" w:rsidRPr="0095486A" w:rsidRDefault="005B5088" w:rsidP="00706E1E">
      <w:pPr>
        <w:spacing w:after="120"/>
        <w:jc w:val="both"/>
        <w:rPr>
          <w:rFonts w:ascii="Times New Roman" w:hAnsi="Times New Roman" w:cs="Times New Roman"/>
          <w:bCs/>
          <w:noProof/>
          <w:sz w:val="24"/>
          <w:szCs w:val="24"/>
          <w:shd w:val="clear" w:color="auto" w:fill="FFFFFF"/>
        </w:rPr>
      </w:pPr>
      <w:r>
        <w:rPr>
          <w:rFonts w:ascii="Times New Roman" w:hAnsi="Times New Roman" w:cs="Times New Roman"/>
          <w:noProof/>
          <w:sz w:val="24"/>
          <w:szCs w:val="24"/>
          <w:lang w:val="en-US"/>
        </w:rPr>
        <w:t xml:space="preserve">In the period preceding this report, </w:t>
      </w:r>
      <w:r w:rsidR="0095486A">
        <w:rPr>
          <w:rFonts w:ascii="Times New Roman" w:hAnsi="Times New Roman" w:cs="Times New Roman"/>
          <w:noProof/>
          <w:sz w:val="24"/>
          <w:szCs w:val="24"/>
          <w:lang w:val="en-US"/>
        </w:rPr>
        <w:t xml:space="preserve">based on former Article 38(1) of </w:t>
      </w:r>
      <w:r w:rsidR="003B7C69" w:rsidRPr="00AE3B65">
        <w:rPr>
          <w:rFonts w:ascii="Times New Roman" w:hAnsi="Times New Roman" w:cs="Times New Roman"/>
          <w:noProof/>
          <w:sz w:val="24"/>
          <w:szCs w:val="24"/>
        </w:rPr>
        <w:t>Directive 2008/98/EC</w:t>
      </w:r>
      <w:r w:rsidR="00E01C1C">
        <w:rPr>
          <w:rFonts w:ascii="Times New Roman" w:hAnsi="Times New Roman" w:cs="Times New Roman"/>
          <w:noProof/>
          <w:sz w:val="24"/>
          <w:szCs w:val="24"/>
        </w:rPr>
        <w:t>,</w:t>
      </w:r>
      <w:r w:rsidR="0095486A">
        <w:rPr>
          <w:rFonts w:ascii="Times New Roman" w:hAnsi="Times New Roman" w:cs="Times New Roman"/>
          <w:bCs/>
          <w:noProof/>
          <w:sz w:val="24"/>
          <w:szCs w:val="24"/>
          <w:shd w:val="clear" w:color="auto" w:fill="FFFFFF"/>
          <w:lang w:val="en-US"/>
        </w:rPr>
        <w:t xml:space="preserve"> </w:t>
      </w:r>
      <w:r w:rsidR="00E01C1C">
        <w:rPr>
          <w:rFonts w:ascii="Times New Roman" w:hAnsi="Times New Roman" w:cs="Times New Roman"/>
          <w:noProof/>
          <w:sz w:val="24"/>
          <w:szCs w:val="24"/>
          <w:lang w:val="en-US"/>
        </w:rPr>
        <w:t>t</w:t>
      </w:r>
      <w:r w:rsidR="00E01C1C" w:rsidRPr="00417C5D">
        <w:rPr>
          <w:rFonts w:ascii="Times New Roman" w:hAnsi="Times New Roman" w:cs="Times New Roman"/>
          <w:noProof/>
          <w:sz w:val="24"/>
          <w:szCs w:val="24"/>
          <w:lang w:val="en-US"/>
        </w:rPr>
        <w:t xml:space="preserve">he Commission </w:t>
      </w:r>
      <w:r w:rsidR="00E01C1C">
        <w:rPr>
          <w:rFonts w:ascii="Times New Roman" w:hAnsi="Times New Roman" w:cs="Times New Roman"/>
          <w:noProof/>
          <w:sz w:val="24"/>
          <w:szCs w:val="24"/>
          <w:lang w:val="en-US"/>
        </w:rPr>
        <w:t xml:space="preserve">adopted </w:t>
      </w:r>
      <w:r w:rsidR="00417C5D" w:rsidRPr="00417C5D">
        <w:rPr>
          <w:rFonts w:ascii="Times New Roman" w:hAnsi="Times New Roman" w:cs="Times New Roman"/>
          <w:bCs/>
          <w:noProof/>
          <w:sz w:val="24"/>
          <w:szCs w:val="24"/>
          <w:shd w:val="clear" w:color="auto" w:fill="FFFFFF"/>
          <w:lang w:val="en-US"/>
        </w:rPr>
        <w:t xml:space="preserve">Commission Directive </w:t>
      </w:r>
      <w:r w:rsidR="00417C5D">
        <w:rPr>
          <w:rFonts w:ascii="Times New Roman" w:hAnsi="Times New Roman" w:cs="Times New Roman"/>
          <w:bCs/>
          <w:noProof/>
          <w:sz w:val="24"/>
          <w:szCs w:val="24"/>
          <w:shd w:val="clear" w:color="auto" w:fill="FFFFFF"/>
          <w:lang w:val="en-US"/>
        </w:rPr>
        <w:t xml:space="preserve">(EU) 2015/1127 of 10 July 2015 </w:t>
      </w:r>
      <w:r w:rsidR="00417C5D" w:rsidRPr="00417C5D">
        <w:rPr>
          <w:rFonts w:ascii="Times New Roman" w:hAnsi="Times New Roman" w:cs="Times New Roman"/>
          <w:bCs/>
          <w:noProof/>
          <w:sz w:val="24"/>
          <w:szCs w:val="24"/>
          <w:shd w:val="clear" w:color="auto" w:fill="FFFFFF"/>
          <w:lang w:val="en-US"/>
        </w:rPr>
        <w:t>amending Annex II to Directive 2008/98/</w:t>
      </w:r>
      <w:r w:rsidR="00DC4A01">
        <w:rPr>
          <w:rFonts w:ascii="Times New Roman" w:hAnsi="Times New Roman" w:cs="Times New Roman"/>
          <w:bCs/>
          <w:noProof/>
          <w:sz w:val="24"/>
          <w:szCs w:val="24"/>
          <w:shd w:val="clear" w:color="auto" w:fill="FFFFFF"/>
          <w:lang w:val="en-US"/>
        </w:rPr>
        <w:t>EC</w:t>
      </w:r>
      <w:r w:rsidR="00417C5D" w:rsidRPr="00F0198B">
        <w:rPr>
          <w:rStyle w:val="FootnoteReference"/>
          <w:rFonts w:ascii="Times New Roman" w:hAnsi="Times New Roman" w:cs="Times New Roman"/>
          <w:bCs/>
          <w:noProof/>
          <w:sz w:val="24"/>
          <w:szCs w:val="24"/>
          <w:shd w:val="clear" w:color="auto" w:fill="FFFFFF"/>
          <w:lang w:val="en-US"/>
        </w:rPr>
        <w:footnoteReference w:id="32"/>
      </w:r>
      <w:r w:rsidR="00A71DC4" w:rsidRPr="00F0198B">
        <w:rPr>
          <w:rFonts w:ascii="Times New Roman" w:hAnsi="Times New Roman" w:cs="Times New Roman"/>
          <w:bCs/>
          <w:noProof/>
          <w:sz w:val="24"/>
          <w:szCs w:val="24"/>
          <w:shd w:val="clear" w:color="auto" w:fill="FFFFFF"/>
          <w:lang w:val="en-US"/>
        </w:rPr>
        <w:t>.</w:t>
      </w:r>
    </w:p>
    <w:p w14:paraId="30829550" w14:textId="2C2F4820" w:rsidR="00B16E10" w:rsidRPr="00AE3B65" w:rsidRDefault="0DE305CF" w:rsidP="1463D20E">
      <w:pPr>
        <w:spacing w:after="120"/>
        <w:jc w:val="both"/>
        <w:rPr>
          <w:rFonts w:ascii="Times New Roman" w:hAnsi="Times New Roman" w:cs="Times New Roman"/>
          <w:noProof/>
          <w:sz w:val="24"/>
          <w:szCs w:val="24"/>
          <w:shd w:val="clear" w:color="auto" w:fill="FFFFFF"/>
        </w:rPr>
      </w:pPr>
      <w:r w:rsidRPr="1463D20E">
        <w:rPr>
          <w:rFonts w:ascii="Times New Roman" w:hAnsi="Times New Roman" w:cs="Times New Roman"/>
          <w:noProof/>
          <w:sz w:val="24"/>
          <w:szCs w:val="24"/>
          <w:lang w:val="en-US"/>
        </w:rPr>
        <w:t>The Commission ha</w:t>
      </w:r>
      <w:r w:rsidR="000F2FF8">
        <w:rPr>
          <w:rFonts w:ascii="Times New Roman" w:hAnsi="Times New Roman" w:cs="Times New Roman"/>
          <w:noProof/>
          <w:sz w:val="24"/>
          <w:szCs w:val="24"/>
          <w:lang w:val="en-US"/>
        </w:rPr>
        <w:t>s</w:t>
      </w:r>
      <w:r w:rsidRPr="1463D20E">
        <w:rPr>
          <w:rFonts w:ascii="Times New Roman" w:hAnsi="Times New Roman" w:cs="Times New Roman"/>
          <w:noProof/>
          <w:sz w:val="24"/>
          <w:szCs w:val="24"/>
          <w:lang w:val="en-US"/>
        </w:rPr>
        <w:t xml:space="preserve"> </w:t>
      </w:r>
      <w:r w:rsidR="000F2FF8" w:rsidRPr="1463D20E">
        <w:rPr>
          <w:rFonts w:ascii="Times New Roman" w:hAnsi="Times New Roman" w:cs="Times New Roman"/>
          <w:noProof/>
          <w:sz w:val="24"/>
          <w:szCs w:val="24"/>
          <w:lang w:val="en-US"/>
        </w:rPr>
        <w:t>n</w:t>
      </w:r>
      <w:r w:rsidR="000F2FF8">
        <w:rPr>
          <w:rFonts w:ascii="Times New Roman" w:hAnsi="Times New Roman" w:cs="Times New Roman"/>
          <w:noProof/>
          <w:sz w:val="24"/>
          <w:szCs w:val="24"/>
          <w:lang w:val="en-US"/>
        </w:rPr>
        <w:t>ot</w:t>
      </w:r>
      <w:r w:rsidR="000F2FF8" w:rsidRPr="1463D20E">
        <w:rPr>
          <w:rFonts w:ascii="Times New Roman" w:hAnsi="Times New Roman" w:cs="Times New Roman"/>
          <w:noProof/>
          <w:sz w:val="24"/>
          <w:szCs w:val="24"/>
          <w:lang w:val="en-US"/>
        </w:rPr>
        <w:t xml:space="preserve"> </w:t>
      </w:r>
      <w:r w:rsidRPr="1463D20E">
        <w:rPr>
          <w:rFonts w:ascii="Times New Roman" w:hAnsi="Times New Roman" w:cs="Times New Roman"/>
          <w:noProof/>
          <w:sz w:val="24"/>
          <w:szCs w:val="24"/>
          <w:lang w:val="en-US"/>
        </w:rPr>
        <w:t xml:space="preserve">identified </w:t>
      </w:r>
      <w:r w:rsidR="5F7C9E94" w:rsidRPr="1463D20E">
        <w:rPr>
          <w:rFonts w:ascii="Times New Roman" w:hAnsi="Times New Roman" w:cs="Times New Roman"/>
          <w:noProof/>
          <w:sz w:val="24"/>
          <w:szCs w:val="24"/>
          <w:lang w:val="en-US"/>
        </w:rPr>
        <w:t>the need</w:t>
      </w:r>
      <w:r w:rsidRPr="1463D20E">
        <w:rPr>
          <w:rFonts w:ascii="Times New Roman" w:hAnsi="Times New Roman" w:cs="Times New Roman"/>
          <w:noProof/>
          <w:sz w:val="24"/>
          <w:szCs w:val="24"/>
          <w:lang w:val="en-US"/>
        </w:rPr>
        <w:t xml:space="preserve"> to amend this act </w:t>
      </w:r>
      <w:r w:rsidR="3AA02870" w:rsidRPr="1463D20E">
        <w:rPr>
          <w:rFonts w:ascii="Times New Roman" w:hAnsi="Times New Roman" w:cs="Times New Roman"/>
          <w:noProof/>
          <w:sz w:val="24"/>
          <w:szCs w:val="24"/>
          <w:lang w:val="en-US"/>
        </w:rPr>
        <w:t>nor</w:t>
      </w:r>
      <w:r w:rsidRPr="1463D20E">
        <w:rPr>
          <w:rFonts w:ascii="Times New Roman" w:hAnsi="Times New Roman" w:cs="Times New Roman"/>
          <w:noProof/>
          <w:sz w:val="24"/>
          <w:szCs w:val="24"/>
          <w:lang w:val="en-US"/>
        </w:rPr>
        <w:t xml:space="preserve"> adopt a new one. </w:t>
      </w:r>
    </w:p>
    <w:p w14:paraId="77C73C32" w14:textId="186B8C0F" w:rsidR="005B4382" w:rsidRDefault="005B4382" w:rsidP="003524B5">
      <w:pPr>
        <w:pStyle w:val="ListParagraph"/>
        <w:numPr>
          <w:ilvl w:val="2"/>
          <w:numId w:val="10"/>
        </w:numPr>
        <w:spacing w:after="120"/>
        <w:ind w:left="851" w:hanging="851"/>
        <w:contextualSpacing w:val="0"/>
        <w:jc w:val="both"/>
        <w:rPr>
          <w:rFonts w:ascii="Times New Roman" w:hAnsi="Times New Roman" w:cs="Times New Roman"/>
          <w:b/>
          <w:noProof/>
          <w:sz w:val="24"/>
          <w:szCs w:val="24"/>
        </w:rPr>
      </w:pPr>
      <w:r w:rsidRPr="00310516">
        <w:rPr>
          <w:rFonts w:ascii="Times New Roman" w:hAnsi="Times New Roman" w:cs="Times New Roman"/>
          <w:b/>
          <w:noProof/>
          <w:sz w:val="24"/>
          <w:szCs w:val="24"/>
        </w:rPr>
        <w:t>Amendment of Annexes IV and V</w:t>
      </w:r>
    </w:p>
    <w:p w14:paraId="62962E58" w14:textId="080AA569" w:rsidR="00FB45D6" w:rsidRPr="00D76AB3" w:rsidRDefault="00F0198B" w:rsidP="00F0198B">
      <w:pPr>
        <w:spacing w:after="120"/>
        <w:jc w:val="both"/>
        <w:rPr>
          <w:rFonts w:ascii="Times New Roman" w:hAnsi="Times New Roman" w:cs="Times New Roman"/>
          <w:noProof/>
          <w:color w:val="333333"/>
          <w:sz w:val="24"/>
          <w:szCs w:val="24"/>
          <w:shd w:val="clear" w:color="auto" w:fill="FFFFFF"/>
        </w:rPr>
      </w:pPr>
      <w:r w:rsidRPr="00FB45D6">
        <w:rPr>
          <w:rFonts w:ascii="Times New Roman" w:hAnsi="Times New Roman" w:cs="Times New Roman"/>
          <w:noProof/>
          <w:sz w:val="24"/>
          <w:szCs w:val="24"/>
        </w:rPr>
        <w:t>Pursuant to Arti</w:t>
      </w:r>
      <w:r w:rsidR="0BA9F2C5" w:rsidRPr="00FB45D6">
        <w:rPr>
          <w:rFonts w:ascii="Times New Roman" w:hAnsi="Times New Roman" w:cs="Times New Roman"/>
          <w:noProof/>
          <w:sz w:val="24"/>
          <w:szCs w:val="24"/>
        </w:rPr>
        <w:t>c</w:t>
      </w:r>
      <w:r w:rsidRPr="00FB45D6">
        <w:rPr>
          <w:rFonts w:ascii="Times New Roman" w:hAnsi="Times New Roman" w:cs="Times New Roman"/>
          <w:noProof/>
          <w:sz w:val="24"/>
          <w:szCs w:val="24"/>
        </w:rPr>
        <w:t>le 38(</w:t>
      </w:r>
      <w:r w:rsidR="003C07C0">
        <w:rPr>
          <w:rFonts w:ascii="Times New Roman" w:hAnsi="Times New Roman" w:cs="Times New Roman"/>
          <w:noProof/>
          <w:sz w:val="24"/>
          <w:szCs w:val="24"/>
        </w:rPr>
        <w:t>3</w:t>
      </w:r>
      <w:r w:rsidRPr="00FB45D6">
        <w:rPr>
          <w:rFonts w:ascii="Times New Roman" w:hAnsi="Times New Roman" w:cs="Times New Roman"/>
          <w:noProof/>
          <w:sz w:val="24"/>
          <w:szCs w:val="24"/>
        </w:rPr>
        <w:t xml:space="preserve">) of </w:t>
      </w:r>
      <w:r w:rsidR="003B7C69" w:rsidRPr="00AE3B65">
        <w:rPr>
          <w:rFonts w:ascii="Times New Roman" w:hAnsi="Times New Roman" w:cs="Times New Roman"/>
          <w:noProof/>
          <w:sz w:val="24"/>
          <w:szCs w:val="24"/>
        </w:rPr>
        <w:t>Directive 2008/98/EC</w:t>
      </w:r>
      <w:r w:rsidR="005B5088">
        <w:rPr>
          <w:rFonts w:ascii="Times New Roman" w:hAnsi="Times New Roman" w:cs="Times New Roman"/>
          <w:noProof/>
          <w:sz w:val="24"/>
          <w:szCs w:val="24"/>
        </w:rPr>
        <w:t>,</w:t>
      </w:r>
      <w:r w:rsidR="003B7C69">
        <w:rPr>
          <w:rFonts w:ascii="Times New Roman" w:hAnsi="Times New Roman" w:cs="Times New Roman"/>
          <w:noProof/>
          <w:sz w:val="24"/>
          <w:szCs w:val="24"/>
        </w:rPr>
        <w:t xml:space="preserve"> </w:t>
      </w:r>
      <w:r w:rsidR="001B7946">
        <w:rPr>
          <w:rFonts w:ascii="Times New Roman" w:hAnsi="Times New Roman" w:cs="Times New Roman"/>
          <w:noProof/>
          <w:color w:val="333333"/>
          <w:sz w:val="24"/>
          <w:szCs w:val="24"/>
          <w:shd w:val="clear" w:color="auto" w:fill="FFFFFF"/>
        </w:rPr>
        <w:t>t</w:t>
      </w:r>
      <w:r w:rsidRPr="00FB45D6">
        <w:rPr>
          <w:rFonts w:ascii="Times New Roman" w:hAnsi="Times New Roman" w:cs="Times New Roman"/>
          <w:noProof/>
          <w:color w:val="333333"/>
          <w:sz w:val="24"/>
          <w:szCs w:val="24"/>
          <w:shd w:val="clear" w:color="auto" w:fill="FFFFFF"/>
        </w:rPr>
        <w:t xml:space="preserve">he Commission is empowered to adopt delegated acts </w:t>
      </w:r>
      <w:r w:rsidR="005B5088">
        <w:rPr>
          <w:rFonts w:ascii="Times New Roman" w:hAnsi="Times New Roman" w:cs="Times New Roman"/>
          <w:noProof/>
          <w:color w:val="333333"/>
          <w:sz w:val="24"/>
          <w:szCs w:val="24"/>
          <w:shd w:val="clear" w:color="auto" w:fill="FFFFFF"/>
        </w:rPr>
        <w:t xml:space="preserve">to </w:t>
      </w:r>
      <w:r w:rsidRPr="00FB45D6">
        <w:rPr>
          <w:rFonts w:ascii="Times New Roman" w:hAnsi="Times New Roman" w:cs="Times New Roman"/>
          <w:noProof/>
          <w:color w:val="333333"/>
          <w:sz w:val="24"/>
          <w:szCs w:val="24"/>
          <w:shd w:val="clear" w:color="auto" w:fill="FFFFFF"/>
        </w:rPr>
        <w:t>amend Annexes IV and V in light of scientific and technical progress.</w:t>
      </w:r>
      <w:r w:rsidR="00D76AB3">
        <w:rPr>
          <w:rFonts w:ascii="Times New Roman" w:hAnsi="Times New Roman" w:cs="Times New Roman"/>
          <w:noProof/>
          <w:color w:val="333333"/>
          <w:sz w:val="24"/>
          <w:szCs w:val="24"/>
          <w:shd w:val="clear" w:color="auto" w:fill="FFFFFF"/>
        </w:rPr>
        <w:t xml:space="preserve"> </w:t>
      </w:r>
      <w:r w:rsidR="00FB45D6">
        <w:rPr>
          <w:rFonts w:ascii="Times New Roman" w:hAnsi="Times New Roman" w:cs="Times New Roman"/>
          <w:noProof/>
          <w:color w:val="333333"/>
          <w:sz w:val="24"/>
          <w:szCs w:val="24"/>
          <w:shd w:val="clear" w:color="auto" w:fill="FFFFFF"/>
        </w:rPr>
        <w:t xml:space="preserve">Annex IV contains examples of waste prevention measures, and Annex V is a correlation table. </w:t>
      </w:r>
    </w:p>
    <w:p w14:paraId="367CDC82" w14:textId="2CEEC23A" w:rsidR="00706E1E" w:rsidRPr="00F0198B" w:rsidRDefault="006C1A76" w:rsidP="4B718686">
      <w:pPr>
        <w:spacing w:after="120"/>
        <w:jc w:val="both"/>
        <w:rPr>
          <w:rFonts w:ascii="Times New Roman" w:hAnsi="Times New Roman" w:cs="Times New Roman"/>
          <w:noProof/>
          <w:sz w:val="24"/>
          <w:szCs w:val="24"/>
          <w:shd w:val="clear" w:color="auto" w:fill="FFFFFF"/>
        </w:rPr>
      </w:pPr>
      <w:r w:rsidRPr="4B718686">
        <w:rPr>
          <w:rFonts w:ascii="Times New Roman" w:hAnsi="Times New Roman" w:cs="Times New Roman"/>
          <w:noProof/>
          <w:sz w:val="24"/>
          <w:szCs w:val="24"/>
          <w:shd w:val="clear" w:color="auto" w:fill="FFFFFF"/>
        </w:rPr>
        <w:t xml:space="preserve">The Commission </w:t>
      </w:r>
      <w:r w:rsidR="246F8D80" w:rsidRPr="4B718686">
        <w:rPr>
          <w:rFonts w:ascii="Times New Roman" w:hAnsi="Times New Roman" w:cs="Times New Roman"/>
          <w:noProof/>
          <w:sz w:val="24"/>
          <w:szCs w:val="24"/>
          <w:shd w:val="clear" w:color="auto" w:fill="FFFFFF"/>
        </w:rPr>
        <w:t>ha</w:t>
      </w:r>
      <w:r w:rsidR="000F2FF8">
        <w:rPr>
          <w:rFonts w:ascii="Times New Roman" w:hAnsi="Times New Roman" w:cs="Times New Roman"/>
          <w:noProof/>
          <w:sz w:val="24"/>
          <w:szCs w:val="24"/>
          <w:shd w:val="clear" w:color="auto" w:fill="FFFFFF"/>
        </w:rPr>
        <w:t>s</w:t>
      </w:r>
      <w:r w:rsidR="246F8D80" w:rsidRPr="4B718686">
        <w:rPr>
          <w:rFonts w:ascii="Times New Roman" w:hAnsi="Times New Roman" w:cs="Times New Roman"/>
          <w:noProof/>
          <w:sz w:val="24"/>
          <w:szCs w:val="24"/>
          <w:shd w:val="clear" w:color="auto" w:fill="FFFFFF"/>
        </w:rPr>
        <w:t xml:space="preserve"> </w:t>
      </w:r>
      <w:r w:rsidRPr="4B718686">
        <w:rPr>
          <w:rFonts w:ascii="Times New Roman" w:hAnsi="Times New Roman" w:cs="Times New Roman"/>
          <w:noProof/>
          <w:sz w:val="24"/>
          <w:szCs w:val="24"/>
          <w:shd w:val="clear" w:color="auto" w:fill="FFFFFF"/>
        </w:rPr>
        <w:t>not identified the need to make use of the delegated power under this provision</w:t>
      </w:r>
      <w:r>
        <w:rPr>
          <w:rFonts w:ascii="Times New Roman" w:hAnsi="Times New Roman" w:cs="Times New Roman"/>
          <w:noProof/>
          <w:sz w:val="24"/>
          <w:szCs w:val="24"/>
          <w:lang w:val="en-US"/>
        </w:rPr>
        <w:t xml:space="preserve">. </w:t>
      </w:r>
    </w:p>
    <w:p w14:paraId="0C1A4868" w14:textId="77777777" w:rsidR="00706E1E" w:rsidRPr="00706E1E" w:rsidRDefault="00706E1E" w:rsidP="00076422">
      <w:pPr>
        <w:spacing w:after="120"/>
        <w:jc w:val="both"/>
        <w:rPr>
          <w:rFonts w:ascii="Times New Roman" w:hAnsi="Times New Roman" w:cs="Times New Roman"/>
          <w:bCs/>
          <w:noProof/>
          <w:sz w:val="24"/>
          <w:szCs w:val="24"/>
          <w:shd w:val="clear" w:color="auto" w:fill="FFFFFF"/>
        </w:rPr>
      </w:pPr>
    </w:p>
    <w:p w14:paraId="675862A5" w14:textId="086D1CB1" w:rsidR="005F08B4" w:rsidRPr="00706E1E" w:rsidRDefault="00B97335" w:rsidP="00706E1E">
      <w:pPr>
        <w:pStyle w:val="ListParagraph"/>
        <w:numPr>
          <w:ilvl w:val="0"/>
          <w:numId w:val="10"/>
        </w:numPr>
        <w:spacing w:after="120"/>
        <w:jc w:val="both"/>
        <w:rPr>
          <w:rFonts w:ascii="Times New Roman" w:hAnsi="Times New Roman" w:cs="Times New Roman"/>
          <w:b/>
          <w:bCs/>
          <w:noProof/>
          <w:sz w:val="24"/>
          <w:szCs w:val="24"/>
          <w:shd w:val="clear" w:color="auto" w:fill="FFFFFF"/>
        </w:rPr>
      </w:pPr>
      <w:r>
        <w:rPr>
          <w:rFonts w:ascii="Times New Roman" w:hAnsi="Times New Roman" w:cs="Times New Roman"/>
          <w:b/>
          <w:bCs/>
          <w:noProof/>
          <w:sz w:val="24"/>
          <w:szCs w:val="24"/>
          <w:shd w:val="clear" w:color="auto" w:fill="FFFFFF"/>
        </w:rPr>
        <w:t>C</w:t>
      </w:r>
      <w:r w:rsidR="00706E1E" w:rsidRPr="00706E1E">
        <w:rPr>
          <w:rFonts w:ascii="Times New Roman" w:hAnsi="Times New Roman" w:cs="Times New Roman"/>
          <w:b/>
          <w:bCs/>
          <w:noProof/>
          <w:sz w:val="24"/>
          <w:szCs w:val="24"/>
          <w:shd w:val="clear" w:color="auto" w:fill="FFFFFF"/>
        </w:rPr>
        <w:t>onclusion</w:t>
      </w:r>
      <w:r w:rsidR="00B33A32">
        <w:rPr>
          <w:rFonts w:ascii="Times New Roman" w:hAnsi="Times New Roman" w:cs="Times New Roman"/>
          <w:b/>
          <w:bCs/>
          <w:noProof/>
          <w:sz w:val="24"/>
          <w:szCs w:val="24"/>
          <w:shd w:val="clear" w:color="auto" w:fill="FFFFFF"/>
        </w:rPr>
        <w:t>s</w:t>
      </w:r>
    </w:p>
    <w:p w14:paraId="107E8B05" w14:textId="083AB5EA" w:rsidR="00E539B1" w:rsidRPr="00D86DF9" w:rsidRDefault="005B5088" w:rsidP="00076422">
      <w:pPr>
        <w:spacing w:after="120"/>
        <w:jc w:val="both"/>
        <w:rPr>
          <w:rFonts w:ascii="Times New Roman" w:hAnsi="Times New Roman" w:cs="Times New Roman"/>
          <w:bCs/>
          <w:noProof/>
          <w:sz w:val="24"/>
          <w:szCs w:val="24"/>
          <w:shd w:val="clear" w:color="auto" w:fill="FFFFFF"/>
        </w:rPr>
      </w:pPr>
      <w:r>
        <w:rPr>
          <w:rFonts w:ascii="Times New Roman" w:hAnsi="Times New Roman" w:cs="Times New Roman"/>
          <w:bCs/>
          <w:noProof/>
          <w:sz w:val="24"/>
          <w:szCs w:val="24"/>
          <w:shd w:val="clear" w:color="auto" w:fill="FFFFFF"/>
        </w:rPr>
        <w:t xml:space="preserve">In the period covered by this report, the Commission </w:t>
      </w:r>
      <w:r w:rsidRPr="1463D20E">
        <w:rPr>
          <w:rFonts w:ascii="Times New Roman" w:hAnsi="Times New Roman" w:cs="Times New Roman"/>
          <w:noProof/>
          <w:sz w:val="24"/>
          <w:szCs w:val="24"/>
        </w:rPr>
        <w:t>exercised</w:t>
      </w:r>
      <w:r w:rsidRPr="1463D20E">
        <w:rPr>
          <w:rFonts w:ascii="Times New Roman" w:hAnsi="Times New Roman" w:cs="Times New Roman"/>
          <w:noProof/>
          <w:color w:val="FF0000"/>
          <w:sz w:val="24"/>
          <w:szCs w:val="24"/>
        </w:rPr>
        <w:t xml:space="preserve"> </w:t>
      </w:r>
      <w:r w:rsidRPr="1463D20E">
        <w:rPr>
          <w:rFonts w:ascii="Times New Roman" w:hAnsi="Times New Roman" w:cs="Times New Roman"/>
          <w:noProof/>
          <w:sz w:val="24"/>
          <w:szCs w:val="24"/>
        </w:rPr>
        <w:t xml:space="preserve">the delegated powers conferred </w:t>
      </w:r>
      <w:r>
        <w:rPr>
          <w:rFonts w:ascii="Times New Roman" w:hAnsi="Times New Roman" w:cs="Times New Roman"/>
          <w:noProof/>
          <w:sz w:val="24"/>
          <w:szCs w:val="24"/>
        </w:rPr>
        <w:t xml:space="preserve">upon it </w:t>
      </w:r>
      <w:r w:rsidR="00B33A32">
        <w:rPr>
          <w:rFonts w:ascii="Times New Roman" w:hAnsi="Times New Roman" w:cs="Times New Roman"/>
          <w:noProof/>
          <w:sz w:val="24"/>
          <w:szCs w:val="24"/>
        </w:rPr>
        <w:t>by Directives</w:t>
      </w:r>
      <w:r w:rsidR="00424F08">
        <w:rPr>
          <w:rFonts w:ascii="Times New Roman" w:hAnsi="Times New Roman" w:cs="Times New Roman"/>
          <w:noProof/>
          <w:sz w:val="24"/>
          <w:szCs w:val="24"/>
        </w:rPr>
        <w:t xml:space="preserve"> 2000/53/EC and 2008/98/EC and Regulation (EC) </w:t>
      </w:r>
      <w:r w:rsidR="0090752E">
        <w:rPr>
          <w:rFonts w:ascii="Times New Roman" w:hAnsi="Times New Roman" w:cs="Times New Roman"/>
          <w:noProof/>
          <w:sz w:val="24"/>
          <w:szCs w:val="24"/>
        </w:rPr>
        <w:t>1</w:t>
      </w:r>
      <w:r w:rsidR="00424F08">
        <w:rPr>
          <w:rFonts w:ascii="Times New Roman" w:hAnsi="Times New Roman" w:cs="Times New Roman"/>
          <w:noProof/>
          <w:sz w:val="24"/>
          <w:szCs w:val="24"/>
        </w:rPr>
        <w:t>013/2006</w:t>
      </w:r>
      <w:r w:rsidR="00B33A32">
        <w:rPr>
          <w:rFonts w:ascii="Times New Roman" w:hAnsi="Times New Roman" w:cs="Times New Roman"/>
          <w:noProof/>
          <w:sz w:val="24"/>
          <w:szCs w:val="24"/>
        </w:rPr>
        <w:t xml:space="preserve">. </w:t>
      </w:r>
      <w:r w:rsidR="00076422" w:rsidRPr="00310516">
        <w:rPr>
          <w:rFonts w:ascii="Times New Roman" w:hAnsi="Times New Roman" w:cs="Times New Roman"/>
          <w:bCs/>
          <w:noProof/>
          <w:sz w:val="24"/>
          <w:szCs w:val="24"/>
          <w:shd w:val="clear" w:color="auto" w:fill="FFFFFF"/>
        </w:rPr>
        <w:t>The Commission invites the European Parliament and the Council to take note of this report.</w:t>
      </w:r>
    </w:p>
    <w:sectPr w:rsidR="00E539B1" w:rsidRPr="00D86DF9" w:rsidSect="005F5775">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7A722" w14:textId="77777777" w:rsidR="00022032" w:rsidRPr="00E841D5" w:rsidRDefault="00022032">
      <w:pPr>
        <w:spacing w:after="0" w:line="240" w:lineRule="auto"/>
      </w:pPr>
      <w:r w:rsidRPr="00E841D5">
        <w:separator/>
      </w:r>
    </w:p>
  </w:endnote>
  <w:endnote w:type="continuationSeparator" w:id="0">
    <w:p w14:paraId="498EBB44" w14:textId="77777777" w:rsidR="00022032" w:rsidRPr="00E841D5" w:rsidRDefault="00022032">
      <w:pPr>
        <w:spacing w:after="0" w:line="240" w:lineRule="auto"/>
      </w:pPr>
      <w:r w:rsidRPr="00E841D5">
        <w:continuationSeparator/>
      </w:r>
    </w:p>
  </w:endnote>
  <w:endnote w:type="continuationNotice" w:id="1">
    <w:p w14:paraId="05CB47C6" w14:textId="77777777" w:rsidR="00022032" w:rsidRDefault="000220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8310A" w14:textId="59A170ED" w:rsidR="00700CE1" w:rsidRPr="00700CE1" w:rsidRDefault="00700CE1" w:rsidP="00700CE1">
    <w:pPr>
      <w:pStyle w:val="FooterCoverPage"/>
      <w:rPr>
        <w:rFonts w:ascii="Arial" w:hAnsi="Arial" w:cs="Arial"/>
        <w:b/>
        <w:sz w:val="48"/>
      </w:rPr>
    </w:pPr>
    <w:r w:rsidRPr="00700CE1">
      <w:rPr>
        <w:rFonts w:ascii="Arial" w:hAnsi="Arial" w:cs="Arial"/>
        <w:b/>
        <w:sz w:val="48"/>
      </w:rPr>
      <w:t>EN</w:t>
    </w:r>
    <w:r w:rsidRPr="00700CE1">
      <w:rPr>
        <w:rFonts w:ascii="Arial" w:hAnsi="Arial" w:cs="Arial"/>
        <w:b/>
        <w:sz w:val="48"/>
      </w:rPr>
      <w:tab/>
    </w:r>
    <w:r w:rsidRPr="00700CE1">
      <w:rPr>
        <w:rFonts w:ascii="Arial" w:hAnsi="Arial" w:cs="Arial"/>
        <w:b/>
        <w:sz w:val="48"/>
      </w:rPr>
      <w:tab/>
    </w:r>
    <w:r w:rsidRPr="00700CE1">
      <w:tab/>
    </w:r>
    <w:r w:rsidRPr="00700CE1">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63AD9" w14:textId="6238850E" w:rsidR="00700CE1" w:rsidRPr="00700CE1" w:rsidRDefault="00700CE1" w:rsidP="00700CE1">
    <w:pPr>
      <w:pStyle w:val="FooterCoverPage"/>
      <w:rPr>
        <w:rFonts w:ascii="Arial" w:hAnsi="Arial" w:cs="Arial"/>
        <w:b/>
        <w:sz w:val="48"/>
      </w:rPr>
    </w:pPr>
    <w:r w:rsidRPr="00700CE1">
      <w:rPr>
        <w:rFonts w:ascii="Arial" w:hAnsi="Arial" w:cs="Arial"/>
        <w:b/>
        <w:sz w:val="48"/>
      </w:rPr>
      <w:t>EN</w:t>
    </w:r>
    <w:r w:rsidRPr="00700CE1">
      <w:rPr>
        <w:rFonts w:ascii="Arial" w:hAnsi="Arial" w:cs="Arial"/>
        <w:b/>
        <w:sz w:val="48"/>
      </w:rPr>
      <w:tab/>
    </w:r>
    <w:r w:rsidRPr="00700CE1">
      <w:rPr>
        <w:rFonts w:ascii="Arial" w:hAnsi="Arial" w:cs="Arial"/>
        <w:b/>
        <w:sz w:val="48"/>
      </w:rPr>
      <w:tab/>
    </w:r>
    <w:r w:rsidRPr="00700CE1">
      <w:tab/>
    </w:r>
    <w:r w:rsidRPr="00700CE1">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BC878" w14:textId="77777777" w:rsidR="00700CE1" w:rsidRPr="00700CE1" w:rsidRDefault="00700CE1" w:rsidP="00700CE1">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939855"/>
      <w:docPartObj>
        <w:docPartGallery w:val="Page Numbers (Bottom of Page)"/>
        <w:docPartUnique/>
      </w:docPartObj>
    </w:sdtPr>
    <w:sdtEndPr/>
    <w:sdtContent>
      <w:p w14:paraId="025B1850" w14:textId="77777777" w:rsidR="00097A69" w:rsidRPr="00E841D5" w:rsidRDefault="00097A69">
        <w:pPr>
          <w:pStyle w:val="Footer"/>
          <w:jc w:val="right"/>
        </w:pPr>
        <w:r w:rsidRPr="00E841D5">
          <w:fldChar w:fldCharType="begin"/>
        </w:r>
        <w:r w:rsidRPr="00E841D5">
          <w:instrText xml:space="preserve"> PAGE   \* MERGEFORMAT </w:instrText>
        </w:r>
        <w:r w:rsidRPr="00E841D5">
          <w:fldChar w:fldCharType="separate"/>
        </w:r>
        <w:r w:rsidRPr="00E841D5">
          <w:t>4</w:t>
        </w:r>
        <w:r w:rsidRPr="00E841D5">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171232"/>
      <w:docPartObj>
        <w:docPartGallery w:val="Page Numbers (Bottom of Page)"/>
        <w:docPartUnique/>
      </w:docPartObj>
    </w:sdtPr>
    <w:sdtEndPr>
      <w:rPr>
        <w:rFonts w:ascii="Times New Roman" w:hAnsi="Times New Roman" w:cs="Times New Roman"/>
      </w:rPr>
    </w:sdtEndPr>
    <w:sdtContent>
      <w:p w14:paraId="20A7FA1A" w14:textId="378436AA" w:rsidR="00097A69" w:rsidRPr="000F4F95" w:rsidRDefault="00097A69">
        <w:pPr>
          <w:pStyle w:val="Footer"/>
          <w:jc w:val="right"/>
          <w:rPr>
            <w:rFonts w:ascii="Times New Roman" w:hAnsi="Times New Roman" w:cs="Times New Roman"/>
          </w:rPr>
        </w:pPr>
        <w:r w:rsidRPr="000F4F95">
          <w:rPr>
            <w:rFonts w:ascii="Times New Roman" w:hAnsi="Times New Roman" w:cs="Times New Roman"/>
          </w:rPr>
          <w:fldChar w:fldCharType="begin"/>
        </w:r>
        <w:r w:rsidRPr="000F4F95">
          <w:rPr>
            <w:rFonts w:ascii="Times New Roman" w:hAnsi="Times New Roman" w:cs="Times New Roman"/>
          </w:rPr>
          <w:instrText xml:space="preserve"> PAGE   \* MERGEFORMAT </w:instrText>
        </w:r>
        <w:r w:rsidRPr="000F4F95">
          <w:rPr>
            <w:rFonts w:ascii="Times New Roman" w:hAnsi="Times New Roman" w:cs="Times New Roman"/>
          </w:rPr>
          <w:fldChar w:fldCharType="separate"/>
        </w:r>
        <w:r w:rsidR="00700CE1">
          <w:rPr>
            <w:rFonts w:ascii="Times New Roman" w:hAnsi="Times New Roman" w:cs="Times New Roman"/>
            <w:noProof/>
          </w:rPr>
          <w:t>8</w:t>
        </w:r>
        <w:r w:rsidRPr="000F4F95">
          <w:rPr>
            <w:rFonts w:ascii="Times New Roman" w:hAnsi="Times New Roman" w:cs="Times New Roma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886201"/>
      <w:docPartObj>
        <w:docPartGallery w:val="Page Numbers (Bottom of Page)"/>
        <w:docPartUnique/>
      </w:docPartObj>
    </w:sdtPr>
    <w:sdtEndPr>
      <w:rPr>
        <w:rFonts w:ascii="Times New Roman" w:hAnsi="Times New Roman" w:cs="Times New Roman"/>
      </w:rPr>
    </w:sdtEndPr>
    <w:sdtContent>
      <w:p w14:paraId="4536474C" w14:textId="0ACE373D" w:rsidR="00097A69" w:rsidRPr="00FD3000" w:rsidRDefault="00097A69">
        <w:pPr>
          <w:pStyle w:val="Footer"/>
          <w:jc w:val="right"/>
          <w:rPr>
            <w:rFonts w:ascii="Times New Roman" w:hAnsi="Times New Roman" w:cs="Times New Roman"/>
          </w:rPr>
        </w:pPr>
        <w:r w:rsidRPr="00FD3000">
          <w:rPr>
            <w:rFonts w:ascii="Times New Roman" w:hAnsi="Times New Roman" w:cs="Times New Roman"/>
          </w:rPr>
          <w:fldChar w:fldCharType="begin"/>
        </w:r>
        <w:r w:rsidRPr="00FD3000">
          <w:rPr>
            <w:rFonts w:ascii="Times New Roman" w:hAnsi="Times New Roman" w:cs="Times New Roman"/>
          </w:rPr>
          <w:instrText xml:space="preserve"> PAGE   \* MERGEFORMAT </w:instrText>
        </w:r>
        <w:r w:rsidRPr="00FD3000">
          <w:rPr>
            <w:rFonts w:ascii="Times New Roman" w:hAnsi="Times New Roman" w:cs="Times New Roman"/>
          </w:rPr>
          <w:fldChar w:fldCharType="separate"/>
        </w:r>
        <w:r w:rsidR="00700CE1">
          <w:rPr>
            <w:rFonts w:ascii="Times New Roman" w:hAnsi="Times New Roman" w:cs="Times New Roman"/>
            <w:noProof/>
          </w:rPr>
          <w:t>1</w:t>
        </w:r>
        <w:r w:rsidRPr="00FD3000">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CAD2E" w14:textId="77777777" w:rsidR="00022032" w:rsidRPr="00E841D5" w:rsidRDefault="00022032">
      <w:pPr>
        <w:spacing w:after="0" w:line="240" w:lineRule="auto"/>
      </w:pPr>
      <w:r w:rsidRPr="00E841D5">
        <w:separator/>
      </w:r>
    </w:p>
  </w:footnote>
  <w:footnote w:type="continuationSeparator" w:id="0">
    <w:p w14:paraId="2DD74E4D" w14:textId="77777777" w:rsidR="00022032" w:rsidRPr="00E841D5" w:rsidRDefault="00022032">
      <w:pPr>
        <w:spacing w:after="0" w:line="240" w:lineRule="auto"/>
      </w:pPr>
      <w:r w:rsidRPr="00E841D5">
        <w:continuationSeparator/>
      </w:r>
    </w:p>
  </w:footnote>
  <w:footnote w:type="continuationNotice" w:id="1">
    <w:p w14:paraId="33655461" w14:textId="77777777" w:rsidR="00022032" w:rsidRDefault="00022032">
      <w:pPr>
        <w:spacing w:after="0" w:line="240" w:lineRule="auto"/>
      </w:pPr>
    </w:p>
  </w:footnote>
  <w:footnote w:id="2">
    <w:p w14:paraId="1CF684B4" w14:textId="7743B9F3" w:rsidR="00073E97" w:rsidRPr="001278EC" w:rsidRDefault="00073E97" w:rsidP="00073E97">
      <w:pPr>
        <w:pStyle w:val="FootnoteText"/>
        <w:tabs>
          <w:tab w:val="left" w:pos="284"/>
        </w:tabs>
        <w:ind w:left="284" w:hanging="284"/>
        <w:jc w:val="both"/>
        <w:rPr>
          <w:rFonts w:ascii="Times New Roman" w:hAnsi="Times New Roman" w:cs="Times New Roman"/>
          <w:lang w:val="pl-PL"/>
        </w:rPr>
      </w:pPr>
      <w:r w:rsidRPr="00D86DF9">
        <w:rPr>
          <w:rStyle w:val="FootnoteReference"/>
          <w:rFonts w:ascii="Times New Roman" w:hAnsi="Times New Roman" w:cs="Times New Roman"/>
        </w:rPr>
        <w:footnoteRef/>
      </w:r>
      <w:r w:rsidRPr="001278EC">
        <w:rPr>
          <w:rFonts w:ascii="Times New Roman" w:hAnsi="Times New Roman" w:cs="Times New Roman"/>
          <w:lang w:val="pl-PL"/>
        </w:rPr>
        <w:t xml:space="preserve"> </w:t>
      </w:r>
      <w:r w:rsidRPr="001278EC">
        <w:rPr>
          <w:rFonts w:ascii="Times New Roman" w:hAnsi="Times New Roman" w:cs="Times New Roman"/>
          <w:lang w:val="pl-PL"/>
        </w:rPr>
        <w:tab/>
        <w:t xml:space="preserve">OJ L 181, 4.7.1986, p. </w:t>
      </w:r>
      <w:r w:rsidR="001278EC" w:rsidRPr="001278EC">
        <w:rPr>
          <w:rFonts w:ascii="Times New Roman" w:hAnsi="Times New Roman" w:cs="Times New Roman"/>
          <w:lang w:val="pl-PL"/>
        </w:rPr>
        <w:t>6</w:t>
      </w:r>
      <w:r w:rsidRPr="001278EC">
        <w:rPr>
          <w:rFonts w:ascii="Times New Roman" w:hAnsi="Times New Roman" w:cs="Times New Roman"/>
          <w:lang w:val="pl-PL"/>
        </w:rPr>
        <w:t>.</w:t>
      </w:r>
      <w:r w:rsidRPr="001278EC" w:rsidDel="001356F3">
        <w:rPr>
          <w:rFonts w:ascii="Times New Roman" w:hAnsi="Times New Roman" w:cs="Times New Roman"/>
          <w:lang w:val="pl-PL"/>
        </w:rPr>
        <w:t xml:space="preserve"> </w:t>
      </w:r>
      <w:r w:rsidRPr="001278EC">
        <w:rPr>
          <w:rFonts w:ascii="Times New Roman" w:hAnsi="Times New Roman" w:cs="Times New Roman"/>
          <w:lang w:val="pl-PL"/>
        </w:rPr>
        <w:t xml:space="preserve"> </w:t>
      </w:r>
    </w:p>
  </w:footnote>
  <w:footnote w:id="3">
    <w:p w14:paraId="7EAA23C4" w14:textId="0C6B3D22" w:rsidR="00752AE0" w:rsidRPr="001278EC" w:rsidRDefault="00752AE0" w:rsidP="00752AE0">
      <w:pPr>
        <w:pStyle w:val="FootnoteText"/>
        <w:tabs>
          <w:tab w:val="left" w:pos="284"/>
        </w:tabs>
        <w:ind w:left="284" w:hanging="284"/>
        <w:jc w:val="both"/>
        <w:rPr>
          <w:rFonts w:ascii="Times New Roman" w:hAnsi="Times New Roman" w:cs="Times New Roman"/>
          <w:lang w:val="pl-PL"/>
        </w:rPr>
      </w:pPr>
      <w:r w:rsidRPr="00D86DF9">
        <w:rPr>
          <w:rStyle w:val="FootnoteReference"/>
          <w:rFonts w:ascii="Times New Roman" w:hAnsi="Times New Roman" w:cs="Times New Roman"/>
        </w:rPr>
        <w:footnoteRef/>
      </w:r>
      <w:r w:rsidRPr="001278EC">
        <w:rPr>
          <w:rFonts w:ascii="Times New Roman" w:hAnsi="Times New Roman" w:cs="Times New Roman"/>
          <w:lang w:val="pl-PL"/>
        </w:rPr>
        <w:t xml:space="preserve"> </w:t>
      </w:r>
      <w:r w:rsidRPr="001278EC">
        <w:rPr>
          <w:rFonts w:ascii="Times New Roman" w:hAnsi="Times New Roman" w:cs="Times New Roman"/>
          <w:lang w:val="pl-PL"/>
        </w:rPr>
        <w:tab/>
      </w:r>
      <w:r w:rsidRPr="001278EC">
        <w:rPr>
          <w:rStyle w:val="Hyperlink"/>
          <w:rFonts w:ascii="Times New Roman" w:hAnsi="Times New Roman" w:cs="Times New Roman"/>
          <w:color w:val="auto"/>
          <w:u w:val="none"/>
          <w:lang w:val="pl-PL"/>
        </w:rPr>
        <w:t>OJ L 365, 31.12.1994, p. 10.</w:t>
      </w:r>
    </w:p>
  </w:footnote>
  <w:footnote w:id="4">
    <w:p w14:paraId="6631BC80" w14:textId="0914EB3D" w:rsidR="00752AE0" w:rsidRPr="001278EC" w:rsidRDefault="00752AE0" w:rsidP="00752AE0">
      <w:pPr>
        <w:pStyle w:val="FootnoteText"/>
        <w:tabs>
          <w:tab w:val="left" w:pos="284"/>
        </w:tabs>
        <w:ind w:left="284" w:hanging="284"/>
        <w:jc w:val="both"/>
        <w:rPr>
          <w:rFonts w:ascii="Times New Roman" w:hAnsi="Times New Roman" w:cs="Times New Roman"/>
          <w:lang w:val="pl-PL"/>
        </w:rPr>
      </w:pPr>
      <w:r w:rsidRPr="00D86DF9">
        <w:rPr>
          <w:rStyle w:val="FootnoteReference"/>
          <w:rFonts w:ascii="Times New Roman" w:hAnsi="Times New Roman" w:cs="Times New Roman"/>
        </w:rPr>
        <w:footnoteRef/>
      </w:r>
      <w:r w:rsidRPr="001278EC">
        <w:rPr>
          <w:rFonts w:ascii="Times New Roman" w:hAnsi="Times New Roman" w:cs="Times New Roman"/>
          <w:lang w:val="pl-PL"/>
        </w:rPr>
        <w:t xml:space="preserve"> </w:t>
      </w:r>
      <w:r w:rsidRPr="001278EC">
        <w:rPr>
          <w:rFonts w:ascii="Times New Roman" w:hAnsi="Times New Roman" w:cs="Times New Roman"/>
          <w:lang w:val="pl-PL"/>
        </w:rPr>
        <w:tab/>
        <w:t>OJ L 269, 21.10.2000, p. 34.</w:t>
      </w:r>
    </w:p>
  </w:footnote>
  <w:footnote w:id="5">
    <w:p w14:paraId="529F8A99" w14:textId="77777777" w:rsidR="001A7F1F" w:rsidRPr="00362B8F" w:rsidRDefault="001A7F1F" w:rsidP="001A7F1F">
      <w:pPr>
        <w:pStyle w:val="FootnoteText"/>
        <w:tabs>
          <w:tab w:val="left" w:pos="284"/>
        </w:tabs>
        <w:ind w:left="284" w:hanging="284"/>
        <w:jc w:val="both"/>
        <w:rPr>
          <w:rFonts w:ascii="Times New Roman" w:hAnsi="Times New Roman" w:cs="Times New Roman"/>
          <w:lang w:val="pl-PL"/>
        </w:rPr>
      </w:pPr>
      <w:r w:rsidRPr="00D86DF9">
        <w:rPr>
          <w:rStyle w:val="FootnoteReference"/>
          <w:rFonts w:ascii="Times New Roman" w:hAnsi="Times New Roman" w:cs="Times New Roman"/>
        </w:rPr>
        <w:footnoteRef/>
      </w:r>
      <w:r w:rsidRPr="00362B8F">
        <w:rPr>
          <w:rFonts w:ascii="Times New Roman" w:hAnsi="Times New Roman" w:cs="Times New Roman"/>
          <w:lang w:val="pl-PL"/>
        </w:rPr>
        <w:t xml:space="preserve"> </w:t>
      </w:r>
      <w:r w:rsidRPr="00362B8F">
        <w:rPr>
          <w:rFonts w:ascii="Times New Roman" w:hAnsi="Times New Roman" w:cs="Times New Roman"/>
          <w:lang w:val="pl-PL"/>
        </w:rPr>
        <w:tab/>
        <w:t>OJ L 312 22.11.2008, p. 3.</w:t>
      </w:r>
    </w:p>
  </w:footnote>
  <w:footnote w:id="6">
    <w:p w14:paraId="0E06F5D9" w14:textId="77777777" w:rsidR="00D32DDF" w:rsidRPr="00362B8F" w:rsidRDefault="00D32DDF" w:rsidP="00D32DDF">
      <w:pPr>
        <w:pStyle w:val="FootnoteText"/>
        <w:tabs>
          <w:tab w:val="left" w:pos="284"/>
        </w:tabs>
        <w:ind w:left="284" w:hanging="284"/>
        <w:jc w:val="both"/>
        <w:rPr>
          <w:rFonts w:ascii="Times New Roman" w:hAnsi="Times New Roman" w:cs="Times New Roman"/>
          <w:lang w:val="pl-PL"/>
        </w:rPr>
      </w:pPr>
      <w:r w:rsidRPr="00D86DF9">
        <w:rPr>
          <w:rStyle w:val="FootnoteReference"/>
          <w:rFonts w:ascii="Times New Roman" w:hAnsi="Times New Roman" w:cs="Times New Roman"/>
        </w:rPr>
        <w:footnoteRef/>
      </w:r>
      <w:r w:rsidRPr="00362B8F">
        <w:rPr>
          <w:rFonts w:ascii="Times New Roman" w:hAnsi="Times New Roman" w:cs="Times New Roman"/>
          <w:lang w:val="pl-PL"/>
        </w:rPr>
        <w:t xml:space="preserve"> </w:t>
      </w:r>
      <w:r w:rsidRPr="00362B8F">
        <w:rPr>
          <w:rFonts w:ascii="Times New Roman" w:hAnsi="Times New Roman" w:cs="Times New Roman"/>
          <w:lang w:val="pl-PL"/>
        </w:rPr>
        <w:tab/>
        <w:t>OJ L 190, 12.7.2006, p.1.</w:t>
      </w:r>
    </w:p>
  </w:footnote>
  <w:footnote w:id="7">
    <w:p w14:paraId="1C5CDE77" w14:textId="552DFC95" w:rsidR="001278EC" w:rsidRPr="00362B8F" w:rsidRDefault="001278EC" w:rsidP="001278EC">
      <w:pPr>
        <w:pStyle w:val="FootnoteText"/>
        <w:tabs>
          <w:tab w:val="left" w:pos="284"/>
        </w:tabs>
        <w:ind w:left="284" w:hanging="284"/>
        <w:jc w:val="both"/>
        <w:rPr>
          <w:rFonts w:ascii="Times New Roman" w:hAnsi="Times New Roman" w:cs="Times New Roman"/>
          <w:lang w:val="pl-PL"/>
        </w:rPr>
      </w:pPr>
      <w:r w:rsidRPr="00D86DF9">
        <w:rPr>
          <w:rStyle w:val="FootnoteReference"/>
          <w:rFonts w:ascii="Times New Roman" w:hAnsi="Times New Roman" w:cs="Times New Roman"/>
        </w:rPr>
        <w:footnoteRef/>
      </w:r>
      <w:r w:rsidRPr="00362B8F">
        <w:rPr>
          <w:rFonts w:ascii="Times New Roman" w:hAnsi="Times New Roman" w:cs="Times New Roman"/>
          <w:lang w:val="pl-PL"/>
        </w:rPr>
        <w:t xml:space="preserve"> </w:t>
      </w:r>
      <w:r w:rsidRPr="00362B8F">
        <w:rPr>
          <w:rFonts w:ascii="Times New Roman" w:hAnsi="Times New Roman" w:cs="Times New Roman"/>
          <w:lang w:val="pl-PL"/>
        </w:rPr>
        <w:tab/>
        <w:t xml:space="preserve">OJ L 266, 26.9.2006, p. 1. </w:t>
      </w:r>
    </w:p>
  </w:footnote>
  <w:footnote w:id="8">
    <w:p w14:paraId="5FE8F580" w14:textId="77777777" w:rsidR="00073E97" w:rsidRPr="00D86DF9" w:rsidRDefault="00073E97" w:rsidP="00073E97">
      <w:pPr>
        <w:pStyle w:val="FootnoteText"/>
        <w:tabs>
          <w:tab w:val="left" w:pos="284"/>
        </w:tabs>
        <w:ind w:left="284" w:hanging="284"/>
        <w:jc w:val="both"/>
        <w:rPr>
          <w:rFonts w:ascii="Times New Roman" w:hAnsi="Times New Roman" w:cs="Times New Roman"/>
        </w:rPr>
      </w:pPr>
      <w:r w:rsidRPr="00D86DF9">
        <w:rPr>
          <w:rStyle w:val="FootnoteReference"/>
          <w:rFonts w:ascii="Times New Roman" w:hAnsi="Times New Roman" w:cs="Times New Roman"/>
        </w:rPr>
        <w:footnoteRef/>
      </w:r>
      <w:r w:rsidRPr="00D86DF9">
        <w:rPr>
          <w:rFonts w:ascii="Times New Roman" w:hAnsi="Times New Roman" w:cs="Times New Roman"/>
        </w:rPr>
        <w:t xml:space="preserve"> </w:t>
      </w:r>
      <w:r w:rsidRPr="00D86DF9">
        <w:rPr>
          <w:rFonts w:ascii="Times New Roman" w:hAnsi="Times New Roman" w:cs="Times New Roman"/>
        </w:rPr>
        <w:tab/>
        <w:t>COM</w:t>
      </w:r>
      <w:r>
        <w:rPr>
          <w:rFonts w:ascii="Times New Roman" w:hAnsi="Times New Roman" w:cs="Times New Roman"/>
        </w:rPr>
        <w:t>(</w:t>
      </w:r>
      <w:r w:rsidRPr="00D86DF9">
        <w:rPr>
          <w:rFonts w:ascii="Times New Roman" w:hAnsi="Times New Roman" w:cs="Times New Roman"/>
        </w:rPr>
        <w:t>2018</w:t>
      </w:r>
      <w:r>
        <w:rPr>
          <w:rFonts w:ascii="Times New Roman" w:hAnsi="Times New Roman" w:cs="Times New Roman"/>
        </w:rPr>
        <w:t>)7</w:t>
      </w:r>
      <w:r w:rsidRPr="00D86DF9">
        <w:rPr>
          <w:rFonts w:ascii="Times New Roman" w:hAnsi="Times New Roman" w:cs="Times New Roman"/>
        </w:rPr>
        <w:t>6</w:t>
      </w:r>
      <w:r>
        <w:rPr>
          <w:rFonts w:ascii="Times New Roman" w:hAnsi="Times New Roman" w:cs="Times New Roman"/>
        </w:rPr>
        <w:t>2</w:t>
      </w:r>
      <w:r w:rsidRPr="00D86DF9">
        <w:rPr>
          <w:rFonts w:ascii="Times New Roman" w:hAnsi="Times New Roman" w:cs="Times New Roman"/>
        </w:rPr>
        <w:t xml:space="preserve"> final</w:t>
      </w:r>
      <w:r>
        <w:rPr>
          <w:rFonts w:ascii="Times New Roman" w:hAnsi="Times New Roman" w:cs="Times New Roman"/>
        </w:rPr>
        <w:t>.</w:t>
      </w:r>
    </w:p>
  </w:footnote>
  <w:footnote w:id="9">
    <w:p w14:paraId="071F0F69" w14:textId="77777777" w:rsidR="00073E97" w:rsidRPr="00D86DF9" w:rsidRDefault="00073E97" w:rsidP="00073E97">
      <w:pPr>
        <w:pStyle w:val="FootnoteText"/>
        <w:tabs>
          <w:tab w:val="left" w:pos="284"/>
        </w:tabs>
        <w:ind w:left="284" w:hanging="284"/>
        <w:jc w:val="both"/>
        <w:rPr>
          <w:rFonts w:ascii="Times New Roman" w:hAnsi="Times New Roman" w:cs="Times New Roman"/>
        </w:rPr>
      </w:pPr>
      <w:r w:rsidRPr="00D86DF9">
        <w:rPr>
          <w:rStyle w:val="FootnoteReference"/>
          <w:rFonts w:ascii="Times New Roman" w:hAnsi="Times New Roman" w:cs="Times New Roman"/>
        </w:rPr>
        <w:footnoteRef/>
      </w:r>
      <w:r w:rsidRPr="00D86DF9">
        <w:rPr>
          <w:rFonts w:ascii="Times New Roman" w:hAnsi="Times New Roman" w:cs="Times New Roman"/>
        </w:rPr>
        <w:t xml:space="preserve"> </w:t>
      </w:r>
      <w:r w:rsidRPr="00D86DF9">
        <w:rPr>
          <w:rFonts w:ascii="Times New Roman" w:hAnsi="Times New Roman" w:cs="Times New Roman"/>
        </w:rPr>
        <w:tab/>
        <w:t>COM</w:t>
      </w:r>
      <w:r>
        <w:rPr>
          <w:rFonts w:ascii="Times New Roman" w:hAnsi="Times New Roman" w:cs="Times New Roman"/>
        </w:rPr>
        <w:t>(</w:t>
      </w:r>
      <w:r w:rsidRPr="00D86DF9">
        <w:rPr>
          <w:rFonts w:ascii="Times New Roman" w:hAnsi="Times New Roman" w:cs="Times New Roman"/>
        </w:rPr>
        <w:t>2018</w:t>
      </w:r>
      <w:r>
        <w:rPr>
          <w:rFonts w:ascii="Times New Roman" w:hAnsi="Times New Roman" w:cs="Times New Roman"/>
        </w:rPr>
        <w:t xml:space="preserve">) </w:t>
      </w:r>
      <w:r w:rsidRPr="00D86DF9">
        <w:rPr>
          <w:rFonts w:ascii="Times New Roman" w:hAnsi="Times New Roman" w:cs="Times New Roman"/>
        </w:rPr>
        <w:t>266 final.</w:t>
      </w:r>
    </w:p>
  </w:footnote>
  <w:footnote w:id="10">
    <w:p w14:paraId="3CC08B2D" w14:textId="79B35605" w:rsidR="00362B8F" w:rsidRPr="00173029" w:rsidRDefault="00362B8F" w:rsidP="00173029">
      <w:pPr>
        <w:pStyle w:val="FootnoteText"/>
        <w:ind w:left="284" w:hanging="284"/>
        <w:rPr>
          <w:lang w:val="pl-PL"/>
        </w:rPr>
      </w:pPr>
      <w:r w:rsidRPr="0090379D">
        <w:rPr>
          <w:rStyle w:val="FootnoteReference"/>
          <w:rFonts w:ascii="Times New Roman" w:hAnsi="Times New Roman" w:cs="Times New Roman"/>
        </w:rPr>
        <w:footnoteRef/>
      </w:r>
      <w:r w:rsidRPr="00173029">
        <w:rPr>
          <w:rStyle w:val="FootnoteReference"/>
          <w:rFonts w:ascii="Times New Roman" w:hAnsi="Times New Roman" w:cs="Times New Roman"/>
        </w:rPr>
        <w:t xml:space="preserve"> </w:t>
      </w:r>
      <w:r w:rsidR="00173029">
        <w:rPr>
          <w:rFonts w:ascii="Times New Roman" w:hAnsi="Times New Roman" w:cs="Times New Roman"/>
        </w:rPr>
        <w:tab/>
      </w:r>
      <w:r w:rsidR="0090379D" w:rsidRPr="00173029">
        <w:rPr>
          <w:rStyle w:val="FootnoteReference"/>
          <w:rFonts w:ascii="Times New Roman" w:hAnsi="Times New Roman" w:cs="Times New Roman"/>
          <w:vertAlign w:val="baseline"/>
        </w:rPr>
        <w:t>SWD/2023/0157 final.</w:t>
      </w:r>
    </w:p>
  </w:footnote>
  <w:footnote w:id="11">
    <w:p w14:paraId="37237A54" w14:textId="43653A50" w:rsidR="00786D86" w:rsidRPr="00D86DF9" w:rsidRDefault="00786D86" w:rsidP="00D86DF9">
      <w:pPr>
        <w:pStyle w:val="FootnoteText"/>
        <w:tabs>
          <w:tab w:val="left" w:pos="284"/>
        </w:tabs>
        <w:ind w:left="284" w:hanging="284"/>
        <w:jc w:val="both"/>
        <w:rPr>
          <w:rFonts w:ascii="Times New Roman" w:hAnsi="Times New Roman" w:cs="Times New Roman"/>
        </w:rPr>
      </w:pPr>
      <w:r w:rsidRPr="00D86DF9">
        <w:rPr>
          <w:rStyle w:val="FootnoteReference"/>
          <w:rFonts w:ascii="Times New Roman" w:hAnsi="Times New Roman" w:cs="Times New Roman"/>
        </w:rPr>
        <w:footnoteRef/>
      </w:r>
      <w:r w:rsidRPr="00D86DF9">
        <w:rPr>
          <w:rFonts w:ascii="Times New Roman" w:hAnsi="Times New Roman" w:cs="Times New Roman"/>
        </w:rPr>
        <w:t xml:space="preserve"> </w:t>
      </w:r>
      <w:r w:rsidR="00D86DF9">
        <w:rPr>
          <w:rFonts w:ascii="Times New Roman" w:hAnsi="Times New Roman" w:cs="Times New Roman"/>
        </w:rPr>
        <w:tab/>
      </w:r>
      <w:r w:rsidRPr="00D86DF9">
        <w:rPr>
          <w:rFonts w:ascii="Times New Roman" w:hAnsi="Times New Roman" w:cs="Times New Roman"/>
        </w:rPr>
        <w:t>COM/2022/677 final</w:t>
      </w:r>
      <w:r w:rsidR="004D7A30" w:rsidRPr="00D86DF9">
        <w:rPr>
          <w:rFonts w:ascii="Times New Roman" w:hAnsi="Times New Roman" w:cs="Times New Roman"/>
        </w:rPr>
        <w:t>.</w:t>
      </w:r>
    </w:p>
  </w:footnote>
  <w:footnote w:id="12">
    <w:p w14:paraId="568939AB" w14:textId="50423949" w:rsidR="009147AE" w:rsidRPr="00D86DF9" w:rsidRDefault="009147AE" w:rsidP="00D86DF9">
      <w:pPr>
        <w:pStyle w:val="FootnoteText"/>
        <w:tabs>
          <w:tab w:val="left" w:pos="284"/>
        </w:tabs>
        <w:ind w:left="284" w:hanging="284"/>
        <w:jc w:val="both"/>
        <w:rPr>
          <w:rFonts w:ascii="Times New Roman" w:hAnsi="Times New Roman" w:cs="Times New Roman"/>
        </w:rPr>
      </w:pPr>
      <w:r w:rsidRPr="00D86DF9">
        <w:rPr>
          <w:rStyle w:val="FootnoteReference"/>
          <w:rFonts w:ascii="Times New Roman" w:hAnsi="Times New Roman" w:cs="Times New Roman"/>
        </w:rPr>
        <w:footnoteRef/>
      </w:r>
      <w:r w:rsidRPr="00D86DF9">
        <w:rPr>
          <w:rFonts w:ascii="Times New Roman" w:hAnsi="Times New Roman" w:cs="Times New Roman"/>
        </w:rPr>
        <w:t xml:space="preserve"> </w:t>
      </w:r>
      <w:r w:rsidR="00D86DF9">
        <w:rPr>
          <w:rFonts w:ascii="Times New Roman" w:hAnsi="Times New Roman" w:cs="Times New Roman"/>
        </w:rPr>
        <w:tab/>
      </w:r>
      <w:r w:rsidR="002B2E40" w:rsidRPr="00D86DF9">
        <w:rPr>
          <w:rFonts w:ascii="Times New Roman" w:hAnsi="Times New Roman" w:cs="Times New Roman"/>
        </w:rPr>
        <w:t>Directive (EU) 2018/852 of the European Parliament and of the Council of 30 May 2018 amending Directive 94/62/EC on packaging and packaging waste (OJ L 150, 14.6.2018, p. 141).</w:t>
      </w:r>
    </w:p>
  </w:footnote>
  <w:footnote w:id="13">
    <w:p w14:paraId="04C35DB2" w14:textId="6E863943" w:rsidR="00097A69" w:rsidRPr="006F4656" w:rsidRDefault="00097A69" w:rsidP="00D86DF9">
      <w:pPr>
        <w:pStyle w:val="FootnoteText"/>
        <w:tabs>
          <w:tab w:val="left" w:pos="284"/>
        </w:tabs>
        <w:ind w:left="284" w:hanging="284"/>
        <w:jc w:val="both"/>
        <w:rPr>
          <w:rFonts w:ascii="Times New Roman" w:hAnsi="Times New Roman" w:cs="Times New Roman"/>
          <w:lang w:val="pl-PL"/>
        </w:rPr>
      </w:pPr>
      <w:r w:rsidRPr="00D86DF9">
        <w:rPr>
          <w:rStyle w:val="FootnoteReference"/>
          <w:rFonts w:ascii="Times New Roman" w:hAnsi="Times New Roman" w:cs="Times New Roman"/>
        </w:rPr>
        <w:footnoteRef/>
      </w:r>
      <w:r w:rsidRPr="006F4656">
        <w:rPr>
          <w:rFonts w:ascii="Times New Roman" w:hAnsi="Times New Roman" w:cs="Times New Roman"/>
          <w:lang w:val="pl-PL"/>
        </w:rPr>
        <w:t xml:space="preserve"> </w:t>
      </w:r>
      <w:r w:rsidRPr="006F4656">
        <w:rPr>
          <w:rFonts w:ascii="Times New Roman" w:hAnsi="Times New Roman" w:cs="Times New Roman"/>
          <w:lang w:val="pl-PL"/>
        </w:rPr>
        <w:tab/>
      </w:r>
      <w:r w:rsidR="002930BD" w:rsidRPr="006F4656">
        <w:rPr>
          <w:rFonts w:ascii="Times New Roman" w:hAnsi="Times New Roman" w:cs="Times New Roman"/>
          <w:lang w:val="pl-PL"/>
        </w:rPr>
        <w:t>OJ L 62, 2.3.2001, p. 20</w:t>
      </w:r>
      <w:r w:rsidR="00270616" w:rsidRPr="006F4656">
        <w:rPr>
          <w:rFonts w:ascii="Times New Roman" w:hAnsi="Times New Roman" w:cs="Times New Roman"/>
          <w:lang w:val="pl-PL"/>
        </w:rPr>
        <w:t>.</w:t>
      </w:r>
      <w:r w:rsidR="002930BD" w:rsidRPr="006F4656" w:rsidDel="002930BD">
        <w:rPr>
          <w:rFonts w:ascii="Times New Roman" w:hAnsi="Times New Roman" w:cs="Times New Roman"/>
          <w:lang w:val="pl-PL"/>
        </w:rPr>
        <w:t xml:space="preserve"> </w:t>
      </w:r>
    </w:p>
  </w:footnote>
  <w:footnote w:id="14">
    <w:p w14:paraId="55EE253E" w14:textId="2C43240E" w:rsidR="00097A69" w:rsidRPr="00D86DF9" w:rsidRDefault="00097A69" w:rsidP="00D86DF9">
      <w:pPr>
        <w:pStyle w:val="FootnoteText"/>
        <w:tabs>
          <w:tab w:val="left" w:pos="284"/>
        </w:tabs>
        <w:ind w:left="284" w:hanging="284"/>
        <w:jc w:val="both"/>
        <w:rPr>
          <w:rFonts w:ascii="Times New Roman" w:hAnsi="Times New Roman" w:cs="Times New Roman"/>
          <w:lang w:val="pl-PL"/>
        </w:rPr>
      </w:pPr>
      <w:r w:rsidRPr="00D86DF9">
        <w:rPr>
          <w:rStyle w:val="FootnoteReference"/>
          <w:rFonts w:ascii="Times New Roman" w:hAnsi="Times New Roman" w:cs="Times New Roman"/>
        </w:rPr>
        <w:footnoteRef/>
      </w:r>
      <w:r w:rsidRPr="00D86DF9">
        <w:rPr>
          <w:rFonts w:ascii="Times New Roman" w:hAnsi="Times New Roman" w:cs="Times New Roman"/>
          <w:lang w:val="pl-PL"/>
        </w:rPr>
        <w:t xml:space="preserve"> </w:t>
      </w:r>
      <w:r w:rsidRPr="00D86DF9">
        <w:rPr>
          <w:rFonts w:ascii="Times New Roman" w:hAnsi="Times New Roman" w:cs="Times New Roman"/>
          <w:lang w:val="pl-PL"/>
        </w:rPr>
        <w:tab/>
      </w:r>
      <w:r w:rsidR="00270616" w:rsidRPr="00D86DF9">
        <w:rPr>
          <w:rFonts w:ascii="Times New Roman" w:hAnsi="Times New Roman" w:cs="Times New Roman"/>
          <w:lang w:val="pl-PL"/>
        </w:rPr>
        <w:t>OJ L 125, 12.5.2006, p. 43.</w:t>
      </w:r>
      <w:r w:rsidR="00270616" w:rsidRPr="00D86DF9" w:rsidDel="00270616">
        <w:rPr>
          <w:rFonts w:ascii="Times New Roman" w:hAnsi="Times New Roman" w:cs="Times New Roman"/>
          <w:lang w:val="pl-PL"/>
        </w:rPr>
        <w:t xml:space="preserve"> </w:t>
      </w:r>
    </w:p>
  </w:footnote>
  <w:footnote w:id="15">
    <w:p w14:paraId="2C17A27A" w14:textId="5E4B2022" w:rsidR="00097A69" w:rsidRPr="00362B8F" w:rsidRDefault="00097A69" w:rsidP="00D86DF9">
      <w:pPr>
        <w:pStyle w:val="FootnoteText"/>
        <w:tabs>
          <w:tab w:val="left" w:pos="284"/>
        </w:tabs>
        <w:ind w:left="284" w:hanging="284"/>
        <w:jc w:val="both"/>
        <w:rPr>
          <w:rFonts w:ascii="Times New Roman" w:hAnsi="Times New Roman" w:cs="Times New Roman"/>
          <w:lang w:val="pl-PL"/>
        </w:rPr>
      </w:pPr>
      <w:r w:rsidRPr="00D86DF9">
        <w:rPr>
          <w:rStyle w:val="FootnoteReference"/>
          <w:rFonts w:ascii="Times New Roman" w:hAnsi="Times New Roman" w:cs="Times New Roman"/>
        </w:rPr>
        <w:footnoteRef/>
      </w:r>
      <w:r w:rsidRPr="00362B8F">
        <w:rPr>
          <w:rFonts w:ascii="Times New Roman" w:hAnsi="Times New Roman" w:cs="Times New Roman"/>
          <w:lang w:val="pl-PL"/>
        </w:rPr>
        <w:t xml:space="preserve"> </w:t>
      </w:r>
      <w:r w:rsidRPr="00362B8F">
        <w:rPr>
          <w:rFonts w:ascii="Times New Roman" w:hAnsi="Times New Roman" w:cs="Times New Roman"/>
          <w:lang w:val="pl-PL"/>
        </w:rPr>
        <w:tab/>
      </w:r>
      <w:r w:rsidR="003D7266" w:rsidRPr="00362B8F">
        <w:rPr>
          <w:rFonts w:ascii="Times New Roman" w:hAnsi="Times New Roman" w:cs="Times New Roman"/>
          <w:lang w:val="pl-PL"/>
        </w:rPr>
        <w:t>OJ L 79, 25.3.2009, p. 44.</w:t>
      </w:r>
    </w:p>
  </w:footnote>
  <w:footnote w:id="16">
    <w:p w14:paraId="21C0EBD4" w14:textId="5CE0B6B5" w:rsidR="00097A69" w:rsidRPr="006F4656" w:rsidRDefault="00097A69" w:rsidP="00D86DF9">
      <w:pPr>
        <w:pStyle w:val="FootnoteText"/>
        <w:tabs>
          <w:tab w:val="left" w:pos="284"/>
        </w:tabs>
        <w:ind w:left="284" w:hanging="284"/>
        <w:jc w:val="both"/>
        <w:rPr>
          <w:rFonts w:ascii="Times New Roman" w:hAnsi="Times New Roman" w:cs="Times New Roman"/>
          <w:lang w:val="en-IE"/>
        </w:rPr>
      </w:pPr>
      <w:r w:rsidRPr="00D86DF9">
        <w:rPr>
          <w:rStyle w:val="FootnoteReference"/>
          <w:rFonts w:ascii="Times New Roman" w:hAnsi="Times New Roman" w:cs="Times New Roman"/>
        </w:rPr>
        <w:footnoteRef/>
      </w:r>
      <w:r w:rsidRPr="006F4656">
        <w:rPr>
          <w:rFonts w:ascii="Times New Roman" w:hAnsi="Times New Roman" w:cs="Times New Roman"/>
          <w:lang w:val="en-IE"/>
        </w:rPr>
        <w:t xml:space="preserve"> </w:t>
      </w:r>
      <w:r w:rsidRPr="006F4656">
        <w:rPr>
          <w:rFonts w:ascii="Times New Roman" w:hAnsi="Times New Roman" w:cs="Times New Roman"/>
          <w:lang w:val="en-IE"/>
        </w:rPr>
        <w:tab/>
      </w:r>
      <w:r w:rsidR="003D7266" w:rsidRPr="006F4656">
        <w:rPr>
          <w:rFonts w:ascii="Times New Roman" w:hAnsi="Times New Roman" w:cs="Times New Roman"/>
          <w:lang w:val="en-IE"/>
        </w:rPr>
        <w:t>OJ L 37, 8.2.2013, p. 10.</w:t>
      </w:r>
      <w:r w:rsidR="003D7266" w:rsidRPr="006F4656" w:rsidDel="003D7266">
        <w:rPr>
          <w:rFonts w:ascii="Times New Roman" w:hAnsi="Times New Roman" w:cs="Times New Roman"/>
          <w:lang w:val="en-IE"/>
        </w:rPr>
        <w:t xml:space="preserve"> </w:t>
      </w:r>
    </w:p>
  </w:footnote>
  <w:footnote w:id="17">
    <w:p w14:paraId="0BFE8577" w14:textId="5FDDE797" w:rsidR="00A12211" w:rsidRPr="00D86DF9" w:rsidRDefault="00A12211" w:rsidP="00D86DF9">
      <w:pPr>
        <w:pStyle w:val="FootnoteText"/>
        <w:tabs>
          <w:tab w:val="left" w:pos="284"/>
        </w:tabs>
        <w:ind w:left="284" w:hanging="284"/>
        <w:jc w:val="both"/>
        <w:rPr>
          <w:rFonts w:ascii="Times New Roman" w:hAnsi="Times New Roman" w:cs="Times New Roman"/>
        </w:rPr>
      </w:pPr>
      <w:r w:rsidRPr="00D86DF9">
        <w:rPr>
          <w:rStyle w:val="FootnoteReference"/>
          <w:rFonts w:ascii="Times New Roman" w:hAnsi="Times New Roman" w:cs="Times New Roman"/>
        </w:rPr>
        <w:footnoteRef/>
      </w:r>
      <w:r w:rsidRPr="00D86DF9">
        <w:rPr>
          <w:rFonts w:ascii="Times New Roman" w:hAnsi="Times New Roman" w:cs="Times New Roman"/>
        </w:rPr>
        <w:t xml:space="preserve"> </w:t>
      </w:r>
      <w:r w:rsidR="00D86DF9">
        <w:rPr>
          <w:rFonts w:ascii="Times New Roman" w:hAnsi="Times New Roman" w:cs="Times New Roman"/>
        </w:rPr>
        <w:tab/>
      </w:r>
      <w:r w:rsidRPr="00D86DF9">
        <w:rPr>
          <w:rFonts w:ascii="Times New Roman" w:hAnsi="Times New Roman" w:cs="Times New Roman"/>
        </w:rPr>
        <w:t>COM/202</w:t>
      </w:r>
      <w:r w:rsidR="00806ADE" w:rsidRPr="00D86DF9">
        <w:rPr>
          <w:rFonts w:ascii="Times New Roman" w:hAnsi="Times New Roman" w:cs="Times New Roman"/>
        </w:rPr>
        <w:t>3</w:t>
      </w:r>
      <w:r w:rsidRPr="00D86DF9">
        <w:rPr>
          <w:rFonts w:ascii="Times New Roman" w:hAnsi="Times New Roman" w:cs="Times New Roman"/>
        </w:rPr>
        <w:t>/</w:t>
      </w:r>
      <w:r w:rsidR="00806ADE" w:rsidRPr="00D86DF9">
        <w:rPr>
          <w:rFonts w:ascii="Times New Roman" w:hAnsi="Times New Roman" w:cs="Times New Roman"/>
        </w:rPr>
        <w:t>451</w:t>
      </w:r>
      <w:r w:rsidRPr="00D86DF9">
        <w:rPr>
          <w:rFonts w:ascii="Times New Roman" w:hAnsi="Times New Roman" w:cs="Times New Roman"/>
        </w:rPr>
        <w:t xml:space="preserve"> final.</w:t>
      </w:r>
    </w:p>
  </w:footnote>
  <w:footnote w:id="18">
    <w:p w14:paraId="36C0E433" w14:textId="1BA71BB2" w:rsidR="00097A69" w:rsidRPr="00D86DF9" w:rsidRDefault="00097A69" w:rsidP="00D86DF9">
      <w:pPr>
        <w:pStyle w:val="FootnoteText"/>
        <w:tabs>
          <w:tab w:val="left" w:pos="284"/>
        </w:tabs>
        <w:ind w:left="284" w:hanging="284"/>
        <w:jc w:val="both"/>
        <w:rPr>
          <w:rFonts w:ascii="Times New Roman" w:hAnsi="Times New Roman" w:cs="Times New Roman"/>
          <w:lang w:val="en-US"/>
        </w:rPr>
      </w:pPr>
      <w:r w:rsidRPr="00D86DF9">
        <w:rPr>
          <w:rStyle w:val="FootnoteReference"/>
          <w:rFonts w:ascii="Times New Roman" w:hAnsi="Times New Roman" w:cs="Times New Roman"/>
        </w:rPr>
        <w:footnoteRef/>
      </w:r>
      <w:r w:rsidRPr="00D86DF9">
        <w:rPr>
          <w:rFonts w:ascii="Times New Roman" w:hAnsi="Times New Roman" w:cs="Times New Roman"/>
          <w:lang w:val="en-US"/>
        </w:rPr>
        <w:t xml:space="preserve"> </w:t>
      </w:r>
      <w:r w:rsidRPr="00D86DF9">
        <w:rPr>
          <w:rFonts w:ascii="Times New Roman" w:hAnsi="Times New Roman" w:cs="Times New Roman"/>
          <w:lang w:val="en-US"/>
        </w:rPr>
        <w:tab/>
        <w:t>The Commission used the powers conferred to it in this respect several times before the beginning of the period covered by this report.</w:t>
      </w:r>
    </w:p>
  </w:footnote>
  <w:footnote w:id="19">
    <w:p w14:paraId="20FF5032" w14:textId="2C84547A" w:rsidR="00097A69" w:rsidRPr="00D86DF9" w:rsidRDefault="00097A69" w:rsidP="00D86DF9">
      <w:pPr>
        <w:pStyle w:val="FootnoteText"/>
        <w:tabs>
          <w:tab w:val="left" w:pos="284"/>
        </w:tabs>
        <w:ind w:left="284" w:hanging="284"/>
        <w:jc w:val="both"/>
        <w:rPr>
          <w:rFonts w:ascii="Times New Roman" w:hAnsi="Times New Roman" w:cs="Times New Roman"/>
          <w:lang w:val="pl-PL"/>
        </w:rPr>
      </w:pPr>
      <w:r w:rsidRPr="00D86DF9">
        <w:rPr>
          <w:rStyle w:val="FootnoteReference"/>
          <w:rFonts w:ascii="Times New Roman" w:hAnsi="Times New Roman" w:cs="Times New Roman"/>
        </w:rPr>
        <w:footnoteRef/>
      </w:r>
      <w:r w:rsidRPr="00D86DF9">
        <w:rPr>
          <w:rFonts w:ascii="Times New Roman" w:hAnsi="Times New Roman" w:cs="Times New Roman"/>
          <w:lang w:val="pl-PL"/>
        </w:rPr>
        <w:t xml:space="preserve"> </w:t>
      </w:r>
      <w:r w:rsidRPr="00D86DF9">
        <w:rPr>
          <w:rFonts w:ascii="Times New Roman" w:hAnsi="Times New Roman" w:cs="Times New Roman"/>
          <w:lang w:val="pl-PL"/>
        </w:rPr>
        <w:tab/>
      </w:r>
      <w:r w:rsidR="00B80FA1" w:rsidRPr="00D86DF9">
        <w:rPr>
          <w:rStyle w:val="Hyperlink"/>
          <w:rFonts w:ascii="Times New Roman" w:hAnsi="Times New Roman" w:cs="Times New Roman"/>
          <w:color w:val="auto"/>
          <w:u w:val="none"/>
          <w:lang w:val="pl-PL"/>
        </w:rPr>
        <w:t>OJ L 67, 5.3.2020, p. 116</w:t>
      </w:r>
      <w:r w:rsidR="00F7670D" w:rsidRPr="00D86DF9">
        <w:rPr>
          <w:rStyle w:val="Hyperlink"/>
          <w:rFonts w:ascii="Times New Roman" w:hAnsi="Times New Roman" w:cs="Times New Roman"/>
          <w:color w:val="auto"/>
          <w:u w:val="none"/>
          <w:lang w:val="pl-PL"/>
        </w:rPr>
        <w:t>.</w:t>
      </w:r>
    </w:p>
  </w:footnote>
  <w:footnote w:id="20">
    <w:p w14:paraId="7DB45591" w14:textId="6BA99FB7" w:rsidR="00097A69" w:rsidRPr="00D86DF9" w:rsidRDefault="00097A69" w:rsidP="00D86DF9">
      <w:pPr>
        <w:pStyle w:val="FootnoteText"/>
        <w:tabs>
          <w:tab w:val="left" w:pos="284"/>
        </w:tabs>
        <w:ind w:left="284" w:hanging="284"/>
        <w:jc w:val="both"/>
        <w:rPr>
          <w:rFonts w:ascii="Times New Roman" w:hAnsi="Times New Roman" w:cs="Times New Roman"/>
          <w:lang w:val="pl-PL"/>
        </w:rPr>
      </w:pPr>
      <w:r w:rsidRPr="00D86DF9">
        <w:rPr>
          <w:rStyle w:val="FootnoteReference"/>
          <w:rFonts w:ascii="Times New Roman" w:hAnsi="Times New Roman" w:cs="Times New Roman"/>
        </w:rPr>
        <w:footnoteRef/>
      </w:r>
      <w:r w:rsidRPr="00D86DF9">
        <w:rPr>
          <w:rFonts w:ascii="Times New Roman" w:hAnsi="Times New Roman" w:cs="Times New Roman"/>
          <w:lang w:val="pl-PL"/>
        </w:rPr>
        <w:t xml:space="preserve"> </w:t>
      </w:r>
      <w:r w:rsidRPr="00D86DF9">
        <w:rPr>
          <w:rFonts w:ascii="Times New Roman" w:hAnsi="Times New Roman" w:cs="Times New Roman"/>
          <w:lang w:val="pl-PL"/>
        </w:rPr>
        <w:tab/>
      </w:r>
      <w:r w:rsidR="00B80FA1" w:rsidRPr="00D86DF9">
        <w:rPr>
          <w:rStyle w:val="Hyperlink"/>
          <w:rFonts w:ascii="Times New Roman" w:hAnsi="Times New Roman" w:cs="Times New Roman"/>
          <w:color w:val="auto"/>
          <w:u w:val="none"/>
          <w:lang w:val="pl-PL"/>
        </w:rPr>
        <w:t>OJ L 67, 5.3.2020, p. 119</w:t>
      </w:r>
      <w:r w:rsidR="00F7670D" w:rsidRPr="00D86DF9">
        <w:rPr>
          <w:rStyle w:val="Hyperlink"/>
          <w:rFonts w:ascii="Times New Roman" w:hAnsi="Times New Roman" w:cs="Times New Roman"/>
          <w:color w:val="auto"/>
          <w:u w:val="none"/>
          <w:lang w:val="pl-PL"/>
        </w:rPr>
        <w:t>.</w:t>
      </w:r>
    </w:p>
  </w:footnote>
  <w:footnote w:id="21">
    <w:p w14:paraId="28345332" w14:textId="3E7590F7" w:rsidR="004F1C03" w:rsidRPr="00D86DF9" w:rsidRDefault="004F1C03" w:rsidP="00D86DF9">
      <w:pPr>
        <w:pStyle w:val="FootnoteText"/>
        <w:tabs>
          <w:tab w:val="left" w:pos="284"/>
        </w:tabs>
        <w:ind w:left="284" w:hanging="284"/>
        <w:jc w:val="both"/>
        <w:rPr>
          <w:rFonts w:ascii="Times New Roman" w:hAnsi="Times New Roman" w:cs="Times New Roman"/>
          <w:lang w:val="pl-PL"/>
        </w:rPr>
      </w:pPr>
      <w:r w:rsidRPr="00D86DF9">
        <w:rPr>
          <w:rStyle w:val="FootnoteReference"/>
          <w:rFonts w:ascii="Times New Roman" w:hAnsi="Times New Roman" w:cs="Times New Roman"/>
        </w:rPr>
        <w:footnoteRef/>
      </w:r>
      <w:r w:rsidRPr="00D86DF9">
        <w:rPr>
          <w:rFonts w:ascii="Times New Roman" w:hAnsi="Times New Roman" w:cs="Times New Roman"/>
          <w:lang w:val="pl-PL"/>
        </w:rPr>
        <w:t xml:space="preserve"> </w:t>
      </w:r>
      <w:r w:rsidRPr="00D86DF9">
        <w:rPr>
          <w:rFonts w:ascii="Times New Roman" w:hAnsi="Times New Roman" w:cs="Times New Roman"/>
          <w:lang w:val="pl-PL"/>
        </w:rPr>
        <w:tab/>
      </w:r>
      <w:r w:rsidR="00F7670D" w:rsidRPr="00D86DF9">
        <w:rPr>
          <w:rStyle w:val="Hyperlink"/>
          <w:rFonts w:ascii="Times New Roman" w:hAnsi="Times New Roman" w:cs="Times New Roman"/>
          <w:color w:val="auto"/>
          <w:u w:val="none"/>
          <w:lang w:val="pl-PL"/>
        </w:rPr>
        <w:t>OJ L 73, 10.3.2023, p. 5.</w:t>
      </w:r>
    </w:p>
  </w:footnote>
  <w:footnote w:id="22">
    <w:p w14:paraId="4613E3A0" w14:textId="53FAA998" w:rsidR="00CC26ED" w:rsidRPr="00362B8F" w:rsidRDefault="00CC26ED" w:rsidP="00D86DF9">
      <w:pPr>
        <w:pStyle w:val="FootnoteText"/>
        <w:tabs>
          <w:tab w:val="left" w:pos="284"/>
        </w:tabs>
        <w:ind w:left="284" w:hanging="284"/>
        <w:jc w:val="both"/>
        <w:rPr>
          <w:rFonts w:ascii="Times New Roman" w:hAnsi="Times New Roman" w:cs="Times New Roman"/>
        </w:rPr>
      </w:pPr>
      <w:r w:rsidRPr="00D86DF9">
        <w:rPr>
          <w:rStyle w:val="FootnoteReference"/>
          <w:rFonts w:ascii="Times New Roman" w:hAnsi="Times New Roman" w:cs="Times New Roman"/>
        </w:rPr>
        <w:footnoteRef/>
      </w:r>
      <w:r w:rsidRPr="00362B8F">
        <w:rPr>
          <w:rFonts w:ascii="Times New Roman" w:hAnsi="Times New Roman" w:cs="Times New Roman"/>
        </w:rPr>
        <w:t xml:space="preserve"> </w:t>
      </w:r>
      <w:r w:rsidRPr="00362B8F">
        <w:rPr>
          <w:rFonts w:ascii="Times New Roman" w:hAnsi="Times New Roman" w:cs="Times New Roman"/>
        </w:rPr>
        <w:tab/>
      </w:r>
      <w:r w:rsidR="004D6DF3" w:rsidRPr="00362B8F">
        <w:rPr>
          <w:rFonts w:ascii="Times New Roman" w:hAnsi="Times New Roman" w:cs="Times New Roman"/>
        </w:rPr>
        <w:t>OJ L 50, 21.2.2002, p. 94.</w:t>
      </w:r>
    </w:p>
  </w:footnote>
  <w:footnote w:id="23">
    <w:p w14:paraId="5F58318E" w14:textId="52491DE2" w:rsidR="00097A69" w:rsidRPr="00362B8F" w:rsidRDefault="00097A69" w:rsidP="00D86DF9">
      <w:pPr>
        <w:pStyle w:val="FootnoteText"/>
        <w:tabs>
          <w:tab w:val="left" w:pos="284"/>
        </w:tabs>
        <w:ind w:left="284" w:hanging="284"/>
        <w:jc w:val="both"/>
        <w:rPr>
          <w:rFonts w:ascii="Times New Roman" w:hAnsi="Times New Roman" w:cs="Times New Roman"/>
        </w:rPr>
      </w:pPr>
      <w:r w:rsidRPr="00D86DF9">
        <w:rPr>
          <w:rStyle w:val="FootnoteReference"/>
          <w:rFonts w:ascii="Times New Roman" w:hAnsi="Times New Roman" w:cs="Times New Roman"/>
        </w:rPr>
        <w:footnoteRef/>
      </w:r>
      <w:r w:rsidRPr="00362B8F">
        <w:rPr>
          <w:rFonts w:ascii="Times New Roman" w:hAnsi="Times New Roman" w:cs="Times New Roman"/>
        </w:rPr>
        <w:t xml:space="preserve"> </w:t>
      </w:r>
      <w:r w:rsidRPr="00362B8F">
        <w:rPr>
          <w:rFonts w:ascii="Times New Roman" w:hAnsi="Times New Roman" w:cs="Times New Roman"/>
        </w:rPr>
        <w:tab/>
      </w:r>
      <w:r w:rsidR="00AE708D" w:rsidRPr="00362B8F">
        <w:rPr>
          <w:rFonts w:ascii="Times New Roman" w:hAnsi="Times New Roman" w:cs="Times New Roman"/>
        </w:rPr>
        <w:t>OJ L 53, 28.2.2003, p. 58.</w:t>
      </w:r>
    </w:p>
  </w:footnote>
  <w:footnote w:id="24">
    <w:p w14:paraId="657CD5AE" w14:textId="20CFF535" w:rsidR="002D1C11" w:rsidRPr="00D86DF9" w:rsidRDefault="002D1C11" w:rsidP="00D86DF9">
      <w:pPr>
        <w:pStyle w:val="FootnoteText"/>
        <w:tabs>
          <w:tab w:val="left" w:pos="284"/>
        </w:tabs>
        <w:ind w:left="284" w:hanging="284"/>
        <w:jc w:val="both"/>
        <w:rPr>
          <w:rFonts w:ascii="Times New Roman" w:hAnsi="Times New Roman" w:cs="Times New Roman"/>
        </w:rPr>
      </w:pPr>
      <w:r w:rsidRPr="00D86DF9">
        <w:rPr>
          <w:rStyle w:val="FootnoteReference"/>
          <w:rFonts w:ascii="Times New Roman" w:hAnsi="Times New Roman" w:cs="Times New Roman"/>
        </w:rPr>
        <w:footnoteRef/>
      </w:r>
      <w:r w:rsidRPr="00D86DF9">
        <w:rPr>
          <w:rFonts w:ascii="Times New Roman" w:hAnsi="Times New Roman" w:cs="Times New Roman"/>
        </w:rPr>
        <w:t xml:space="preserve"> </w:t>
      </w:r>
      <w:r w:rsidR="00D86DF9">
        <w:rPr>
          <w:rFonts w:ascii="Times New Roman" w:hAnsi="Times New Roman" w:cs="Times New Roman"/>
        </w:rPr>
        <w:tab/>
      </w:r>
      <w:r w:rsidRPr="00D86DF9">
        <w:rPr>
          <w:rFonts w:ascii="Times New Roman" w:hAnsi="Times New Roman" w:cs="Times New Roman"/>
        </w:rPr>
        <w:t>Decision C(2001)107/Final of the OECD Council.</w:t>
      </w:r>
    </w:p>
  </w:footnote>
  <w:footnote w:id="25">
    <w:p w14:paraId="2D560E42" w14:textId="3C520364" w:rsidR="00D32DDF" w:rsidRPr="00195C26" w:rsidRDefault="00D32DDF" w:rsidP="00D32DDF">
      <w:pPr>
        <w:pStyle w:val="FootnoteText"/>
        <w:tabs>
          <w:tab w:val="left" w:pos="284"/>
        </w:tabs>
        <w:ind w:left="284" w:hanging="284"/>
        <w:jc w:val="both"/>
        <w:rPr>
          <w:rFonts w:ascii="Times New Roman" w:hAnsi="Times New Roman" w:cs="Times New Roman"/>
          <w:lang w:val="pl-PL"/>
        </w:rPr>
      </w:pPr>
      <w:r w:rsidRPr="00D86DF9">
        <w:rPr>
          <w:rStyle w:val="FootnoteReference"/>
          <w:rFonts w:ascii="Times New Roman" w:hAnsi="Times New Roman" w:cs="Times New Roman"/>
        </w:rPr>
        <w:footnoteRef/>
      </w:r>
      <w:r w:rsidRPr="00195C26">
        <w:rPr>
          <w:rFonts w:ascii="Times New Roman" w:hAnsi="Times New Roman" w:cs="Times New Roman"/>
          <w:lang w:val="pl-PL"/>
        </w:rPr>
        <w:t xml:space="preserve"> </w:t>
      </w:r>
      <w:r w:rsidRPr="00195C26">
        <w:rPr>
          <w:rFonts w:ascii="Times New Roman" w:hAnsi="Times New Roman" w:cs="Times New Roman"/>
          <w:lang w:val="pl-PL"/>
        </w:rPr>
        <w:tab/>
      </w:r>
      <w:r w:rsidRPr="00541C86">
        <w:rPr>
          <w:rFonts w:ascii="Times New Roman" w:hAnsi="Times New Roman" w:cs="Times New Roman"/>
          <w:lang w:val="pl-PL"/>
        </w:rPr>
        <w:t xml:space="preserve">OJ L, 2024/1157, 30.4.2024, ELI: </w:t>
      </w:r>
      <w:r w:rsidR="00AC68F4" w:rsidRPr="00AC68F4">
        <w:rPr>
          <w:rFonts w:ascii="Times New Roman" w:hAnsi="Times New Roman" w:cs="Times New Roman"/>
          <w:lang w:val="pl-PL"/>
        </w:rPr>
        <w:t>http://data.europa.eu/eli/reg/2024/1157/oj</w:t>
      </w:r>
      <w:r w:rsidRPr="00195C26">
        <w:rPr>
          <w:rFonts w:ascii="Times New Roman" w:hAnsi="Times New Roman" w:cs="Times New Roman"/>
          <w:lang w:val="pl-PL"/>
        </w:rPr>
        <w:t>.</w:t>
      </w:r>
    </w:p>
  </w:footnote>
  <w:footnote w:id="26">
    <w:p w14:paraId="39EA5D76" w14:textId="0BADEF6A" w:rsidR="008F6421" w:rsidRPr="00D32DDF" w:rsidRDefault="008F6421" w:rsidP="00D86DF9">
      <w:pPr>
        <w:pStyle w:val="FootnoteText"/>
        <w:tabs>
          <w:tab w:val="left" w:pos="284"/>
        </w:tabs>
        <w:ind w:left="284" w:hanging="284"/>
        <w:jc w:val="both"/>
        <w:rPr>
          <w:rFonts w:ascii="Times New Roman" w:hAnsi="Times New Roman" w:cs="Times New Roman"/>
          <w:lang w:val="pl-PL"/>
        </w:rPr>
      </w:pPr>
      <w:r w:rsidRPr="00D86DF9">
        <w:rPr>
          <w:rStyle w:val="FootnoteReference"/>
          <w:rFonts w:ascii="Times New Roman" w:hAnsi="Times New Roman" w:cs="Times New Roman"/>
        </w:rPr>
        <w:footnoteRef/>
      </w:r>
      <w:r w:rsidRPr="00D32DDF">
        <w:rPr>
          <w:rFonts w:ascii="Times New Roman" w:hAnsi="Times New Roman" w:cs="Times New Roman"/>
          <w:lang w:val="pl-PL"/>
        </w:rPr>
        <w:t xml:space="preserve"> </w:t>
      </w:r>
      <w:r w:rsidR="00D86DF9" w:rsidRPr="00D32DDF">
        <w:rPr>
          <w:rFonts w:ascii="Times New Roman" w:hAnsi="Times New Roman" w:cs="Times New Roman"/>
          <w:lang w:val="pl-PL"/>
        </w:rPr>
        <w:tab/>
      </w:r>
      <w:r w:rsidRPr="00D32DDF">
        <w:rPr>
          <w:rFonts w:ascii="Times New Roman" w:hAnsi="Times New Roman" w:cs="Times New Roman"/>
          <w:lang w:val="pl-PL"/>
        </w:rPr>
        <w:t>OJ L 433, 22.12.2020, p. 11</w:t>
      </w:r>
      <w:r w:rsidR="00C56624">
        <w:rPr>
          <w:rFonts w:ascii="Times New Roman" w:hAnsi="Times New Roman" w:cs="Times New Roman"/>
          <w:lang w:val="pl-PL"/>
        </w:rPr>
        <w:t>.</w:t>
      </w:r>
    </w:p>
  </w:footnote>
  <w:footnote w:id="27">
    <w:p w14:paraId="7D5DB6D3" w14:textId="3B671E1B" w:rsidR="004622C3" w:rsidRPr="00D32DDF" w:rsidRDefault="004622C3" w:rsidP="00D86DF9">
      <w:pPr>
        <w:pStyle w:val="FootnoteText"/>
        <w:tabs>
          <w:tab w:val="left" w:pos="284"/>
        </w:tabs>
        <w:ind w:left="284" w:hanging="284"/>
        <w:jc w:val="both"/>
        <w:rPr>
          <w:rFonts w:ascii="Times New Roman" w:hAnsi="Times New Roman" w:cs="Times New Roman"/>
          <w:lang w:val="pl-PL"/>
        </w:rPr>
      </w:pPr>
      <w:r w:rsidRPr="00D86DF9">
        <w:rPr>
          <w:rStyle w:val="FootnoteReference"/>
          <w:rFonts w:ascii="Times New Roman" w:hAnsi="Times New Roman" w:cs="Times New Roman"/>
        </w:rPr>
        <w:footnoteRef/>
      </w:r>
      <w:r w:rsidRPr="00D32DDF">
        <w:rPr>
          <w:rFonts w:ascii="Times New Roman" w:hAnsi="Times New Roman" w:cs="Times New Roman"/>
          <w:lang w:val="pl-PL"/>
        </w:rPr>
        <w:t xml:space="preserve"> </w:t>
      </w:r>
      <w:r w:rsidR="00D86DF9" w:rsidRPr="00D32DDF">
        <w:rPr>
          <w:rFonts w:ascii="Times New Roman" w:hAnsi="Times New Roman" w:cs="Times New Roman"/>
          <w:lang w:val="pl-PL"/>
        </w:rPr>
        <w:tab/>
      </w:r>
      <w:r w:rsidR="007223EF" w:rsidRPr="00D32DDF">
        <w:rPr>
          <w:rFonts w:ascii="Times New Roman" w:hAnsi="Times New Roman" w:cs="Times New Roman"/>
          <w:lang w:val="pl-PL"/>
        </w:rPr>
        <w:t>OJ L 191, 28.7.2023, p. 1.</w:t>
      </w:r>
    </w:p>
  </w:footnote>
  <w:footnote w:id="28">
    <w:p w14:paraId="192AAEF3" w14:textId="55CC8633" w:rsidR="00097A69" w:rsidRPr="00FD3000" w:rsidRDefault="00097A69" w:rsidP="00D86DF9">
      <w:pPr>
        <w:pStyle w:val="FootnoteText"/>
        <w:tabs>
          <w:tab w:val="left" w:pos="284"/>
        </w:tabs>
        <w:ind w:left="284" w:hanging="284"/>
        <w:jc w:val="both"/>
        <w:rPr>
          <w:rFonts w:ascii="Times New Roman" w:hAnsi="Times New Roman" w:cs="Times New Roman"/>
          <w:lang w:val="pl-PL"/>
        </w:rPr>
      </w:pPr>
      <w:r w:rsidRPr="00D86DF9">
        <w:rPr>
          <w:rStyle w:val="FootnoteReference"/>
          <w:rFonts w:ascii="Times New Roman" w:hAnsi="Times New Roman" w:cs="Times New Roman"/>
        </w:rPr>
        <w:footnoteRef/>
      </w:r>
      <w:r w:rsidRPr="00FD3000">
        <w:rPr>
          <w:rFonts w:ascii="Times New Roman" w:hAnsi="Times New Roman" w:cs="Times New Roman"/>
          <w:lang w:val="pl-PL"/>
        </w:rPr>
        <w:t xml:space="preserve"> </w:t>
      </w:r>
      <w:r w:rsidRPr="00FD3000">
        <w:rPr>
          <w:rFonts w:ascii="Times New Roman" w:hAnsi="Times New Roman" w:cs="Times New Roman"/>
          <w:lang w:val="pl-PL"/>
        </w:rPr>
        <w:tab/>
      </w:r>
      <w:r w:rsidR="003D5F4D" w:rsidRPr="00FD3000">
        <w:rPr>
          <w:rFonts w:ascii="Times New Roman" w:hAnsi="Times New Roman" w:cs="Times New Roman"/>
          <w:lang w:val="pl-PL"/>
        </w:rPr>
        <w:t>OJ L 313, 30.11.2010, p. 3.</w:t>
      </w:r>
    </w:p>
  </w:footnote>
  <w:footnote w:id="29">
    <w:p w14:paraId="125532CA" w14:textId="128C585F" w:rsidR="00097A69" w:rsidRPr="00362B8F" w:rsidRDefault="00097A69" w:rsidP="00D86DF9">
      <w:pPr>
        <w:pStyle w:val="FootnoteText"/>
        <w:tabs>
          <w:tab w:val="left" w:pos="284"/>
        </w:tabs>
        <w:ind w:left="284" w:hanging="284"/>
        <w:jc w:val="both"/>
        <w:rPr>
          <w:rFonts w:ascii="Times New Roman" w:hAnsi="Times New Roman" w:cs="Times New Roman"/>
        </w:rPr>
      </w:pPr>
      <w:r w:rsidRPr="00D86DF9">
        <w:rPr>
          <w:rStyle w:val="FootnoteReference"/>
          <w:rFonts w:ascii="Times New Roman" w:hAnsi="Times New Roman" w:cs="Times New Roman"/>
        </w:rPr>
        <w:footnoteRef/>
      </w:r>
      <w:r w:rsidRPr="00362B8F">
        <w:rPr>
          <w:rFonts w:ascii="Times New Roman" w:hAnsi="Times New Roman" w:cs="Times New Roman"/>
        </w:rPr>
        <w:t xml:space="preserve"> </w:t>
      </w:r>
      <w:r w:rsidRPr="00362B8F">
        <w:rPr>
          <w:rFonts w:ascii="Times New Roman" w:hAnsi="Times New Roman" w:cs="Times New Roman"/>
        </w:rPr>
        <w:tab/>
      </w:r>
      <w:r w:rsidR="00DE7CFC" w:rsidRPr="00362B8F">
        <w:rPr>
          <w:rFonts w:ascii="Times New Roman" w:hAnsi="Times New Roman" w:cs="Times New Roman"/>
        </w:rPr>
        <w:t>OJ L 370, 30.12.2014, p. 44.</w:t>
      </w:r>
    </w:p>
  </w:footnote>
  <w:footnote w:id="30">
    <w:p w14:paraId="698A3836" w14:textId="7977AC5D" w:rsidR="00097A69" w:rsidRPr="00FD3000" w:rsidRDefault="00097A69" w:rsidP="00D86DF9">
      <w:pPr>
        <w:pStyle w:val="FootnoteText"/>
        <w:tabs>
          <w:tab w:val="left" w:pos="284"/>
        </w:tabs>
        <w:ind w:left="284" w:hanging="284"/>
        <w:jc w:val="both"/>
        <w:rPr>
          <w:rFonts w:ascii="Times New Roman" w:hAnsi="Times New Roman" w:cs="Times New Roman"/>
          <w:lang w:val="en-IE"/>
        </w:rPr>
      </w:pPr>
      <w:r w:rsidRPr="00D86DF9">
        <w:rPr>
          <w:rStyle w:val="FootnoteReference"/>
          <w:rFonts w:ascii="Times New Roman" w:hAnsi="Times New Roman" w:cs="Times New Roman"/>
        </w:rPr>
        <w:footnoteRef/>
      </w:r>
      <w:r w:rsidRPr="00FD3000">
        <w:rPr>
          <w:rFonts w:ascii="Times New Roman" w:hAnsi="Times New Roman" w:cs="Times New Roman"/>
          <w:lang w:val="en-IE"/>
        </w:rPr>
        <w:t xml:space="preserve"> </w:t>
      </w:r>
      <w:r w:rsidRPr="00FD3000">
        <w:rPr>
          <w:rFonts w:ascii="Times New Roman" w:hAnsi="Times New Roman" w:cs="Times New Roman"/>
          <w:lang w:val="en-IE"/>
        </w:rPr>
        <w:tab/>
      </w:r>
      <w:r w:rsidR="00556E25" w:rsidRPr="00FD3000">
        <w:rPr>
          <w:rFonts w:ascii="Times New Roman" w:hAnsi="Times New Roman" w:cs="Times New Roman"/>
          <w:lang w:val="en-IE"/>
        </w:rPr>
        <w:t>OJ L 248, 27.9.2019, p. 77.</w:t>
      </w:r>
    </w:p>
  </w:footnote>
  <w:footnote w:id="31">
    <w:p w14:paraId="418E3A73" w14:textId="77777777" w:rsidR="00097A69" w:rsidRPr="00D86DF9" w:rsidRDefault="00097A69" w:rsidP="00D86DF9">
      <w:pPr>
        <w:pStyle w:val="FootnoteText"/>
        <w:tabs>
          <w:tab w:val="left" w:pos="284"/>
        </w:tabs>
        <w:ind w:left="284" w:hanging="284"/>
        <w:jc w:val="both"/>
        <w:rPr>
          <w:rFonts w:ascii="Times New Roman" w:hAnsi="Times New Roman" w:cs="Times New Roman"/>
          <w:lang w:val="en-US"/>
        </w:rPr>
      </w:pPr>
      <w:r w:rsidRPr="00FD3000">
        <w:rPr>
          <w:rStyle w:val="FootnoteReference"/>
          <w:rFonts w:ascii="Times New Roman" w:hAnsi="Times New Roman" w:cs="Times New Roman"/>
        </w:rPr>
        <w:footnoteRef/>
      </w:r>
      <w:r w:rsidRPr="00FD3000">
        <w:rPr>
          <w:rFonts w:ascii="Times New Roman" w:hAnsi="Times New Roman" w:cs="Times New Roman"/>
          <w:lang w:val="en-US"/>
        </w:rPr>
        <w:t xml:space="preserve"> </w:t>
      </w:r>
      <w:r w:rsidRPr="00FD3000">
        <w:rPr>
          <w:rFonts w:ascii="Times New Roman" w:hAnsi="Times New Roman" w:cs="Times New Roman"/>
          <w:lang w:val="en-US"/>
        </w:rPr>
        <w:tab/>
      </w:r>
      <w:hyperlink r:id="rId1" w:anchor="/delegatedActs/1249" w:history="1">
        <w:r w:rsidRPr="00FD3000">
          <w:rPr>
            <w:rStyle w:val="Hyperlink"/>
            <w:rFonts w:ascii="Times New Roman" w:hAnsi="Times New Roman" w:cs="Times New Roman"/>
          </w:rPr>
          <w:t>Delegated act details - Register of delegated acts (europa.eu)</w:t>
        </w:r>
      </w:hyperlink>
    </w:p>
  </w:footnote>
  <w:footnote w:id="32">
    <w:p w14:paraId="086513D7" w14:textId="047FC574" w:rsidR="00097A69" w:rsidRPr="00D86DF9" w:rsidRDefault="00097A69" w:rsidP="00D86DF9">
      <w:pPr>
        <w:pStyle w:val="FootnoteText"/>
        <w:tabs>
          <w:tab w:val="left" w:pos="284"/>
        </w:tabs>
        <w:ind w:left="284" w:hanging="284"/>
        <w:jc w:val="both"/>
        <w:rPr>
          <w:rFonts w:ascii="Times New Roman" w:hAnsi="Times New Roman" w:cs="Times New Roman"/>
          <w:lang w:val="fr-BE"/>
        </w:rPr>
      </w:pPr>
      <w:r w:rsidRPr="00D86DF9">
        <w:rPr>
          <w:rStyle w:val="FootnoteReference"/>
          <w:rFonts w:ascii="Times New Roman" w:hAnsi="Times New Roman" w:cs="Times New Roman"/>
        </w:rPr>
        <w:footnoteRef/>
      </w:r>
      <w:r w:rsidRPr="00D86DF9">
        <w:rPr>
          <w:rFonts w:ascii="Times New Roman" w:hAnsi="Times New Roman" w:cs="Times New Roman"/>
          <w:lang w:val="fr-BE"/>
        </w:rPr>
        <w:t xml:space="preserve"> </w:t>
      </w:r>
      <w:r w:rsidRPr="00D86DF9">
        <w:rPr>
          <w:rFonts w:ascii="Times New Roman" w:hAnsi="Times New Roman" w:cs="Times New Roman"/>
          <w:lang w:val="fr-BE"/>
        </w:rPr>
        <w:tab/>
      </w:r>
      <w:r w:rsidR="006B1B16" w:rsidRPr="00D86DF9">
        <w:rPr>
          <w:rFonts w:ascii="Times New Roman" w:hAnsi="Times New Roman" w:cs="Times New Roman"/>
          <w:lang w:val="fr-BE"/>
        </w:rPr>
        <w:t>OJ L 184, 11.7.2015, p. 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1D821" w14:textId="77777777" w:rsidR="00700CE1" w:rsidRPr="00700CE1" w:rsidRDefault="00700CE1" w:rsidP="00700CE1">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53560" w14:textId="77777777" w:rsidR="00700CE1" w:rsidRPr="00700CE1" w:rsidRDefault="00700CE1" w:rsidP="00700CE1">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F4C4B" w14:textId="77777777" w:rsidR="00700CE1" w:rsidRPr="00700CE1" w:rsidRDefault="00700CE1" w:rsidP="00700CE1">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73A96" w14:textId="77777777" w:rsidR="00097A69" w:rsidRPr="00E841D5" w:rsidRDefault="00097A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77502" w14:textId="77777777" w:rsidR="00097A69" w:rsidRPr="00E841D5" w:rsidRDefault="00097A6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A3F6" w14:textId="77777777" w:rsidR="00097A69" w:rsidRPr="00E841D5" w:rsidRDefault="00097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E887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9204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C20D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029F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484E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B6BA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667A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00F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4472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CEF1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81180"/>
    <w:multiLevelType w:val="hybridMultilevel"/>
    <w:tmpl w:val="08E82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CD7712"/>
    <w:multiLevelType w:val="hybridMultilevel"/>
    <w:tmpl w:val="A49A3F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0F2400E3"/>
    <w:multiLevelType w:val="multilevel"/>
    <w:tmpl w:val="88EAE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815D74"/>
    <w:multiLevelType w:val="hybridMultilevel"/>
    <w:tmpl w:val="E9F84D6A"/>
    <w:lvl w:ilvl="0" w:tplc="2556A0A2">
      <w:start w:val="1"/>
      <w:numFmt w:val="lowerRoman"/>
      <w:lvlText w:val="(%1)"/>
      <w:lvlJc w:val="righ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1BCA471A"/>
    <w:multiLevelType w:val="hybridMultilevel"/>
    <w:tmpl w:val="36641268"/>
    <w:lvl w:ilvl="0" w:tplc="DC928AE0">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A21BCA"/>
    <w:multiLevelType w:val="hybridMultilevel"/>
    <w:tmpl w:val="DE90C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9C696F"/>
    <w:multiLevelType w:val="hybridMultilevel"/>
    <w:tmpl w:val="8312B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B3018B"/>
    <w:multiLevelType w:val="hybridMultilevel"/>
    <w:tmpl w:val="A274B1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1F566FD"/>
    <w:multiLevelType w:val="hybridMultilevel"/>
    <w:tmpl w:val="8A7C3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D9796C"/>
    <w:multiLevelType w:val="hybridMultilevel"/>
    <w:tmpl w:val="31781E3C"/>
    <w:lvl w:ilvl="0" w:tplc="4F34E0E4">
      <w:start w:val="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267058A4"/>
    <w:multiLevelType w:val="hybridMultilevel"/>
    <w:tmpl w:val="CE88B1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2989380A"/>
    <w:multiLevelType w:val="hybridMultilevel"/>
    <w:tmpl w:val="28548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48548C"/>
    <w:multiLevelType w:val="hybridMultilevel"/>
    <w:tmpl w:val="91CE0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330E1F"/>
    <w:multiLevelType w:val="multilevel"/>
    <w:tmpl w:val="42528E4A"/>
    <w:lvl w:ilvl="0">
      <w:start w:val="1"/>
      <w:numFmt w:val="decimal"/>
      <w:lvlText w:val="%1."/>
      <w:lvlJc w:val="left"/>
      <w:pPr>
        <w:ind w:left="360" w:hanging="360"/>
      </w:pPr>
      <w:rPr>
        <w:b/>
        <w:sz w:val="24"/>
      </w:rPr>
    </w:lvl>
    <w:lvl w:ilvl="1">
      <w:start w:val="1"/>
      <w:numFmt w:val="decimal"/>
      <w:lvlText w:val="%1.%2."/>
      <w:lvlJc w:val="left"/>
      <w:pPr>
        <w:ind w:left="792" w:hanging="432"/>
      </w:pPr>
      <w:rPr>
        <w:b/>
        <w:sz w:val="2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45A2542"/>
    <w:multiLevelType w:val="hybridMultilevel"/>
    <w:tmpl w:val="0CB6E716"/>
    <w:lvl w:ilvl="0" w:tplc="0809000F">
      <w:start w:val="1"/>
      <w:numFmt w:val="decimal"/>
      <w:lvlText w:val="%1."/>
      <w:lvlJc w:val="left"/>
      <w:pPr>
        <w:ind w:left="720" w:hanging="360"/>
      </w:pPr>
    </w:lvl>
    <w:lvl w:ilvl="1" w:tplc="D70A3CF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A717C7"/>
    <w:multiLevelType w:val="hybridMultilevel"/>
    <w:tmpl w:val="66E025D8"/>
    <w:lvl w:ilvl="0" w:tplc="163A0F50">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F155293"/>
    <w:multiLevelType w:val="hybridMultilevel"/>
    <w:tmpl w:val="4A3C38D6"/>
    <w:lvl w:ilvl="0" w:tplc="273A3936">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AC06D0"/>
    <w:multiLevelType w:val="hybridMultilevel"/>
    <w:tmpl w:val="A80EA818"/>
    <w:lvl w:ilvl="0" w:tplc="2FBED464">
      <w:start w:val="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6A6561D"/>
    <w:multiLevelType w:val="hybridMultilevel"/>
    <w:tmpl w:val="5F90AC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015791"/>
    <w:multiLevelType w:val="hybridMultilevel"/>
    <w:tmpl w:val="37E00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8E08F9"/>
    <w:multiLevelType w:val="hybridMultilevel"/>
    <w:tmpl w:val="9D846224"/>
    <w:lvl w:ilvl="0" w:tplc="B1C44DD0">
      <w:start w:val="1"/>
      <w:numFmt w:val="lowerLetter"/>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054D71"/>
    <w:multiLevelType w:val="hybridMultilevel"/>
    <w:tmpl w:val="4DF0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9C33F2"/>
    <w:multiLevelType w:val="hybridMultilevel"/>
    <w:tmpl w:val="55B8DB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2E1E26"/>
    <w:multiLevelType w:val="hybridMultilevel"/>
    <w:tmpl w:val="B342A2C6"/>
    <w:lvl w:ilvl="0" w:tplc="0809000F">
      <w:start w:val="1"/>
      <w:numFmt w:val="decimal"/>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0"/>
  </w:num>
  <w:num w:numId="2">
    <w:abstractNumId w:val="33"/>
  </w:num>
  <w:num w:numId="3">
    <w:abstractNumId w:val="11"/>
  </w:num>
  <w:num w:numId="4">
    <w:abstractNumId w:val="18"/>
  </w:num>
  <w:num w:numId="5">
    <w:abstractNumId w:val="24"/>
  </w:num>
  <w:num w:numId="6">
    <w:abstractNumId w:val="26"/>
  </w:num>
  <w:num w:numId="7">
    <w:abstractNumId w:val="13"/>
  </w:num>
  <w:num w:numId="8">
    <w:abstractNumId w:val="12"/>
  </w:num>
  <w:num w:numId="9">
    <w:abstractNumId w:val="17"/>
  </w:num>
  <w:num w:numId="10">
    <w:abstractNumId w:val="23"/>
  </w:num>
  <w:num w:numId="11">
    <w:abstractNumId w:val="15"/>
  </w:num>
  <w:num w:numId="12">
    <w:abstractNumId w:val="31"/>
  </w:num>
  <w:num w:numId="13">
    <w:abstractNumId w:val="29"/>
  </w:num>
  <w:num w:numId="14">
    <w:abstractNumId w:val="14"/>
  </w:num>
  <w:num w:numId="15">
    <w:abstractNumId w:val="21"/>
  </w:num>
  <w:num w:numId="16">
    <w:abstractNumId w:val="16"/>
  </w:num>
  <w:num w:numId="17">
    <w:abstractNumId w:val="10"/>
  </w:num>
  <w:num w:numId="18">
    <w:abstractNumId w:val="32"/>
  </w:num>
  <w:num w:numId="19">
    <w:abstractNumId w:val="30"/>
  </w:num>
  <w:num w:numId="20">
    <w:abstractNumId w:val="19"/>
  </w:num>
  <w:num w:numId="21">
    <w:abstractNumId w:val="27"/>
  </w:num>
  <w:num w:numId="22">
    <w:abstractNumId w:val="25"/>
  </w:num>
  <w:num w:numId="23">
    <w:abstractNumId w:val="22"/>
  </w:num>
  <w:num w:numId="24">
    <w:abstractNumId w:val="28"/>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activeWritingStyle w:appName="MSWord" w:lang="pl-PL" w:vendorID="64" w:dllVersion="0" w:nlCheck="1" w:checkStyle="0"/>
  <w:activeWritingStyle w:appName="MSWord" w:lang="en-IE" w:vendorID="64" w:dllVersion="0" w:nlCheck="1" w:checkStyle="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3281328-8029-4D94-ACFA-624B1E76FFF8"/>
    <w:docVar w:name="LW_COVERPAGE_TYPE" w:val="1"/>
    <w:docVar w:name="LW_CROSSREFERENCE" w:val="&lt;UNUSED&gt;"/>
    <w:docVar w:name="LW_DocType" w:val="NORMAL"/>
    <w:docVar w:name="LW_EMISSION" w:val="15.10.2024"/>
    <w:docVar w:name="LW_EMISSION_ISODATE" w:val="2024-10-15"/>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4) 45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exercise of the power to adopt delegated acts conferred on the Commission pursuant to Council Directive 86/278/EEC of 12 June 1986 on the protection of the environment, and in particular of the soil, when sewage sludge is used in agriculture, Directive 94/62/EC of 20 December 1994 on packaging and packaging waste, Directive 2000/53/EC of 18 September 2000 on end-of life vehicles, Regulation (EC) No 1013/2006 on shipments of waste, Directive 2006/66/EC of 6 September 2006 on batteries and accumulators and waste batteries and accumulators and Directive 2008/98/EC of 19 November 2008 on waste"/>
    <w:docVar w:name="LW_TYPE.DOC.CP" w:val="REPORT FROM THE COMMISSION TO THE EUROPEAN PARLIAMENT AND THE COUNCIL"/>
    <w:docVar w:name="LwApiVersions" w:val="LW4CoDe 1.24.5.0; LW 9.0, Build 20240221"/>
  </w:docVars>
  <w:rsids>
    <w:rsidRoot w:val="006D7C54"/>
    <w:rsid w:val="00006E4C"/>
    <w:rsid w:val="00007A0C"/>
    <w:rsid w:val="000117F9"/>
    <w:rsid w:val="00015980"/>
    <w:rsid w:val="00021178"/>
    <w:rsid w:val="00022032"/>
    <w:rsid w:val="0002348E"/>
    <w:rsid w:val="000238FD"/>
    <w:rsid w:val="000240C9"/>
    <w:rsid w:val="00024432"/>
    <w:rsid w:val="00025FA3"/>
    <w:rsid w:val="00030DEA"/>
    <w:rsid w:val="00036577"/>
    <w:rsid w:val="00037739"/>
    <w:rsid w:val="000456ED"/>
    <w:rsid w:val="0006019D"/>
    <w:rsid w:val="000605E4"/>
    <w:rsid w:val="00060A8C"/>
    <w:rsid w:val="000627F4"/>
    <w:rsid w:val="0007083A"/>
    <w:rsid w:val="00073E97"/>
    <w:rsid w:val="00076303"/>
    <w:rsid w:val="00076422"/>
    <w:rsid w:val="00076ACC"/>
    <w:rsid w:val="0007771A"/>
    <w:rsid w:val="00081BD9"/>
    <w:rsid w:val="000825C2"/>
    <w:rsid w:val="00091327"/>
    <w:rsid w:val="00091411"/>
    <w:rsid w:val="00095C5D"/>
    <w:rsid w:val="00097A69"/>
    <w:rsid w:val="000A606E"/>
    <w:rsid w:val="000B0386"/>
    <w:rsid w:val="000B0F54"/>
    <w:rsid w:val="000B193A"/>
    <w:rsid w:val="000B7AEB"/>
    <w:rsid w:val="000C2CC0"/>
    <w:rsid w:val="000C3E1E"/>
    <w:rsid w:val="000C7154"/>
    <w:rsid w:val="000C76F1"/>
    <w:rsid w:val="000C7D4A"/>
    <w:rsid w:val="000D04F7"/>
    <w:rsid w:val="000D5AA2"/>
    <w:rsid w:val="000D75B9"/>
    <w:rsid w:val="000E0CD6"/>
    <w:rsid w:val="000E0D4B"/>
    <w:rsid w:val="000E0D70"/>
    <w:rsid w:val="000F2D03"/>
    <w:rsid w:val="000F2FF8"/>
    <w:rsid w:val="000F4F95"/>
    <w:rsid w:val="000F5919"/>
    <w:rsid w:val="000F6525"/>
    <w:rsid w:val="0010311C"/>
    <w:rsid w:val="00105BFA"/>
    <w:rsid w:val="00107AE4"/>
    <w:rsid w:val="00110300"/>
    <w:rsid w:val="001105F6"/>
    <w:rsid w:val="00112304"/>
    <w:rsid w:val="00115577"/>
    <w:rsid w:val="00120027"/>
    <w:rsid w:val="00120630"/>
    <w:rsid w:val="00121FF7"/>
    <w:rsid w:val="001228F5"/>
    <w:rsid w:val="001278EC"/>
    <w:rsid w:val="0013262B"/>
    <w:rsid w:val="00132F0E"/>
    <w:rsid w:val="001356F3"/>
    <w:rsid w:val="0013787E"/>
    <w:rsid w:val="00137925"/>
    <w:rsid w:val="00140472"/>
    <w:rsid w:val="00140738"/>
    <w:rsid w:val="00141E88"/>
    <w:rsid w:val="001443B4"/>
    <w:rsid w:val="001478AB"/>
    <w:rsid w:val="00150721"/>
    <w:rsid w:val="00151BAC"/>
    <w:rsid w:val="00156EA7"/>
    <w:rsid w:val="00160D87"/>
    <w:rsid w:val="0016352F"/>
    <w:rsid w:val="00167465"/>
    <w:rsid w:val="0017177C"/>
    <w:rsid w:val="0017188C"/>
    <w:rsid w:val="00172A27"/>
    <w:rsid w:val="00173029"/>
    <w:rsid w:val="0017579A"/>
    <w:rsid w:val="0017641F"/>
    <w:rsid w:val="00176900"/>
    <w:rsid w:val="00181A43"/>
    <w:rsid w:val="00182096"/>
    <w:rsid w:val="001857A1"/>
    <w:rsid w:val="00190A32"/>
    <w:rsid w:val="001917CC"/>
    <w:rsid w:val="001926C7"/>
    <w:rsid w:val="00192A63"/>
    <w:rsid w:val="00192EB1"/>
    <w:rsid w:val="00194130"/>
    <w:rsid w:val="00195C26"/>
    <w:rsid w:val="00195DE9"/>
    <w:rsid w:val="00197E1E"/>
    <w:rsid w:val="001A0CBC"/>
    <w:rsid w:val="001A1942"/>
    <w:rsid w:val="001A22DB"/>
    <w:rsid w:val="001A7F1F"/>
    <w:rsid w:val="001B15D3"/>
    <w:rsid w:val="001B2C55"/>
    <w:rsid w:val="001B2D6E"/>
    <w:rsid w:val="001B5A75"/>
    <w:rsid w:val="001B7946"/>
    <w:rsid w:val="001B7BF3"/>
    <w:rsid w:val="001C182F"/>
    <w:rsid w:val="001C1C01"/>
    <w:rsid w:val="001C3DFF"/>
    <w:rsid w:val="001D1EFA"/>
    <w:rsid w:val="001D35CB"/>
    <w:rsid w:val="001D5042"/>
    <w:rsid w:val="001D6621"/>
    <w:rsid w:val="001D7A27"/>
    <w:rsid w:val="001E11D2"/>
    <w:rsid w:val="001E14CA"/>
    <w:rsid w:val="001E1511"/>
    <w:rsid w:val="001E7A7E"/>
    <w:rsid w:val="001F1249"/>
    <w:rsid w:val="001F12F8"/>
    <w:rsid w:val="001F20BF"/>
    <w:rsid w:val="001F75A4"/>
    <w:rsid w:val="002009FB"/>
    <w:rsid w:val="00202967"/>
    <w:rsid w:val="00206003"/>
    <w:rsid w:val="00207641"/>
    <w:rsid w:val="00217F8A"/>
    <w:rsid w:val="00226BA1"/>
    <w:rsid w:val="00232C2B"/>
    <w:rsid w:val="00235031"/>
    <w:rsid w:val="00235505"/>
    <w:rsid w:val="00236F9D"/>
    <w:rsid w:val="00240289"/>
    <w:rsid w:val="0024278B"/>
    <w:rsid w:val="0024517C"/>
    <w:rsid w:val="00245F6E"/>
    <w:rsid w:val="00246224"/>
    <w:rsid w:val="002512A6"/>
    <w:rsid w:val="002519C6"/>
    <w:rsid w:val="00251A8C"/>
    <w:rsid w:val="0025577F"/>
    <w:rsid w:val="00261ED0"/>
    <w:rsid w:val="002629AB"/>
    <w:rsid w:val="00265BAC"/>
    <w:rsid w:val="002705C9"/>
    <w:rsid w:val="00270616"/>
    <w:rsid w:val="00271CE8"/>
    <w:rsid w:val="00274265"/>
    <w:rsid w:val="00275CB6"/>
    <w:rsid w:val="0027670E"/>
    <w:rsid w:val="00277795"/>
    <w:rsid w:val="002803A0"/>
    <w:rsid w:val="00280617"/>
    <w:rsid w:val="002806AC"/>
    <w:rsid w:val="002830BA"/>
    <w:rsid w:val="002854CB"/>
    <w:rsid w:val="002930BD"/>
    <w:rsid w:val="0029414C"/>
    <w:rsid w:val="002A093A"/>
    <w:rsid w:val="002A4A25"/>
    <w:rsid w:val="002B1D95"/>
    <w:rsid w:val="002B2E40"/>
    <w:rsid w:val="002B3B9F"/>
    <w:rsid w:val="002B75C0"/>
    <w:rsid w:val="002C03D8"/>
    <w:rsid w:val="002C1B4B"/>
    <w:rsid w:val="002C2DB9"/>
    <w:rsid w:val="002C30BD"/>
    <w:rsid w:val="002C40AE"/>
    <w:rsid w:val="002C57F5"/>
    <w:rsid w:val="002C7604"/>
    <w:rsid w:val="002C7AB2"/>
    <w:rsid w:val="002D172B"/>
    <w:rsid w:val="002D1C11"/>
    <w:rsid w:val="002D437A"/>
    <w:rsid w:val="002D69CB"/>
    <w:rsid w:val="002D6E3B"/>
    <w:rsid w:val="002D7EB2"/>
    <w:rsid w:val="002D7F5F"/>
    <w:rsid w:val="002E5BAD"/>
    <w:rsid w:val="002F2AC9"/>
    <w:rsid w:val="002F7A02"/>
    <w:rsid w:val="0030627C"/>
    <w:rsid w:val="003074D9"/>
    <w:rsid w:val="00310516"/>
    <w:rsid w:val="003111D1"/>
    <w:rsid w:val="00313027"/>
    <w:rsid w:val="00314C65"/>
    <w:rsid w:val="0032072A"/>
    <w:rsid w:val="00321200"/>
    <w:rsid w:val="00325120"/>
    <w:rsid w:val="00337D12"/>
    <w:rsid w:val="003445D2"/>
    <w:rsid w:val="00344BD0"/>
    <w:rsid w:val="00345BC7"/>
    <w:rsid w:val="0035129A"/>
    <w:rsid w:val="00351E49"/>
    <w:rsid w:val="00352135"/>
    <w:rsid w:val="003524B5"/>
    <w:rsid w:val="00352C0A"/>
    <w:rsid w:val="00354163"/>
    <w:rsid w:val="00354ED4"/>
    <w:rsid w:val="00355292"/>
    <w:rsid w:val="0035601C"/>
    <w:rsid w:val="00361756"/>
    <w:rsid w:val="00362B8F"/>
    <w:rsid w:val="0036665F"/>
    <w:rsid w:val="0036796E"/>
    <w:rsid w:val="0036799F"/>
    <w:rsid w:val="00367BB0"/>
    <w:rsid w:val="003727AE"/>
    <w:rsid w:val="00373439"/>
    <w:rsid w:val="00373980"/>
    <w:rsid w:val="00381DAB"/>
    <w:rsid w:val="003835E3"/>
    <w:rsid w:val="0038390F"/>
    <w:rsid w:val="00385D21"/>
    <w:rsid w:val="00393D18"/>
    <w:rsid w:val="00393F25"/>
    <w:rsid w:val="003940A2"/>
    <w:rsid w:val="003A17C7"/>
    <w:rsid w:val="003A1E0F"/>
    <w:rsid w:val="003A2124"/>
    <w:rsid w:val="003A2A27"/>
    <w:rsid w:val="003A544A"/>
    <w:rsid w:val="003A6025"/>
    <w:rsid w:val="003A606D"/>
    <w:rsid w:val="003B052D"/>
    <w:rsid w:val="003B25B8"/>
    <w:rsid w:val="003B5277"/>
    <w:rsid w:val="003B6F61"/>
    <w:rsid w:val="003B77B6"/>
    <w:rsid w:val="003B7C69"/>
    <w:rsid w:val="003C07C0"/>
    <w:rsid w:val="003C1BAC"/>
    <w:rsid w:val="003C48AA"/>
    <w:rsid w:val="003C5E8B"/>
    <w:rsid w:val="003D02C1"/>
    <w:rsid w:val="003D5DD9"/>
    <w:rsid w:val="003D5F4D"/>
    <w:rsid w:val="003D7266"/>
    <w:rsid w:val="003D7504"/>
    <w:rsid w:val="003E1E29"/>
    <w:rsid w:val="003E37A3"/>
    <w:rsid w:val="003E7D88"/>
    <w:rsid w:val="003E7DE7"/>
    <w:rsid w:val="004021C9"/>
    <w:rsid w:val="00402470"/>
    <w:rsid w:val="00402D5B"/>
    <w:rsid w:val="0041227E"/>
    <w:rsid w:val="00414B48"/>
    <w:rsid w:val="00416A2A"/>
    <w:rsid w:val="00417C5D"/>
    <w:rsid w:val="004208E0"/>
    <w:rsid w:val="00421743"/>
    <w:rsid w:val="00421C99"/>
    <w:rsid w:val="00421CFE"/>
    <w:rsid w:val="00423EB2"/>
    <w:rsid w:val="00424F08"/>
    <w:rsid w:val="004259BD"/>
    <w:rsid w:val="0042666B"/>
    <w:rsid w:val="00426F99"/>
    <w:rsid w:val="00427406"/>
    <w:rsid w:val="004309F9"/>
    <w:rsid w:val="00441B18"/>
    <w:rsid w:val="00444F9A"/>
    <w:rsid w:val="00446BF0"/>
    <w:rsid w:val="00457645"/>
    <w:rsid w:val="00460E82"/>
    <w:rsid w:val="004622C3"/>
    <w:rsid w:val="004723BB"/>
    <w:rsid w:val="00475542"/>
    <w:rsid w:val="00481C34"/>
    <w:rsid w:val="00485B51"/>
    <w:rsid w:val="0049063F"/>
    <w:rsid w:val="004925A6"/>
    <w:rsid w:val="00497808"/>
    <w:rsid w:val="004A1633"/>
    <w:rsid w:val="004A35EB"/>
    <w:rsid w:val="004B2388"/>
    <w:rsid w:val="004B2D5E"/>
    <w:rsid w:val="004B2F6B"/>
    <w:rsid w:val="004B3861"/>
    <w:rsid w:val="004B41BC"/>
    <w:rsid w:val="004B5812"/>
    <w:rsid w:val="004B5DA9"/>
    <w:rsid w:val="004C1BAC"/>
    <w:rsid w:val="004C46BE"/>
    <w:rsid w:val="004C6D91"/>
    <w:rsid w:val="004D292E"/>
    <w:rsid w:val="004D4956"/>
    <w:rsid w:val="004D6DF3"/>
    <w:rsid w:val="004D73D4"/>
    <w:rsid w:val="004D7A30"/>
    <w:rsid w:val="004E5A49"/>
    <w:rsid w:val="004E6ADE"/>
    <w:rsid w:val="004E6C2E"/>
    <w:rsid w:val="004F1C03"/>
    <w:rsid w:val="004F38D3"/>
    <w:rsid w:val="004F5B73"/>
    <w:rsid w:val="004F668A"/>
    <w:rsid w:val="0050055A"/>
    <w:rsid w:val="00500F2F"/>
    <w:rsid w:val="00505601"/>
    <w:rsid w:val="005066D0"/>
    <w:rsid w:val="005130AC"/>
    <w:rsid w:val="00513B20"/>
    <w:rsid w:val="00521617"/>
    <w:rsid w:val="00521E19"/>
    <w:rsid w:val="0052315A"/>
    <w:rsid w:val="0052582E"/>
    <w:rsid w:val="005267BA"/>
    <w:rsid w:val="00532749"/>
    <w:rsid w:val="00533CD6"/>
    <w:rsid w:val="00535B70"/>
    <w:rsid w:val="0054164A"/>
    <w:rsid w:val="00541C86"/>
    <w:rsid w:val="00552E38"/>
    <w:rsid w:val="00554217"/>
    <w:rsid w:val="0055485C"/>
    <w:rsid w:val="00554F1E"/>
    <w:rsid w:val="0055691F"/>
    <w:rsid w:val="00556E25"/>
    <w:rsid w:val="00564FDB"/>
    <w:rsid w:val="0056615D"/>
    <w:rsid w:val="005679B5"/>
    <w:rsid w:val="00570D67"/>
    <w:rsid w:val="00571B0F"/>
    <w:rsid w:val="00576710"/>
    <w:rsid w:val="0057747F"/>
    <w:rsid w:val="0058290E"/>
    <w:rsid w:val="0058430F"/>
    <w:rsid w:val="00585B90"/>
    <w:rsid w:val="005901EA"/>
    <w:rsid w:val="005919BE"/>
    <w:rsid w:val="0059583D"/>
    <w:rsid w:val="00597BFF"/>
    <w:rsid w:val="005A0C46"/>
    <w:rsid w:val="005A16FF"/>
    <w:rsid w:val="005A1B01"/>
    <w:rsid w:val="005A2302"/>
    <w:rsid w:val="005A2A61"/>
    <w:rsid w:val="005B1C95"/>
    <w:rsid w:val="005B4382"/>
    <w:rsid w:val="005B5088"/>
    <w:rsid w:val="005B6988"/>
    <w:rsid w:val="005B7811"/>
    <w:rsid w:val="005C39A6"/>
    <w:rsid w:val="005C5993"/>
    <w:rsid w:val="005C7B06"/>
    <w:rsid w:val="005C7E43"/>
    <w:rsid w:val="005D46BA"/>
    <w:rsid w:val="005D5E5D"/>
    <w:rsid w:val="005D60F4"/>
    <w:rsid w:val="005E4C0A"/>
    <w:rsid w:val="005E789A"/>
    <w:rsid w:val="005F08B4"/>
    <w:rsid w:val="005F3DB3"/>
    <w:rsid w:val="005F469E"/>
    <w:rsid w:val="005F5775"/>
    <w:rsid w:val="00601228"/>
    <w:rsid w:val="0060135A"/>
    <w:rsid w:val="00601987"/>
    <w:rsid w:val="00603868"/>
    <w:rsid w:val="006058A2"/>
    <w:rsid w:val="006119F2"/>
    <w:rsid w:val="006142E4"/>
    <w:rsid w:val="006144F1"/>
    <w:rsid w:val="00616F7E"/>
    <w:rsid w:val="00623032"/>
    <w:rsid w:val="00623DB1"/>
    <w:rsid w:val="00623FB6"/>
    <w:rsid w:val="00625F86"/>
    <w:rsid w:val="0062696E"/>
    <w:rsid w:val="00627A42"/>
    <w:rsid w:val="0063242A"/>
    <w:rsid w:val="00634735"/>
    <w:rsid w:val="006350C2"/>
    <w:rsid w:val="00640063"/>
    <w:rsid w:val="0064297B"/>
    <w:rsid w:val="00644295"/>
    <w:rsid w:val="006458E0"/>
    <w:rsid w:val="006459A0"/>
    <w:rsid w:val="00647EB6"/>
    <w:rsid w:val="0065044C"/>
    <w:rsid w:val="00652FB6"/>
    <w:rsid w:val="0065557F"/>
    <w:rsid w:val="006574E1"/>
    <w:rsid w:val="00662FE7"/>
    <w:rsid w:val="0067228C"/>
    <w:rsid w:val="00673764"/>
    <w:rsid w:val="00675583"/>
    <w:rsid w:val="00675D24"/>
    <w:rsid w:val="00675E41"/>
    <w:rsid w:val="00680B56"/>
    <w:rsid w:val="006812E7"/>
    <w:rsid w:val="00683D16"/>
    <w:rsid w:val="0068651D"/>
    <w:rsid w:val="006943AC"/>
    <w:rsid w:val="0069614E"/>
    <w:rsid w:val="006A1CE0"/>
    <w:rsid w:val="006A6C69"/>
    <w:rsid w:val="006B1B16"/>
    <w:rsid w:val="006B2FC7"/>
    <w:rsid w:val="006B41D0"/>
    <w:rsid w:val="006C1A76"/>
    <w:rsid w:val="006C1FB1"/>
    <w:rsid w:val="006C3E4F"/>
    <w:rsid w:val="006C3F67"/>
    <w:rsid w:val="006C66B9"/>
    <w:rsid w:val="006D0B1E"/>
    <w:rsid w:val="006D18D6"/>
    <w:rsid w:val="006D285F"/>
    <w:rsid w:val="006D29A7"/>
    <w:rsid w:val="006D3A04"/>
    <w:rsid w:val="006D7C54"/>
    <w:rsid w:val="006F00D4"/>
    <w:rsid w:val="006F13D8"/>
    <w:rsid w:val="006F233D"/>
    <w:rsid w:val="006F2829"/>
    <w:rsid w:val="006F294A"/>
    <w:rsid w:val="006F4656"/>
    <w:rsid w:val="006F567A"/>
    <w:rsid w:val="006F6440"/>
    <w:rsid w:val="007003C0"/>
    <w:rsid w:val="00700CE1"/>
    <w:rsid w:val="00700DF6"/>
    <w:rsid w:val="007015C6"/>
    <w:rsid w:val="00701848"/>
    <w:rsid w:val="00703370"/>
    <w:rsid w:val="00706A00"/>
    <w:rsid w:val="00706E1E"/>
    <w:rsid w:val="00707CD8"/>
    <w:rsid w:val="00710930"/>
    <w:rsid w:val="0071128B"/>
    <w:rsid w:val="00713D20"/>
    <w:rsid w:val="00716621"/>
    <w:rsid w:val="007167E8"/>
    <w:rsid w:val="007223EF"/>
    <w:rsid w:val="00724BA9"/>
    <w:rsid w:val="00732A7B"/>
    <w:rsid w:val="00737165"/>
    <w:rsid w:val="00740660"/>
    <w:rsid w:val="007406B2"/>
    <w:rsid w:val="0074388D"/>
    <w:rsid w:val="0075004E"/>
    <w:rsid w:val="00752779"/>
    <w:rsid w:val="00752AE0"/>
    <w:rsid w:val="00753B90"/>
    <w:rsid w:val="00754DB2"/>
    <w:rsid w:val="00761639"/>
    <w:rsid w:val="00761867"/>
    <w:rsid w:val="00762A0A"/>
    <w:rsid w:val="007657E5"/>
    <w:rsid w:val="0077100C"/>
    <w:rsid w:val="0077561C"/>
    <w:rsid w:val="0078187D"/>
    <w:rsid w:val="00783395"/>
    <w:rsid w:val="007838D0"/>
    <w:rsid w:val="00786D86"/>
    <w:rsid w:val="00791478"/>
    <w:rsid w:val="007921D9"/>
    <w:rsid w:val="0079260C"/>
    <w:rsid w:val="00793CC2"/>
    <w:rsid w:val="007A0FCD"/>
    <w:rsid w:val="007A75C4"/>
    <w:rsid w:val="007A7A06"/>
    <w:rsid w:val="007B6766"/>
    <w:rsid w:val="007C134A"/>
    <w:rsid w:val="007D062D"/>
    <w:rsid w:val="007D7419"/>
    <w:rsid w:val="007E2F74"/>
    <w:rsid w:val="007E4027"/>
    <w:rsid w:val="007E5E47"/>
    <w:rsid w:val="007F018A"/>
    <w:rsid w:val="007F430D"/>
    <w:rsid w:val="0080344F"/>
    <w:rsid w:val="00804674"/>
    <w:rsid w:val="00804A58"/>
    <w:rsid w:val="00805E48"/>
    <w:rsid w:val="00806ADE"/>
    <w:rsid w:val="00806D9C"/>
    <w:rsid w:val="008136B1"/>
    <w:rsid w:val="00822036"/>
    <w:rsid w:val="008223BE"/>
    <w:rsid w:val="00822482"/>
    <w:rsid w:val="00833DCB"/>
    <w:rsid w:val="00834879"/>
    <w:rsid w:val="00834FC0"/>
    <w:rsid w:val="00836158"/>
    <w:rsid w:val="00843F57"/>
    <w:rsid w:val="008451C6"/>
    <w:rsid w:val="00845982"/>
    <w:rsid w:val="00850931"/>
    <w:rsid w:val="00852AB5"/>
    <w:rsid w:val="0085544D"/>
    <w:rsid w:val="00862C00"/>
    <w:rsid w:val="00864B90"/>
    <w:rsid w:val="008662DA"/>
    <w:rsid w:val="00867635"/>
    <w:rsid w:val="00867714"/>
    <w:rsid w:val="00867ABB"/>
    <w:rsid w:val="00870448"/>
    <w:rsid w:val="00871185"/>
    <w:rsid w:val="00873A26"/>
    <w:rsid w:val="00883436"/>
    <w:rsid w:val="00883F78"/>
    <w:rsid w:val="00887FC7"/>
    <w:rsid w:val="008907DD"/>
    <w:rsid w:val="00892411"/>
    <w:rsid w:val="00896F40"/>
    <w:rsid w:val="008A3524"/>
    <w:rsid w:val="008A454F"/>
    <w:rsid w:val="008A49E9"/>
    <w:rsid w:val="008A4C90"/>
    <w:rsid w:val="008A6A7C"/>
    <w:rsid w:val="008B08D3"/>
    <w:rsid w:val="008B2ED1"/>
    <w:rsid w:val="008B3536"/>
    <w:rsid w:val="008C102B"/>
    <w:rsid w:val="008C48A8"/>
    <w:rsid w:val="008C6460"/>
    <w:rsid w:val="008D0203"/>
    <w:rsid w:val="008D049F"/>
    <w:rsid w:val="008D1F09"/>
    <w:rsid w:val="008D2178"/>
    <w:rsid w:val="008D22BB"/>
    <w:rsid w:val="008D240E"/>
    <w:rsid w:val="008D48DB"/>
    <w:rsid w:val="008D50AD"/>
    <w:rsid w:val="008E0E33"/>
    <w:rsid w:val="008E6973"/>
    <w:rsid w:val="008F1320"/>
    <w:rsid w:val="008F6421"/>
    <w:rsid w:val="0090379D"/>
    <w:rsid w:val="00903C5A"/>
    <w:rsid w:val="00904391"/>
    <w:rsid w:val="00904EBC"/>
    <w:rsid w:val="00906110"/>
    <w:rsid w:val="00907448"/>
    <w:rsid w:val="0090752E"/>
    <w:rsid w:val="009111EB"/>
    <w:rsid w:val="00911BC5"/>
    <w:rsid w:val="009133F0"/>
    <w:rsid w:val="00913D93"/>
    <w:rsid w:val="009147AE"/>
    <w:rsid w:val="00916AB8"/>
    <w:rsid w:val="0092070F"/>
    <w:rsid w:val="009278A5"/>
    <w:rsid w:val="00931B12"/>
    <w:rsid w:val="009332D8"/>
    <w:rsid w:val="00936BE4"/>
    <w:rsid w:val="009420D7"/>
    <w:rsid w:val="0094235E"/>
    <w:rsid w:val="00943FB9"/>
    <w:rsid w:val="00944EA9"/>
    <w:rsid w:val="009459E5"/>
    <w:rsid w:val="00945A13"/>
    <w:rsid w:val="00953387"/>
    <w:rsid w:val="0095486A"/>
    <w:rsid w:val="00954F65"/>
    <w:rsid w:val="009551A4"/>
    <w:rsid w:val="009649CD"/>
    <w:rsid w:val="009659F7"/>
    <w:rsid w:val="00966DA4"/>
    <w:rsid w:val="00970E3B"/>
    <w:rsid w:val="009722FB"/>
    <w:rsid w:val="00974EFB"/>
    <w:rsid w:val="00977539"/>
    <w:rsid w:val="00980E86"/>
    <w:rsid w:val="009849AD"/>
    <w:rsid w:val="00985F31"/>
    <w:rsid w:val="009863B1"/>
    <w:rsid w:val="009863C5"/>
    <w:rsid w:val="009865FD"/>
    <w:rsid w:val="00986CE8"/>
    <w:rsid w:val="00986F7A"/>
    <w:rsid w:val="009870D4"/>
    <w:rsid w:val="00987346"/>
    <w:rsid w:val="00987904"/>
    <w:rsid w:val="00991255"/>
    <w:rsid w:val="009914D1"/>
    <w:rsid w:val="009915FC"/>
    <w:rsid w:val="0099407D"/>
    <w:rsid w:val="00995877"/>
    <w:rsid w:val="00996E78"/>
    <w:rsid w:val="009A7145"/>
    <w:rsid w:val="009B5178"/>
    <w:rsid w:val="009B545F"/>
    <w:rsid w:val="009B7A87"/>
    <w:rsid w:val="009C0CE8"/>
    <w:rsid w:val="009D0B28"/>
    <w:rsid w:val="009D0C6B"/>
    <w:rsid w:val="009D1172"/>
    <w:rsid w:val="009D3AF3"/>
    <w:rsid w:val="009D42AA"/>
    <w:rsid w:val="009E0EC5"/>
    <w:rsid w:val="009E6E3E"/>
    <w:rsid w:val="009F33F1"/>
    <w:rsid w:val="009F47A1"/>
    <w:rsid w:val="00A01F82"/>
    <w:rsid w:val="00A0570A"/>
    <w:rsid w:val="00A05EA0"/>
    <w:rsid w:val="00A07C55"/>
    <w:rsid w:val="00A12211"/>
    <w:rsid w:val="00A12269"/>
    <w:rsid w:val="00A13CB0"/>
    <w:rsid w:val="00A16E99"/>
    <w:rsid w:val="00A21817"/>
    <w:rsid w:val="00A22596"/>
    <w:rsid w:val="00A26009"/>
    <w:rsid w:val="00A26435"/>
    <w:rsid w:val="00A277EE"/>
    <w:rsid w:val="00A312FA"/>
    <w:rsid w:val="00A41453"/>
    <w:rsid w:val="00A42BBD"/>
    <w:rsid w:val="00A46707"/>
    <w:rsid w:val="00A65029"/>
    <w:rsid w:val="00A6638B"/>
    <w:rsid w:val="00A71DC4"/>
    <w:rsid w:val="00A7228A"/>
    <w:rsid w:val="00A75C2B"/>
    <w:rsid w:val="00A76A42"/>
    <w:rsid w:val="00A76D9B"/>
    <w:rsid w:val="00A77915"/>
    <w:rsid w:val="00A82538"/>
    <w:rsid w:val="00A93779"/>
    <w:rsid w:val="00A95690"/>
    <w:rsid w:val="00A97ABB"/>
    <w:rsid w:val="00A97AE7"/>
    <w:rsid w:val="00A97F5F"/>
    <w:rsid w:val="00AA0334"/>
    <w:rsid w:val="00AA043B"/>
    <w:rsid w:val="00AA4167"/>
    <w:rsid w:val="00AA62AF"/>
    <w:rsid w:val="00AB0902"/>
    <w:rsid w:val="00AB408B"/>
    <w:rsid w:val="00AB65AA"/>
    <w:rsid w:val="00AC3705"/>
    <w:rsid w:val="00AC4BFA"/>
    <w:rsid w:val="00AC68F4"/>
    <w:rsid w:val="00AC6AB3"/>
    <w:rsid w:val="00AD1A11"/>
    <w:rsid w:val="00AD37DE"/>
    <w:rsid w:val="00AD3E89"/>
    <w:rsid w:val="00AD657E"/>
    <w:rsid w:val="00AE3B65"/>
    <w:rsid w:val="00AE3E85"/>
    <w:rsid w:val="00AE41AC"/>
    <w:rsid w:val="00AE60FA"/>
    <w:rsid w:val="00AE620B"/>
    <w:rsid w:val="00AE708D"/>
    <w:rsid w:val="00AF203A"/>
    <w:rsid w:val="00AF213D"/>
    <w:rsid w:val="00AF628A"/>
    <w:rsid w:val="00AF64DA"/>
    <w:rsid w:val="00AF7BBD"/>
    <w:rsid w:val="00B06F79"/>
    <w:rsid w:val="00B07DAA"/>
    <w:rsid w:val="00B1006A"/>
    <w:rsid w:val="00B1047F"/>
    <w:rsid w:val="00B117D4"/>
    <w:rsid w:val="00B11E88"/>
    <w:rsid w:val="00B13821"/>
    <w:rsid w:val="00B14132"/>
    <w:rsid w:val="00B16C29"/>
    <w:rsid w:val="00B16E10"/>
    <w:rsid w:val="00B2385E"/>
    <w:rsid w:val="00B24DDB"/>
    <w:rsid w:val="00B3398B"/>
    <w:rsid w:val="00B33A32"/>
    <w:rsid w:val="00B364C0"/>
    <w:rsid w:val="00B46EE6"/>
    <w:rsid w:val="00B51D24"/>
    <w:rsid w:val="00B52781"/>
    <w:rsid w:val="00B52952"/>
    <w:rsid w:val="00B52CBF"/>
    <w:rsid w:val="00B561E7"/>
    <w:rsid w:val="00B600F5"/>
    <w:rsid w:val="00B60ADE"/>
    <w:rsid w:val="00B626A2"/>
    <w:rsid w:val="00B656E6"/>
    <w:rsid w:val="00B7261C"/>
    <w:rsid w:val="00B7337C"/>
    <w:rsid w:val="00B76A80"/>
    <w:rsid w:val="00B77FEA"/>
    <w:rsid w:val="00B80B1E"/>
    <w:rsid w:val="00B80FA1"/>
    <w:rsid w:val="00B81FA2"/>
    <w:rsid w:val="00B85D07"/>
    <w:rsid w:val="00B923E1"/>
    <w:rsid w:val="00B94364"/>
    <w:rsid w:val="00B97335"/>
    <w:rsid w:val="00BA40EF"/>
    <w:rsid w:val="00BA55FC"/>
    <w:rsid w:val="00BC0B2A"/>
    <w:rsid w:val="00BC0C03"/>
    <w:rsid w:val="00BC1819"/>
    <w:rsid w:val="00BC37E2"/>
    <w:rsid w:val="00BC7B96"/>
    <w:rsid w:val="00BD017D"/>
    <w:rsid w:val="00BD11CA"/>
    <w:rsid w:val="00BD1FE3"/>
    <w:rsid w:val="00BD4470"/>
    <w:rsid w:val="00BD6467"/>
    <w:rsid w:val="00BD73DE"/>
    <w:rsid w:val="00BD7E7D"/>
    <w:rsid w:val="00BE0C5F"/>
    <w:rsid w:val="00BE5144"/>
    <w:rsid w:val="00BE73F0"/>
    <w:rsid w:val="00BF096E"/>
    <w:rsid w:val="00BF5D1D"/>
    <w:rsid w:val="00C03C39"/>
    <w:rsid w:val="00C06BD0"/>
    <w:rsid w:val="00C0727E"/>
    <w:rsid w:val="00C119D1"/>
    <w:rsid w:val="00C12B52"/>
    <w:rsid w:val="00C15F56"/>
    <w:rsid w:val="00C17C47"/>
    <w:rsid w:val="00C21E29"/>
    <w:rsid w:val="00C2540D"/>
    <w:rsid w:val="00C26419"/>
    <w:rsid w:val="00C26E2A"/>
    <w:rsid w:val="00C33368"/>
    <w:rsid w:val="00C337B4"/>
    <w:rsid w:val="00C3383C"/>
    <w:rsid w:val="00C37E40"/>
    <w:rsid w:val="00C41CCC"/>
    <w:rsid w:val="00C43101"/>
    <w:rsid w:val="00C47323"/>
    <w:rsid w:val="00C52B15"/>
    <w:rsid w:val="00C53945"/>
    <w:rsid w:val="00C5454A"/>
    <w:rsid w:val="00C54BB5"/>
    <w:rsid w:val="00C56624"/>
    <w:rsid w:val="00C6280E"/>
    <w:rsid w:val="00C635B8"/>
    <w:rsid w:val="00C6535F"/>
    <w:rsid w:val="00C65624"/>
    <w:rsid w:val="00C66294"/>
    <w:rsid w:val="00C7106D"/>
    <w:rsid w:val="00C71291"/>
    <w:rsid w:val="00C72889"/>
    <w:rsid w:val="00C731AF"/>
    <w:rsid w:val="00C74193"/>
    <w:rsid w:val="00C82010"/>
    <w:rsid w:val="00C8316C"/>
    <w:rsid w:val="00C90E36"/>
    <w:rsid w:val="00C91222"/>
    <w:rsid w:val="00C9484F"/>
    <w:rsid w:val="00C95F23"/>
    <w:rsid w:val="00CA0E8F"/>
    <w:rsid w:val="00CA16C4"/>
    <w:rsid w:val="00CA2E7C"/>
    <w:rsid w:val="00CA6C07"/>
    <w:rsid w:val="00CB08E4"/>
    <w:rsid w:val="00CB18AE"/>
    <w:rsid w:val="00CB1982"/>
    <w:rsid w:val="00CC26ED"/>
    <w:rsid w:val="00CC5A7E"/>
    <w:rsid w:val="00CD13FD"/>
    <w:rsid w:val="00CD2058"/>
    <w:rsid w:val="00CD3D2E"/>
    <w:rsid w:val="00CD4DDB"/>
    <w:rsid w:val="00CE281A"/>
    <w:rsid w:val="00CE3396"/>
    <w:rsid w:val="00CF23D6"/>
    <w:rsid w:val="00CF2B3A"/>
    <w:rsid w:val="00D004B4"/>
    <w:rsid w:val="00D04194"/>
    <w:rsid w:val="00D052E5"/>
    <w:rsid w:val="00D05ED5"/>
    <w:rsid w:val="00D074A3"/>
    <w:rsid w:val="00D10A4C"/>
    <w:rsid w:val="00D11441"/>
    <w:rsid w:val="00D13646"/>
    <w:rsid w:val="00D16260"/>
    <w:rsid w:val="00D30DC9"/>
    <w:rsid w:val="00D32A98"/>
    <w:rsid w:val="00D32DDF"/>
    <w:rsid w:val="00D34659"/>
    <w:rsid w:val="00D365D5"/>
    <w:rsid w:val="00D36FF5"/>
    <w:rsid w:val="00D40B8D"/>
    <w:rsid w:val="00D432C8"/>
    <w:rsid w:val="00D43C26"/>
    <w:rsid w:val="00D46049"/>
    <w:rsid w:val="00D500AB"/>
    <w:rsid w:val="00D50B04"/>
    <w:rsid w:val="00D6243A"/>
    <w:rsid w:val="00D63016"/>
    <w:rsid w:val="00D63E96"/>
    <w:rsid w:val="00D655E1"/>
    <w:rsid w:val="00D66186"/>
    <w:rsid w:val="00D75C70"/>
    <w:rsid w:val="00D76AB3"/>
    <w:rsid w:val="00D76C2E"/>
    <w:rsid w:val="00D7787C"/>
    <w:rsid w:val="00D77E72"/>
    <w:rsid w:val="00D86056"/>
    <w:rsid w:val="00D8628F"/>
    <w:rsid w:val="00D86C51"/>
    <w:rsid w:val="00D86DF9"/>
    <w:rsid w:val="00D8744F"/>
    <w:rsid w:val="00D9211E"/>
    <w:rsid w:val="00D939CF"/>
    <w:rsid w:val="00DA25F5"/>
    <w:rsid w:val="00DB0016"/>
    <w:rsid w:val="00DB2D1C"/>
    <w:rsid w:val="00DC284F"/>
    <w:rsid w:val="00DC4A01"/>
    <w:rsid w:val="00DD1056"/>
    <w:rsid w:val="00DD14F7"/>
    <w:rsid w:val="00DD1BF4"/>
    <w:rsid w:val="00DD331B"/>
    <w:rsid w:val="00DD75DF"/>
    <w:rsid w:val="00DD7DD9"/>
    <w:rsid w:val="00DE4606"/>
    <w:rsid w:val="00DE754C"/>
    <w:rsid w:val="00DE7CFC"/>
    <w:rsid w:val="00DF1B0A"/>
    <w:rsid w:val="00DF4538"/>
    <w:rsid w:val="00E01C1C"/>
    <w:rsid w:val="00E074AB"/>
    <w:rsid w:val="00E13917"/>
    <w:rsid w:val="00E20A4D"/>
    <w:rsid w:val="00E211A4"/>
    <w:rsid w:val="00E31FDA"/>
    <w:rsid w:val="00E331D4"/>
    <w:rsid w:val="00E33C3A"/>
    <w:rsid w:val="00E34056"/>
    <w:rsid w:val="00E3420B"/>
    <w:rsid w:val="00E34F10"/>
    <w:rsid w:val="00E377FF"/>
    <w:rsid w:val="00E37CDE"/>
    <w:rsid w:val="00E44940"/>
    <w:rsid w:val="00E47536"/>
    <w:rsid w:val="00E51C9F"/>
    <w:rsid w:val="00E539B1"/>
    <w:rsid w:val="00E5525B"/>
    <w:rsid w:val="00E578A8"/>
    <w:rsid w:val="00E6107D"/>
    <w:rsid w:val="00E64662"/>
    <w:rsid w:val="00E654C2"/>
    <w:rsid w:val="00E65C07"/>
    <w:rsid w:val="00E671EC"/>
    <w:rsid w:val="00E71B93"/>
    <w:rsid w:val="00E72599"/>
    <w:rsid w:val="00E7274E"/>
    <w:rsid w:val="00E841D5"/>
    <w:rsid w:val="00E84233"/>
    <w:rsid w:val="00E84267"/>
    <w:rsid w:val="00E84856"/>
    <w:rsid w:val="00E86612"/>
    <w:rsid w:val="00E922A1"/>
    <w:rsid w:val="00E92B6A"/>
    <w:rsid w:val="00E95739"/>
    <w:rsid w:val="00E96331"/>
    <w:rsid w:val="00E97ADA"/>
    <w:rsid w:val="00EA1427"/>
    <w:rsid w:val="00EA1910"/>
    <w:rsid w:val="00EA7308"/>
    <w:rsid w:val="00EA7849"/>
    <w:rsid w:val="00EA7AEF"/>
    <w:rsid w:val="00EB0157"/>
    <w:rsid w:val="00EB079B"/>
    <w:rsid w:val="00EC12DD"/>
    <w:rsid w:val="00EC62F6"/>
    <w:rsid w:val="00ED05EA"/>
    <w:rsid w:val="00ED0660"/>
    <w:rsid w:val="00ED54CD"/>
    <w:rsid w:val="00ED58C6"/>
    <w:rsid w:val="00EE0362"/>
    <w:rsid w:val="00EE0C49"/>
    <w:rsid w:val="00EE2061"/>
    <w:rsid w:val="00EE279C"/>
    <w:rsid w:val="00EE726F"/>
    <w:rsid w:val="00EF13B3"/>
    <w:rsid w:val="00F00998"/>
    <w:rsid w:val="00F0198B"/>
    <w:rsid w:val="00F07557"/>
    <w:rsid w:val="00F07DEF"/>
    <w:rsid w:val="00F1172F"/>
    <w:rsid w:val="00F16FA6"/>
    <w:rsid w:val="00F25047"/>
    <w:rsid w:val="00F25D9A"/>
    <w:rsid w:val="00F30E5D"/>
    <w:rsid w:val="00F3144E"/>
    <w:rsid w:val="00F334B2"/>
    <w:rsid w:val="00F377E7"/>
    <w:rsid w:val="00F44452"/>
    <w:rsid w:val="00F45108"/>
    <w:rsid w:val="00F5215F"/>
    <w:rsid w:val="00F525FF"/>
    <w:rsid w:val="00F550BF"/>
    <w:rsid w:val="00F55D22"/>
    <w:rsid w:val="00F61EBD"/>
    <w:rsid w:val="00F63FDC"/>
    <w:rsid w:val="00F722D2"/>
    <w:rsid w:val="00F752E4"/>
    <w:rsid w:val="00F76251"/>
    <w:rsid w:val="00F7670D"/>
    <w:rsid w:val="00F76A51"/>
    <w:rsid w:val="00F77127"/>
    <w:rsid w:val="00F8068B"/>
    <w:rsid w:val="00F8106E"/>
    <w:rsid w:val="00F83AFA"/>
    <w:rsid w:val="00F85D8E"/>
    <w:rsid w:val="00F94895"/>
    <w:rsid w:val="00F96128"/>
    <w:rsid w:val="00FA1ED8"/>
    <w:rsid w:val="00FA46C7"/>
    <w:rsid w:val="00FB0392"/>
    <w:rsid w:val="00FB1AEB"/>
    <w:rsid w:val="00FB45D6"/>
    <w:rsid w:val="00FB62F4"/>
    <w:rsid w:val="00FB7721"/>
    <w:rsid w:val="00FC0451"/>
    <w:rsid w:val="00FC1714"/>
    <w:rsid w:val="00FC2018"/>
    <w:rsid w:val="00FC487D"/>
    <w:rsid w:val="00FC4FE7"/>
    <w:rsid w:val="00FC558E"/>
    <w:rsid w:val="00FC7D00"/>
    <w:rsid w:val="00FD1F4A"/>
    <w:rsid w:val="00FD24BC"/>
    <w:rsid w:val="00FD3000"/>
    <w:rsid w:val="00FD3949"/>
    <w:rsid w:val="00FD41DC"/>
    <w:rsid w:val="00FE458B"/>
    <w:rsid w:val="00FE6C0C"/>
    <w:rsid w:val="00FF2ADF"/>
    <w:rsid w:val="00FF45A6"/>
    <w:rsid w:val="00FF463C"/>
    <w:rsid w:val="00FF61B2"/>
    <w:rsid w:val="00FF7484"/>
    <w:rsid w:val="0208D3D3"/>
    <w:rsid w:val="0259C11D"/>
    <w:rsid w:val="028D1C67"/>
    <w:rsid w:val="029B5FDE"/>
    <w:rsid w:val="0346CF88"/>
    <w:rsid w:val="03740FCD"/>
    <w:rsid w:val="038C4229"/>
    <w:rsid w:val="04CB1C10"/>
    <w:rsid w:val="055173C8"/>
    <w:rsid w:val="0599FE31"/>
    <w:rsid w:val="06AAB470"/>
    <w:rsid w:val="077C6F6B"/>
    <w:rsid w:val="09E217C9"/>
    <w:rsid w:val="0A441019"/>
    <w:rsid w:val="0A6AA41C"/>
    <w:rsid w:val="0A868828"/>
    <w:rsid w:val="0B513FC1"/>
    <w:rsid w:val="0BA9F2C5"/>
    <w:rsid w:val="0C009495"/>
    <w:rsid w:val="0C30A99D"/>
    <w:rsid w:val="0CBFBF99"/>
    <w:rsid w:val="0CC24464"/>
    <w:rsid w:val="0DE305CF"/>
    <w:rsid w:val="0E449D4C"/>
    <w:rsid w:val="0E928E54"/>
    <w:rsid w:val="0F455302"/>
    <w:rsid w:val="10A1598D"/>
    <w:rsid w:val="11107558"/>
    <w:rsid w:val="1172B392"/>
    <w:rsid w:val="133CAE0D"/>
    <w:rsid w:val="13F3BF8A"/>
    <w:rsid w:val="145D01DF"/>
    <w:rsid w:val="1463D20E"/>
    <w:rsid w:val="14BBDA5C"/>
    <w:rsid w:val="156C6B92"/>
    <w:rsid w:val="16C75967"/>
    <w:rsid w:val="174DA704"/>
    <w:rsid w:val="17CC8D77"/>
    <w:rsid w:val="18F269DC"/>
    <w:rsid w:val="19FEFA29"/>
    <w:rsid w:val="1AF8BC1C"/>
    <w:rsid w:val="1AFFC4D8"/>
    <w:rsid w:val="1CFF9CE5"/>
    <w:rsid w:val="1DBAF7D8"/>
    <w:rsid w:val="1F701ADE"/>
    <w:rsid w:val="20B46C24"/>
    <w:rsid w:val="220B7867"/>
    <w:rsid w:val="235ED33B"/>
    <w:rsid w:val="246F8D80"/>
    <w:rsid w:val="24E43031"/>
    <w:rsid w:val="2512959E"/>
    <w:rsid w:val="25B05833"/>
    <w:rsid w:val="26B88CA6"/>
    <w:rsid w:val="278F436E"/>
    <w:rsid w:val="2829FCD2"/>
    <w:rsid w:val="296947E4"/>
    <w:rsid w:val="296F5469"/>
    <w:rsid w:val="2B2049E4"/>
    <w:rsid w:val="2BD83C06"/>
    <w:rsid w:val="2C5E4C31"/>
    <w:rsid w:val="2C8E3510"/>
    <w:rsid w:val="2E27594B"/>
    <w:rsid w:val="2E29C1C3"/>
    <w:rsid w:val="2EEF87FA"/>
    <w:rsid w:val="2F5D4EDD"/>
    <w:rsid w:val="2F74BD0A"/>
    <w:rsid w:val="2FC59224"/>
    <w:rsid w:val="30A78D8C"/>
    <w:rsid w:val="334AC46C"/>
    <w:rsid w:val="33C64C2A"/>
    <w:rsid w:val="3480C198"/>
    <w:rsid w:val="34C19E00"/>
    <w:rsid w:val="35CEF7A0"/>
    <w:rsid w:val="3640E705"/>
    <w:rsid w:val="37157D4B"/>
    <w:rsid w:val="37DC9541"/>
    <w:rsid w:val="37F42BD9"/>
    <w:rsid w:val="3825C570"/>
    <w:rsid w:val="38F26163"/>
    <w:rsid w:val="3A807F41"/>
    <w:rsid w:val="3AA02870"/>
    <w:rsid w:val="3B3780D9"/>
    <w:rsid w:val="3B393AE5"/>
    <w:rsid w:val="3C5386D9"/>
    <w:rsid w:val="3CA3190D"/>
    <w:rsid w:val="3CB64C9B"/>
    <w:rsid w:val="3CEF84EC"/>
    <w:rsid w:val="3D66AE9F"/>
    <w:rsid w:val="3D7B071E"/>
    <w:rsid w:val="3D982413"/>
    <w:rsid w:val="3F0EEDC2"/>
    <w:rsid w:val="401CDDD2"/>
    <w:rsid w:val="407B8857"/>
    <w:rsid w:val="408213F0"/>
    <w:rsid w:val="414EBEA2"/>
    <w:rsid w:val="415D246A"/>
    <w:rsid w:val="417619C4"/>
    <w:rsid w:val="4206EBC0"/>
    <w:rsid w:val="421B9401"/>
    <w:rsid w:val="4223B70A"/>
    <w:rsid w:val="424355CF"/>
    <w:rsid w:val="426C708E"/>
    <w:rsid w:val="4380E305"/>
    <w:rsid w:val="443EE362"/>
    <w:rsid w:val="45EF9015"/>
    <w:rsid w:val="46F518FF"/>
    <w:rsid w:val="473D95DF"/>
    <w:rsid w:val="4772327D"/>
    <w:rsid w:val="4A5C36AB"/>
    <w:rsid w:val="4B718686"/>
    <w:rsid w:val="4BBA6C67"/>
    <w:rsid w:val="4C212859"/>
    <w:rsid w:val="4C86D8AA"/>
    <w:rsid w:val="4E3E69F9"/>
    <w:rsid w:val="50551870"/>
    <w:rsid w:val="5061F925"/>
    <w:rsid w:val="514E63EA"/>
    <w:rsid w:val="51D7CB25"/>
    <w:rsid w:val="51F50EA6"/>
    <w:rsid w:val="52670B27"/>
    <w:rsid w:val="52B49FBC"/>
    <w:rsid w:val="546D5EA6"/>
    <w:rsid w:val="55419989"/>
    <w:rsid w:val="5671EE53"/>
    <w:rsid w:val="56787B64"/>
    <w:rsid w:val="591DCFED"/>
    <w:rsid w:val="5A0DB555"/>
    <w:rsid w:val="5A59142B"/>
    <w:rsid w:val="5BB92BAE"/>
    <w:rsid w:val="5BDDDDE2"/>
    <w:rsid w:val="5C5CCA20"/>
    <w:rsid w:val="5CABDB63"/>
    <w:rsid w:val="5CE8C56C"/>
    <w:rsid w:val="5EA68989"/>
    <w:rsid w:val="5F4C4CC5"/>
    <w:rsid w:val="5F7C9E94"/>
    <w:rsid w:val="6226841D"/>
    <w:rsid w:val="6283ED87"/>
    <w:rsid w:val="63683A12"/>
    <w:rsid w:val="64585DC2"/>
    <w:rsid w:val="64F372A5"/>
    <w:rsid w:val="651FC4C9"/>
    <w:rsid w:val="6570A2EB"/>
    <w:rsid w:val="66B3B024"/>
    <w:rsid w:val="66FE3CA7"/>
    <w:rsid w:val="673FA2A6"/>
    <w:rsid w:val="68107E3A"/>
    <w:rsid w:val="682B7813"/>
    <w:rsid w:val="684A1143"/>
    <w:rsid w:val="6966DC98"/>
    <w:rsid w:val="697C1E01"/>
    <w:rsid w:val="69A02136"/>
    <w:rsid w:val="6BB0B6F6"/>
    <w:rsid w:val="6EB1717E"/>
    <w:rsid w:val="6FFAA3EC"/>
    <w:rsid w:val="70E684EC"/>
    <w:rsid w:val="70FBD752"/>
    <w:rsid w:val="7115F38D"/>
    <w:rsid w:val="71684904"/>
    <w:rsid w:val="71FDE0A0"/>
    <w:rsid w:val="723E4AB3"/>
    <w:rsid w:val="73761840"/>
    <w:rsid w:val="7387EFA7"/>
    <w:rsid w:val="73C29C7F"/>
    <w:rsid w:val="73EC5837"/>
    <w:rsid w:val="75C281B9"/>
    <w:rsid w:val="75D537E1"/>
    <w:rsid w:val="76ADB902"/>
    <w:rsid w:val="783C37EE"/>
    <w:rsid w:val="7842BE21"/>
    <w:rsid w:val="78C0FDD1"/>
    <w:rsid w:val="79E559C4"/>
    <w:rsid w:val="79F62ABD"/>
    <w:rsid w:val="7A9B4BEE"/>
    <w:rsid w:val="7B31269A"/>
    <w:rsid w:val="7F6450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0547ADB"/>
  <w15:docId w15:val="{826A65F1-CF1C-43DF-97AE-E96D87A5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10"/>
  </w:style>
  <w:style w:type="paragraph" w:styleId="Heading1">
    <w:name w:val="heading 1"/>
    <w:basedOn w:val="Normal"/>
    <w:link w:val="Heading1Char"/>
    <w:uiPriority w:val="9"/>
    <w:qFormat/>
    <w:rsid w:val="0070184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E"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link w:val="PagedecouvertureChar"/>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uiPriority w:val="99"/>
    <w:unhideWhenUsed/>
    <w:qFormat/>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basedOn w:val="DefaultParagraphFont"/>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Hyperlink">
    <w:name w:val="Hyperlink"/>
    <w:uiPriority w:val="99"/>
    <w:rsid w:val="005A16FF"/>
    <w:rPr>
      <w:color w:val="0000FF"/>
      <w:u w:val="single"/>
    </w:rPr>
  </w:style>
  <w:style w:type="character" w:styleId="Emphasis">
    <w:name w:val="Emphasis"/>
    <w:uiPriority w:val="20"/>
    <w:qFormat/>
    <w:rsid w:val="002C40AE"/>
    <w:rPr>
      <w:rFonts w:ascii="Times New Roman" w:hAnsi="Times New Roman" w:cs="Times New Roman" w:hint="default"/>
      <w:i/>
      <w:iCs/>
    </w:rPr>
  </w:style>
  <w:style w:type="character" w:styleId="FollowedHyperlink">
    <w:name w:val="FollowedHyperlink"/>
    <w:basedOn w:val="DefaultParagraphFont"/>
    <w:uiPriority w:val="99"/>
    <w:semiHidden/>
    <w:unhideWhenUsed/>
    <w:rsid w:val="00141E88"/>
    <w:rPr>
      <w:color w:val="800080" w:themeColor="followedHyperlink"/>
      <w:u w:val="single"/>
    </w:rPr>
  </w:style>
  <w:style w:type="paragraph" w:customStyle="1" w:styleId="FooterSensitivity">
    <w:name w:val="Footer Sensitivity"/>
    <w:basedOn w:val="Normal"/>
    <w:link w:val="FooterSensitivityChar"/>
    <w:rsid w:val="00974EF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PagedecouvertureChar">
    <w:name w:val="Page de couverture Char"/>
    <w:basedOn w:val="DefaultParagraphFont"/>
    <w:link w:val="Pagedecouverture"/>
    <w:rsid w:val="00974EFB"/>
    <w:rPr>
      <w:rFonts w:ascii="Times New Roman" w:hAnsi="Times New Roman" w:cs="Times New Roman"/>
      <w:sz w:val="24"/>
    </w:rPr>
  </w:style>
  <w:style w:type="character" w:customStyle="1" w:styleId="FooterSensitivityChar">
    <w:name w:val="Footer Sensitivity Char"/>
    <w:basedOn w:val="PagedecouvertureChar"/>
    <w:link w:val="FooterSensitivity"/>
    <w:rsid w:val="00974EFB"/>
    <w:rPr>
      <w:rFonts w:ascii="Times New Roman" w:hAnsi="Times New Roman" w:cs="Times New Roman"/>
      <w:b/>
      <w:sz w:val="32"/>
    </w:rPr>
  </w:style>
  <w:style w:type="paragraph" w:customStyle="1" w:styleId="HeaderSensitivity">
    <w:name w:val="Header Sensitivity"/>
    <w:basedOn w:val="Normal"/>
    <w:link w:val="HeaderSensitivityChar"/>
    <w:rsid w:val="00974EF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PagedecouvertureChar"/>
    <w:link w:val="HeaderSensitivity"/>
    <w:rsid w:val="00974EFB"/>
    <w:rPr>
      <w:rFonts w:ascii="Times New Roman" w:hAnsi="Times New Roman" w:cs="Times New Roman"/>
      <w:b/>
      <w:sz w:val="32"/>
    </w:rPr>
  </w:style>
  <w:style w:type="paragraph" w:customStyle="1" w:styleId="HeaderSensitivityRight">
    <w:name w:val="Header Sensitivity Right"/>
    <w:basedOn w:val="Normal"/>
    <w:link w:val="HeaderSensitivityRightChar"/>
    <w:rsid w:val="00974EFB"/>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PagedecouvertureChar"/>
    <w:link w:val="HeaderSensitivityRight"/>
    <w:rsid w:val="00974EFB"/>
    <w:rPr>
      <w:rFonts w:ascii="Times New Roman" w:hAnsi="Times New Roman" w:cs="Times New Roman"/>
      <w:sz w:val="28"/>
    </w:rPr>
  </w:style>
  <w:style w:type="paragraph" w:styleId="NormalWeb">
    <w:name w:val="Normal (Web)"/>
    <w:basedOn w:val="Normal"/>
    <w:uiPriority w:val="99"/>
    <w:unhideWhenUsed/>
    <w:rsid w:val="00867A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701848"/>
    <w:rPr>
      <w:rFonts w:ascii="Times New Roman" w:eastAsia="Times New Roman" w:hAnsi="Times New Roman" w:cs="Times New Roman"/>
      <w:b/>
      <w:bCs/>
      <w:kern w:val="36"/>
      <w:sz w:val="48"/>
      <w:szCs w:val="48"/>
      <w:lang w:val="en-IE" w:eastAsia="en-IE"/>
    </w:rPr>
  </w:style>
  <w:style w:type="paragraph" w:styleId="EndnoteText">
    <w:name w:val="endnote text"/>
    <w:basedOn w:val="Normal"/>
    <w:link w:val="EndnoteTextChar"/>
    <w:uiPriority w:val="99"/>
    <w:semiHidden/>
    <w:unhideWhenUsed/>
    <w:rsid w:val="00521E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1E19"/>
    <w:rPr>
      <w:sz w:val="20"/>
      <w:szCs w:val="20"/>
    </w:rPr>
  </w:style>
  <w:style w:type="character" w:styleId="EndnoteReference">
    <w:name w:val="endnote reference"/>
    <w:basedOn w:val="DefaultParagraphFont"/>
    <w:uiPriority w:val="99"/>
    <w:semiHidden/>
    <w:unhideWhenUsed/>
    <w:rsid w:val="00521E19"/>
    <w:rPr>
      <w:vertAlign w:val="superscript"/>
    </w:rPr>
  </w:style>
  <w:style w:type="paragraph" w:customStyle="1" w:styleId="norm">
    <w:name w:val="norm"/>
    <w:basedOn w:val="Normal"/>
    <w:rsid w:val="00F61EB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odref">
    <w:name w:val="modref"/>
    <w:basedOn w:val="Normal"/>
    <w:rsid w:val="0002443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rsid w:val="0031051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115577"/>
  </w:style>
  <w:style w:type="paragraph" w:customStyle="1" w:styleId="text2">
    <w:name w:val="text2"/>
    <w:basedOn w:val="Normal"/>
    <w:rsid w:val="00AD3E8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otnotereference0">
    <w:name w:val="footnotereference"/>
    <w:basedOn w:val="DefaultParagraphFont"/>
    <w:rsid w:val="00AD3E89"/>
  </w:style>
  <w:style w:type="paragraph" w:customStyle="1" w:styleId="Normal2">
    <w:name w:val="Normal2"/>
    <w:basedOn w:val="Normal"/>
    <w:rsid w:val="006D0B1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uper">
    <w:name w:val="super"/>
    <w:basedOn w:val="DefaultParagraphFont"/>
    <w:rsid w:val="006D0B1E"/>
  </w:style>
  <w:style w:type="character" w:customStyle="1" w:styleId="UnresolvedMention">
    <w:name w:val="Unresolved Mention"/>
    <w:basedOn w:val="DefaultParagraphFont"/>
    <w:uiPriority w:val="99"/>
    <w:semiHidden/>
    <w:unhideWhenUsed/>
    <w:rsid w:val="0092070F"/>
    <w:rPr>
      <w:color w:val="605E5C"/>
      <w:shd w:val="clear" w:color="auto" w:fill="E1DFDD"/>
    </w:rPr>
  </w:style>
  <w:style w:type="paragraph" w:customStyle="1" w:styleId="Footnote">
    <w:name w:val="Footnote"/>
    <w:basedOn w:val="FootnoteText"/>
    <w:rsid w:val="0090379D"/>
    <w:pPr>
      <w:tabs>
        <w:tab w:val="left" w:pos="284"/>
      </w:tabs>
      <w:ind w:left="284" w:hanging="284"/>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1415">
      <w:bodyDiv w:val="1"/>
      <w:marLeft w:val="0"/>
      <w:marRight w:val="0"/>
      <w:marTop w:val="0"/>
      <w:marBottom w:val="0"/>
      <w:divBdr>
        <w:top w:val="none" w:sz="0" w:space="0" w:color="auto"/>
        <w:left w:val="none" w:sz="0" w:space="0" w:color="auto"/>
        <w:bottom w:val="none" w:sz="0" w:space="0" w:color="auto"/>
        <w:right w:val="none" w:sz="0" w:space="0" w:color="auto"/>
      </w:divBdr>
      <w:divsChild>
        <w:div w:id="960765799">
          <w:marLeft w:val="0"/>
          <w:marRight w:val="0"/>
          <w:marTop w:val="0"/>
          <w:marBottom w:val="0"/>
          <w:divBdr>
            <w:top w:val="none" w:sz="0" w:space="0" w:color="auto"/>
            <w:left w:val="none" w:sz="0" w:space="0" w:color="auto"/>
            <w:bottom w:val="none" w:sz="0" w:space="0" w:color="auto"/>
            <w:right w:val="none" w:sz="0" w:space="0" w:color="auto"/>
          </w:divBdr>
        </w:div>
        <w:div w:id="1116410521">
          <w:marLeft w:val="0"/>
          <w:marRight w:val="0"/>
          <w:marTop w:val="0"/>
          <w:marBottom w:val="0"/>
          <w:divBdr>
            <w:top w:val="none" w:sz="0" w:space="0" w:color="auto"/>
            <w:left w:val="none" w:sz="0" w:space="0" w:color="auto"/>
            <w:bottom w:val="none" w:sz="0" w:space="0" w:color="auto"/>
            <w:right w:val="none" w:sz="0" w:space="0" w:color="auto"/>
          </w:divBdr>
        </w:div>
      </w:divsChild>
    </w:div>
    <w:div w:id="125391343">
      <w:bodyDiv w:val="1"/>
      <w:marLeft w:val="0"/>
      <w:marRight w:val="0"/>
      <w:marTop w:val="0"/>
      <w:marBottom w:val="0"/>
      <w:divBdr>
        <w:top w:val="none" w:sz="0" w:space="0" w:color="auto"/>
        <w:left w:val="none" w:sz="0" w:space="0" w:color="auto"/>
        <w:bottom w:val="none" w:sz="0" w:space="0" w:color="auto"/>
        <w:right w:val="none" w:sz="0" w:space="0" w:color="auto"/>
      </w:divBdr>
    </w:div>
    <w:div w:id="161744248">
      <w:bodyDiv w:val="1"/>
      <w:marLeft w:val="0"/>
      <w:marRight w:val="0"/>
      <w:marTop w:val="0"/>
      <w:marBottom w:val="0"/>
      <w:divBdr>
        <w:top w:val="none" w:sz="0" w:space="0" w:color="auto"/>
        <w:left w:val="none" w:sz="0" w:space="0" w:color="auto"/>
        <w:bottom w:val="none" w:sz="0" w:space="0" w:color="auto"/>
        <w:right w:val="none" w:sz="0" w:space="0" w:color="auto"/>
      </w:divBdr>
    </w:div>
    <w:div w:id="191311312">
      <w:bodyDiv w:val="1"/>
      <w:marLeft w:val="0"/>
      <w:marRight w:val="0"/>
      <w:marTop w:val="0"/>
      <w:marBottom w:val="0"/>
      <w:divBdr>
        <w:top w:val="none" w:sz="0" w:space="0" w:color="auto"/>
        <w:left w:val="none" w:sz="0" w:space="0" w:color="auto"/>
        <w:bottom w:val="none" w:sz="0" w:space="0" w:color="auto"/>
        <w:right w:val="none" w:sz="0" w:space="0" w:color="auto"/>
      </w:divBdr>
    </w:div>
    <w:div w:id="199902877">
      <w:bodyDiv w:val="1"/>
      <w:marLeft w:val="0"/>
      <w:marRight w:val="0"/>
      <w:marTop w:val="0"/>
      <w:marBottom w:val="0"/>
      <w:divBdr>
        <w:top w:val="none" w:sz="0" w:space="0" w:color="auto"/>
        <w:left w:val="none" w:sz="0" w:space="0" w:color="auto"/>
        <w:bottom w:val="none" w:sz="0" w:space="0" w:color="auto"/>
        <w:right w:val="none" w:sz="0" w:space="0" w:color="auto"/>
      </w:divBdr>
    </w:div>
    <w:div w:id="207767359">
      <w:bodyDiv w:val="1"/>
      <w:marLeft w:val="0"/>
      <w:marRight w:val="0"/>
      <w:marTop w:val="0"/>
      <w:marBottom w:val="0"/>
      <w:divBdr>
        <w:top w:val="none" w:sz="0" w:space="0" w:color="auto"/>
        <w:left w:val="none" w:sz="0" w:space="0" w:color="auto"/>
        <w:bottom w:val="none" w:sz="0" w:space="0" w:color="auto"/>
        <w:right w:val="none" w:sz="0" w:space="0" w:color="auto"/>
      </w:divBdr>
    </w:div>
    <w:div w:id="253902110">
      <w:bodyDiv w:val="1"/>
      <w:marLeft w:val="0"/>
      <w:marRight w:val="0"/>
      <w:marTop w:val="0"/>
      <w:marBottom w:val="0"/>
      <w:divBdr>
        <w:top w:val="none" w:sz="0" w:space="0" w:color="auto"/>
        <w:left w:val="none" w:sz="0" w:space="0" w:color="auto"/>
        <w:bottom w:val="none" w:sz="0" w:space="0" w:color="auto"/>
        <w:right w:val="none" w:sz="0" w:space="0" w:color="auto"/>
      </w:divBdr>
    </w:div>
    <w:div w:id="312829659">
      <w:bodyDiv w:val="1"/>
      <w:marLeft w:val="0"/>
      <w:marRight w:val="0"/>
      <w:marTop w:val="0"/>
      <w:marBottom w:val="0"/>
      <w:divBdr>
        <w:top w:val="none" w:sz="0" w:space="0" w:color="auto"/>
        <w:left w:val="none" w:sz="0" w:space="0" w:color="auto"/>
        <w:bottom w:val="none" w:sz="0" w:space="0" w:color="auto"/>
        <w:right w:val="none" w:sz="0" w:space="0" w:color="auto"/>
      </w:divBdr>
    </w:div>
    <w:div w:id="354768880">
      <w:bodyDiv w:val="1"/>
      <w:marLeft w:val="0"/>
      <w:marRight w:val="0"/>
      <w:marTop w:val="0"/>
      <w:marBottom w:val="0"/>
      <w:divBdr>
        <w:top w:val="none" w:sz="0" w:space="0" w:color="auto"/>
        <w:left w:val="none" w:sz="0" w:space="0" w:color="auto"/>
        <w:bottom w:val="none" w:sz="0" w:space="0" w:color="auto"/>
        <w:right w:val="none" w:sz="0" w:space="0" w:color="auto"/>
      </w:divBdr>
    </w:div>
    <w:div w:id="403143194">
      <w:bodyDiv w:val="1"/>
      <w:marLeft w:val="0"/>
      <w:marRight w:val="0"/>
      <w:marTop w:val="0"/>
      <w:marBottom w:val="0"/>
      <w:divBdr>
        <w:top w:val="none" w:sz="0" w:space="0" w:color="auto"/>
        <w:left w:val="none" w:sz="0" w:space="0" w:color="auto"/>
        <w:bottom w:val="none" w:sz="0" w:space="0" w:color="auto"/>
        <w:right w:val="none" w:sz="0" w:space="0" w:color="auto"/>
      </w:divBdr>
    </w:div>
    <w:div w:id="436602800">
      <w:bodyDiv w:val="1"/>
      <w:marLeft w:val="0"/>
      <w:marRight w:val="0"/>
      <w:marTop w:val="0"/>
      <w:marBottom w:val="0"/>
      <w:divBdr>
        <w:top w:val="none" w:sz="0" w:space="0" w:color="auto"/>
        <w:left w:val="none" w:sz="0" w:space="0" w:color="auto"/>
        <w:bottom w:val="none" w:sz="0" w:space="0" w:color="auto"/>
        <w:right w:val="none" w:sz="0" w:space="0" w:color="auto"/>
      </w:divBdr>
    </w:div>
    <w:div w:id="462504385">
      <w:bodyDiv w:val="1"/>
      <w:marLeft w:val="0"/>
      <w:marRight w:val="0"/>
      <w:marTop w:val="0"/>
      <w:marBottom w:val="0"/>
      <w:divBdr>
        <w:top w:val="none" w:sz="0" w:space="0" w:color="auto"/>
        <w:left w:val="none" w:sz="0" w:space="0" w:color="auto"/>
        <w:bottom w:val="none" w:sz="0" w:space="0" w:color="auto"/>
        <w:right w:val="none" w:sz="0" w:space="0" w:color="auto"/>
      </w:divBdr>
      <w:divsChild>
        <w:div w:id="1077357723">
          <w:marLeft w:val="0"/>
          <w:marRight w:val="0"/>
          <w:marTop w:val="0"/>
          <w:marBottom w:val="0"/>
          <w:divBdr>
            <w:top w:val="none" w:sz="0" w:space="0" w:color="auto"/>
            <w:left w:val="none" w:sz="0" w:space="0" w:color="auto"/>
            <w:bottom w:val="none" w:sz="0" w:space="0" w:color="auto"/>
            <w:right w:val="none" w:sz="0" w:space="0" w:color="auto"/>
          </w:divBdr>
        </w:div>
        <w:div w:id="1541477308">
          <w:marLeft w:val="0"/>
          <w:marRight w:val="0"/>
          <w:marTop w:val="0"/>
          <w:marBottom w:val="0"/>
          <w:divBdr>
            <w:top w:val="none" w:sz="0" w:space="0" w:color="auto"/>
            <w:left w:val="none" w:sz="0" w:space="0" w:color="auto"/>
            <w:bottom w:val="none" w:sz="0" w:space="0" w:color="auto"/>
            <w:right w:val="none" w:sz="0" w:space="0" w:color="auto"/>
          </w:divBdr>
        </w:div>
      </w:divsChild>
    </w:div>
    <w:div w:id="548810905">
      <w:bodyDiv w:val="1"/>
      <w:marLeft w:val="0"/>
      <w:marRight w:val="0"/>
      <w:marTop w:val="0"/>
      <w:marBottom w:val="0"/>
      <w:divBdr>
        <w:top w:val="none" w:sz="0" w:space="0" w:color="auto"/>
        <w:left w:val="none" w:sz="0" w:space="0" w:color="auto"/>
        <w:bottom w:val="none" w:sz="0" w:space="0" w:color="auto"/>
        <w:right w:val="none" w:sz="0" w:space="0" w:color="auto"/>
      </w:divBdr>
    </w:div>
    <w:div w:id="595018831">
      <w:bodyDiv w:val="1"/>
      <w:marLeft w:val="0"/>
      <w:marRight w:val="0"/>
      <w:marTop w:val="0"/>
      <w:marBottom w:val="0"/>
      <w:divBdr>
        <w:top w:val="none" w:sz="0" w:space="0" w:color="auto"/>
        <w:left w:val="none" w:sz="0" w:space="0" w:color="auto"/>
        <w:bottom w:val="none" w:sz="0" w:space="0" w:color="auto"/>
        <w:right w:val="none" w:sz="0" w:space="0" w:color="auto"/>
      </w:divBdr>
    </w:div>
    <w:div w:id="630785490">
      <w:bodyDiv w:val="1"/>
      <w:marLeft w:val="0"/>
      <w:marRight w:val="0"/>
      <w:marTop w:val="0"/>
      <w:marBottom w:val="0"/>
      <w:divBdr>
        <w:top w:val="none" w:sz="0" w:space="0" w:color="auto"/>
        <w:left w:val="none" w:sz="0" w:space="0" w:color="auto"/>
        <w:bottom w:val="none" w:sz="0" w:space="0" w:color="auto"/>
        <w:right w:val="none" w:sz="0" w:space="0" w:color="auto"/>
      </w:divBdr>
    </w:div>
    <w:div w:id="707991830">
      <w:bodyDiv w:val="1"/>
      <w:marLeft w:val="0"/>
      <w:marRight w:val="0"/>
      <w:marTop w:val="0"/>
      <w:marBottom w:val="0"/>
      <w:divBdr>
        <w:top w:val="none" w:sz="0" w:space="0" w:color="auto"/>
        <w:left w:val="none" w:sz="0" w:space="0" w:color="auto"/>
        <w:bottom w:val="none" w:sz="0" w:space="0" w:color="auto"/>
        <w:right w:val="none" w:sz="0" w:space="0" w:color="auto"/>
      </w:divBdr>
    </w:div>
    <w:div w:id="794642715">
      <w:bodyDiv w:val="1"/>
      <w:marLeft w:val="0"/>
      <w:marRight w:val="0"/>
      <w:marTop w:val="0"/>
      <w:marBottom w:val="0"/>
      <w:divBdr>
        <w:top w:val="none" w:sz="0" w:space="0" w:color="auto"/>
        <w:left w:val="none" w:sz="0" w:space="0" w:color="auto"/>
        <w:bottom w:val="none" w:sz="0" w:space="0" w:color="auto"/>
        <w:right w:val="none" w:sz="0" w:space="0" w:color="auto"/>
      </w:divBdr>
      <w:divsChild>
        <w:div w:id="945187383">
          <w:marLeft w:val="0"/>
          <w:marRight w:val="0"/>
          <w:marTop w:val="0"/>
          <w:marBottom w:val="0"/>
          <w:divBdr>
            <w:top w:val="none" w:sz="0" w:space="0" w:color="auto"/>
            <w:left w:val="none" w:sz="0" w:space="0" w:color="auto"/>
            <w:bottom w:val="none" w:sz="0" w:space="0" w:color="auto"/>
            <w:right w:val="none" w:sz="0" w:space="0" w:color="auto"/>
          </w:divBdr>
          <w:divsChild>
            <w:div w:id="150409190">
              <w:marLeft w:val="0"/>
              <w:marRight w:val="0"/>
              <w:marTop w:val="120"/>
              <w:marBottom w:val="0"/>
              <w:divBdr>
                <w:top w:val="none" w:sz="0" w:space="0" w:color="auto"/>
                <w:left w:val="none" w:sz="0" w:space="0" w:color="auto"/>
                <w:bottom w:val="none" w:sz="0" w:space="0" w:color="auto"/>
                <w:right w:val="none" w:sz="0" w:space="0" w:color="auto"/>
              </w:divBdr>
            </w:div>
            <w:div w:id="2144342259">
              <w:marLeft w:val="0"/>
              <w:marRight w:val="0"/>
              <w:marTop w:val="0"/>
              <w:marBottom w:val="0"/>
              <w:divBdr>
                <w:top w:val="none" w:sz="0" w:space="0" w:color="auto"/>
                <w:left w:val="none" w:sz="0" w:space="0" w:color="auto"/>
                <w:bottom w:val="none" w:sz="0" w:space="0" w:color="auto"/>
                <w:right w:val="none" w:sz="0" w:space="0" w:color="auto"/>
              </w:divBdr>
            </w:div>
          </w:divsChild>
        </w:div>
        <w:div w:id="1008602267">
          <w:marLeft w:val="0"/>
          <w:marRight w:val="0"/>
          <w:marTop w:val="0"/>
          <w:marBottom w:val="0"/>
          <w:divBdr>
            <w:top w:val="none" w:sz="0" w:space="0" w:color="auto"/>
            <w:left w:val="none" w:sz="0" w:space="0" w:color="auto"/>
            <w:bottom w:val="none" w:sz="0" w:space="0" w:color="auto"/>
            <w:right w:val="none" w:sz="0" w:space="0" w:color="auto"/>
          </w:divBdr>
          <w:divsChild>
            <w:div w:id="701445602">
              <w:marLeft w:val="0"/>
              <w:marRight w:val="0"/>
              <w:marTop w:val="0"/>
              <w:marBottom w:val="0"/>
              <w:divBdr>
                <w:top w:val="none" w:sz="0" w:space="0" w:color="auto"/>
                <w:left w:val="none" w:sz="0" w:space="0" w:color="auto"/>
                <w:bottom w:val="none" w:sz="0" w:space="0" w:color="auto"/>
                <w:right w:val="none" w:sz="0" w:space="0" w:color="auto"/>
              </w:divBdr>
            </w:div>
            <w:div w:id="2001880043">
              <w:marLeft w:val="0"/>
              <w:marRight w:val="0"/>
              <w:marTop w:val="120"/>
              <w:marBottom w:val="0"/>
              <w:divBdr>
                <w:top w:val="none" w:sz="0" w:space="0" w:color="auto"/>
                <w:left w:val="none" w:sz="0" w:space="0" w:color="auto"/>
                <w:bottom w:val="none" w:sz="0" w:space="0" w:color="auto"/>
                <w:right w:val="none" w:sz="0" w:space="0" w:color="auto"/>
              </w:divBdr>
            </w:div>
          </w:divsChild>
        </w:div>
        <w:div w:id="1118372370">
          <w:marLeft w:val="0"/>
          <w:marRight w:val="0"/>
          <w:marTop w:val="0"/>
          <w:marBottom w:val="0"/>
          <w:divBdr>
            <w:top w:val="none" w:sz="0" w:space="0" w:color="auto"/>
            <w:left w:val="none" w:sz="0" w:space="0" w:color="auto"/>
            <w:bottom w:val="none" w:sz="0" w:space="0" w:color="auto"/>
            <w:right w:val="none" w:sz="0" w:space="0" w:color="auto"/>
          </w:divBdr>
          <w:divsChild>
            <w:div w:id="1871383007">
              <w:marLeft w:val="0"/>
              <w:marRight w:val="0"/>
              <w:marTop w:val="0"/>
              <w:marBottom w:val="0"/>
              <w:divBdr>
                <w:top w:val="none" w:sz="0" w:space="0" w:color="auto"/>
                <w:left w:val="none" w:sz="0" w:space="0" w:color="auto"/>
                <w:bottom w:val="none" w:sz="0" w:space="0" w:color="auto"/>
                <w:right w:val="none" w:sz="0" w:space="0" w:color="auto"/>
              </w:divBdr>
            </w:div>
            <w:div w:id="1883590754">
              <w:marLeft w:val="0"/>
              <w:marRight w:val="0"/>
              <w:marTop w:val="120"/>
              <w:marBottom w:val="0"/>
              <w:divBdr>
                <w:top w:val="none" w:sz="0" w:space="0" w:color="auto"/>
                <w:left w:val="none" w:sz="0" w:space="0" w:color="auto"/>
                <w:bottom w:val="none" w:sz="0" w:space="0" w:color="auto"/>
                <w:right w:val="none" w:sz="0" w:space="0" w:color="auto"/>
              </w:divBdr>
            </w:div>
          </w:divsChild>
        </w:div>
        <w:div w:id="2050958245">
          <w:marLeft w:val="0"/>
          <w:marRight w:val="0"/>
          <w:marTop w:val="0"/>
          <w:marBottom w:val="0"/>
          <w:divBdr>
            <w:top w:val="none" w:sz="0" w:space="0" w:color="auto"/>
            <w:left w:val="none" w:sz="0" w:space="0" w:color="auto"/>
            <w:bottom w:val="none" w:sz="0" w:space="0" w:color="auto"/>
            <w:right w:val="none" w:sz="0" w:space="0" w:color="auto"/>
          </w:divBdr>
          <w:divsChild>
            <w:div w:id="1207598272">
              <w:marLeft w:val="0"/>
              <w:marRight w:val="0"/>
              <w:marTop w:val="120"/>
              <w:marBottom w:val="0"/>
              <w:divBdr>
                <w:top w:val="none" w:sz="0" w:space="0" w:color="auto"/>
                <w:left w:val="none" w:sz="0" w:space="0" w:color="auto"/>
                <w:bottom w:val="none" w:sz="0" w:space="0" w:color="auto"/>
                <w:right w:val="none" w:sz="0" w:space="0" w:color="auto"/>
              </w:divBdr>
            </w:div>
            <w:div w:id="184602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9564">
      <w:bodyDiv w:val="1"/>
      <w:marLeft w:val="0"/>
      <w:marRight w:val="0"/>
      <w:marTop w:val="0"/>
      <w:marBottom w:val="0"/>
      <w:divBdr>
        <w:top w:val="none" w:sz="0" w:space="0" w:color="auto"/>
        <w:left w:val="none" w:sz="0" w:space="0" w:color="auto"/>
        <w:bottom w:val="none" w:sz="0" w:space="0" w:color="auto"/>
        <w:right w:val="none" w:sz="0" w:space="0" w:color="auto"/>
      </w:divBdr>
    </w:div>
    <w:div w:id="1072310724">
      <w:bodyDiv w:val="1"/>
      <w:marLeft w:val="0"/>
      <w:marRight w:val="0"/>
      <w:marTop w:val="0"/>
      <w:marBottom w:val="0"/>
      <w:divBdr>
        <w:top w:val="none" w:sz="0" w:space="0" w:color="auto"/>
        <w:left w:val="none" w:sz="0" w:space="0" w:color="auto"/>
        <w:bottom w:val="none" w:sz="0" w:space="0" w:color="auto"/>
        <w:right w:val="none" w:sz="0" w:space="0" w:color="auto"/>
      </w:divBdr>
    </w:div>
    <w:div w:id="1080714478">
      <w:bodyDiv w:val="1"/>
      <w:marLeft w:val="0"/>
      <w:marRight w:val="0"/>
      <w:marTop w:val="0"/>
      <w:marBottom w:val="0"/>
      <w:divBdr>
        <w:top w:val="none" w:sz="0" w:space="0" w:color="auto"/>
        <w:left w:val="none" w:sz="0" w:space="0" w:color="auto"/>
        <w:bottom w:val="none" w:sz="0" w:space="0" w:color="auto"/>
        <w:right w:val="none" w:sz="0" w:space="0" w:color="auto"/>
      </w:divBdr>
    </w:div>
    <w:div w:id="1121220087">
      <w:bodyDiv w:val="1"/>
      <w:marLeft w:val="0"/>
      <w:marRight w:val="0"/>
      <w:marTop w:val="0"/>
      <w:marBottom w:val="0"/>
      <w:divBdr>
        <w:top w:val="none" w:sz="0" w:space="0" w:color="auto"/>
        <w:left w:val="none" w:sz="0" w:space="0" w:color="auto"/>
        <w:bottom w:val="none" w:sz="0" w:space="0" w:color="auto"/>
        <w:right w:val="none" w:sz="0" w:space="0" w:color="auto"/>
      </w:divBdr>
    </w:div>
    <w:div w:id="1163010526">
      <w:bodyDiv w:val="1"/>
      <w:marLeft w:val="0"/>
      <w:marRight w:val="0"/>
      <w:marTop w:val="0"/>
      <w:marBottom w:val="0"/>
      <w:divBdr>
        <w:top w:val="none" w:sz="0" w:space="0" w:color="auto"/>
        <w:left w:val="none" w:sz="0" w:space="0" w:color="auto"/>
        <w:bottom w:val="none" w:sz="0" w:space="0" w:color="auto"/>
        <w:right w:val="none" w:sz="0" w:space="0" w:color="auto"/>
      </w:divBdr>
    </w:div>
    <w:div w:id="1165513222">
      <w:bodyDiv w:val="1"/>
      <w:marLeft w:val="0"/>
      <w:marRight w:val="0"/>
      <w:marTop w:val="0"/>
      <w:marBottom w:val="0"/>
      <w:divBdr>
        <w:top w:val="none" w:sz="0" w:space="0" w:color="auto"/>
        <w:left w:val="none" w:sz="0" w:space="0" w:color="auto"/>
        <w:bottom w:val="none" w:sz="0" w:space="0" w:color="auto"/>
        <w:right w:val="none" w:sz="0" w:space="0" w:color="auto"/>
      </w:divBdr>
    </w:div>
    <w:div w:id="1177035643">
      <w:bodyDiv w:val="1"/>
      <w:marLeft w:val="0"/>
      <w:marRight w:val="0"/>
      <w:marTop w:val="0"/>
      <w:marBottom w:val="0"/>
      <w:divBdr>
        <w:top w:val="none" w:sz="0" w:space="0" w:color="auto"/>
        <w:left w:val="none" w:sz="0" w:space="0" w:color="auto"/>
        <w:bottom w:val="none" w:sz="0" w:space="0" w:color="auto"/>
        <w:right w:val="none" w:sz="0" w:space="0" w:color="auto"/>
      </w:divBdr>
    </w:div>
    <w:div w:id="1187252763">
      <w:bodyDiv w:val="1"/>
      <w:marLeft w:val="0"/>
      <w:marRight w:val="0"/>
      <w:marTop w:val="0"/>
      <w:marBottom w:val="0"/>
      <w:divBdr>
        <w:top w:val="none" w:sz="0" w:space="0" w:color="auto"/>
        <w:left w:val="none" w:sz="0" w:space="0" w:color="auto"/>
        <w:bottom w:val="none" w:sz="0" w:space="0" w:color="auto"/>
        <w:right w:val="none" w:sz="0" w:space="0" w:color="auto"/>
      </w:divBdr>
    </w:div>
    <w:div w:id="1209340266">
      <w:bodyDiv w:val="1"/>
      <w:marLeft w:val="0"/>
      <w:marRight w:val="0"/>
      <w:marTop w:val="0"/>
      <w:marBottom w:val="0"/>
      <w:divBdr>
        <w:top w:val="none" w:sz="0" w:space="0" w:color="auto"/>
        <w:left w:val="none" w:sz="0" w:space="0" w:color="auto"/>
        <w:bottom w:val="none" w:sz="0" w:space="0" w:color="auto"/>
        <w:right w:val="none" w:sz="0" w:space="0" w:color="auto"/>
      </w:divBdr>
    </w:div>
    <w:div w:id="1214266713">
      <w:bodyDiv w:val="1"/>
      <w:marLeft w:val="0"/>
      <w:marRight w:val="0"/>
      <w:marTop w:val="0"/>
      <w:marBottom w:val="0"/>
      <w:divBdr>
        <w:top w:val="none" w:sz="0" w:space="0" w:color="auto"/>
        <w:left w:val="none" w:sz="0" w:space="0" w:color="auto"/>
        <w:bottom w:val="none" w:sz="0" w:space="0" w:color="auto"/>
        <w:right w:val="none" w:sz="0" w:space="0" w:color="auto"/>
      </w:divBdr>
    </w:div>
    <w:div w:id="1226523952">
      <w:bodyDiv w:val="1"/>
      <w:marLeft w:val="0"/>
      <w:marRight w:val="0"/>
      <w:marTop w:val="0"/>
      <w:marBottom w:val="0"/>
      <w:divBdr>
        <w:top w:val="none" w:sz="0" w:space="0" w:color="auto"/>
        <w:left w:val="none" w:sz="0" w:space="0" w:color="auto"/>
        <w:bottom w:val="none" w:sz="0" w:space="0" w:color="auto"/>
        <w:right w:val="none" w:sz="0" w:space="0" w:color="auto"/>
      </w:divBdr>
    </w:div>
    <w:div w:id="1243877279">
      <w:bodyDiv w:val="1"/>
      <w:marLeft w:val="0"/>
      <w:marRight w:val="0"/>
      <w:marTop w:val="0"/>
      <w:marBottom w:val="0"/>
      <w:divBdr>
        <w:top w:val="none" w:sz="0" w:space="0" w:color="auto"/>
        <w:left w:val="none" w:sz="0" w:space="0" w:color="auto"/>
        <w:bottom w:val="none" w:sz="0" w:space="0" w:color="auto"/>
        <w:right w:val="none" w:sz="0" w:space="0" w:color="auto"/>
      </w:divBdr>
      <w:divsChild>
        <w:div w:id="805392816">
          <w:marLeft w:val="0"/>
          <w:marRight w:val="0"/>
          <w:marTop w:val="0"/>
          <w:marBottom w:val="0"/>
          <w:divBdr>
            <w:top w:val="none" w:sz="0" w:space="0" w:color="auto"/>
            <w:left w:val="none" w:sz="0" w:space="0" w:color="auto"/>
            <w:bottom w:val="none" w:sz="0" w:space="0" w:color="auto"/>
            <w:right w:val="none" w:sz="0" w:space="0" w:color="auto"/>
          </w:divBdr>
          <w:divsChild>
            <w:div w:id="417365696">
              <w:marLeft w:val="0"/>
              <w:marRight w:val="0"/>
              <w:marTop w:val="0"/>
              <w:marBottom w:val="0"/>
              <w:divBdr>
                <w:top w:val="none" w:sz="0" w:space="0" w:color="auto"/>
                <w:left w:val="none" w:sz="0" w:space="0" w:color="auto"/>
                <w:bottom w:val="none" w:sz="0" w:space="0" w:color="auto"/>
                <w:right w:val="none" w:sz="0" w:space="0" w:color="auto"/>
              </w:divBdr>
            </w:div>
            <w:div w:id="2065911427">
              <w:marLeft w:val="0"/>
              <w:marRight w:val="0"/>
              <w:marTop w:val="120"/>
              <w:marBottom w:val="0"/>
              <w:divBdr>
                <w:top w:val="none" w:sz="0" w:space="0" w:color="auto"/>
                <w:left w:val="none" w:sz="0" w:space="0" w:color="auto"/>
                <w:bottom w:val="none" w:sz="0" w:space="0" w:color="auto"/>
                <w:right w:val="none" w:sz="0" w:space="0" w:color="auto"/>
              </w:divBdr>
            </w:div>
          </w:divsChild>
        </w:div>
        <w:div w:id="1387797141">
          <w:marLeft w:val="0"/>
          <w:marRight w:val="0"/>
          <w:marTop w:val="0"/>
          <w:marBottom w:val="0"/>
          <w:divBdr>
            <w:top w:val="none" w:sz="0" w:space="0" w:color="auto"/>
            <w:left w:val="none" w:sz="0" w:space="0" w:color="auto"/>
            <w:bottom w:val="none" w:sz="0" w:space="0" w:color="auto"/>
            <w:right w:val="none" w:sz="0" w:space="0" w:color="auto"/>
          </w:divBdr>
          <w:divsChild>
            <w:div w:id="334771013">
              <w:marLeft w:val="0"/>
              <w:marRight w:val="0"/>
              <w:marTop w:val="120"/>
              <w:marBottom w:val="0"/>
              <w:divBdr>
                <w:top w:val="none" w:sz="0" w:space="0" w:color="auto"/>
                <w:left w:val="none" w:sz="0" w:space="0" w:color="auto"/>
                <w:bottom w:val="none" w:sz="0" w:space="0" w:color="auto"/>
                <w:right w:val="none" w:sz="0" w:space="0" w:color="auto"/>
              </w:divBdr>
            </w:div>
            <w:div w:id="1814902706">
              <w:marLeft w:val="0"/>
              <w:marRight w:val="0"/>
              <w:marTop w:val="0"/>
              <w:marBottom w:val="0"/>
              <w:divBdr>
                <w:top w:val="none" w:sz="0" w:space="0" w:color="auto"/>
                <w:left w:val="none" w:sz="0" w:space="0" w:color="auto"/>
                <w:bottom w:val="none" w:sz="0" w:space="0" w:color="auto"/>
                <w:right w:val="none" w:sz="0" w:space="0" w:color="auto"/>
              </w:divBdr>
            </w:div>
          </w:divsChild>
        </w:div>
        <w:div w:id="1639188774">
          <w:marLeft w:val="0"/>
          <w:marRight w:val="0"/>
          <w:marTop w:val="0"/>
          <w:marBottom w:val="0"/>
          <w:divBdr>
            <w:top w:val="none" w:sz="0" w:space="0" w:color="auto"/>
            <w:left w:val="none" w:sz="0" w:space="0" w:color="auto"/>
            <w:bottom w:val="none" w:sz="0" w:space="0" w:color="auto"/>
            <w:right w:val="none" w:sz="0" w:space="0" w:color="auto"/>
          </w:divBdr>
          <w:divsChild>
            <w:div w:id="27292412">
              <w:marLeft w:val="0"/>
              <w:marRight w:val="0"/>
              <w:marTop w:val="0"/>
              <w:marBottom w:val="0"/>
              <w:divBdr>
                <w:top w:val="none" w:sz="0" w:space="0" w:color="auto"/>
                <w:left w:val="none" w:sz="0" w:space="0" w:color="auto"/>
                <w:bottom w:val="none" w:sz="0" w:space="0" w:color="auto"/>
                <w:right w:val="none" w:sz="0" w:space="0" w:color="auto"/>
              </w:divBdr>
            </w:div>
            <w:div w:id="17228249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48684472">
      <w:bodyDiv w:val="1"/>
      <w:marLeft w:val="0"/>
      <w:marRight w:val="0"/>
      <w:marTop w:val="0"/>
      <w:marBottom w:val="0"/>
      <w:divBdr>
        <w:top w:val="none" w:sz="0" w:space="0" w:color="auto"/>
        <w:left w:val="none" w:sz="0" w:space="0" w:color="auto"/>
        <w:bottom w:val="none" w:sz="0" w:space="0" w:color="auto"/>
        <w:right w:val="none" w:sz="0" w:space="0" w:color="auto"/>
      </w:divBdr>
      <w:divsChild>
        <w:div w:id="258489510">
          <w:marLeft w:val="600"/>
          <w:marRight w:val="0"/>
          <w:marTop w:val="0"/>
          <w:marBottom w:val="0"/>
          <w:divBdr>
            <w:top w:val="none" w:sz="0" w:space="0" w:color="auto"/>
            <w:left w:val="none" w:sz="0" w:space="0" w:color="auto"/>
            <w:bottom w:val="none" w:sz="0" w:space="0" w:color="auto"/>
            <w:right w:val="none" w:sz="0" w:space="0" w:color="auto"/>
          </w:divBdr>
        </w:div>
        <w:div w:id="1774739319">
          <w:marLeft w:val="600"/>
          <w:marRight w:val="0"/>
          <w:marTop w:val="0"/>
          <w:marBottom w:val="0"/>
          <w:divBdr>
            <w:top w:val="none" w:sz="0" w:space="0" w:color="auto"/>
            <w:left w:val="none" w:sz="0" w:space="0" w:color="auto"/>
            <w:bottom w:val="none" w:sz="0" w:space="0" w:color="auto"/>
            <w:right w:val="none" w:sz="0" w:space="0" w:color="auto"/>
          </w:divBdr>
        </w:div>
      </w:divsChild>
    </w:div>
    <w:div w:id="1350790194">
      <w:bodyDiv w:val="1"/>
      <w:marLeft w:val="0"/>
      <w:marRight w:val="0"/>
      <w:marTop w:val="0"/>
      <w:marBottom w:val="0"/>
      <w:divBdr>
        <w:top w:val="none" w:sz="0" w:space="0" w:color="auto"/>
        <w:left w:val="none" w:sz="0" w:space="0" w:color="auto"/>
        <w:bottom w:val="none" w:sz="0" w:space="0" w:color="auto"/>
        <w:right w:val="none" w:sz="0" w:space="0" w:color="auto"/>
      </w:divBdr>
    </w:div>
    <w:div w:id="1419713620">
      <w:bodyDiv w:val="1"/>
      <w:marLeft w:val="0"/>
      <w:marRight w:val="0"/>
      <w:marTop w:val="0"/>
      <w:marBottom w:val="0"/>
      <w:divBdr>
        <w:top w:val="none" w:sz="0" w:space="0" w:color="auto"/>
        <w:left w:val="none" w:sz="0" w:space="0" w:color="auto"/>
        <w:bottom w:val="none" w:sz="0" w:space="0" w:color="auto"/>
        <w:right w:val="none" w:sz="0" w:space="0" w:color="auto"/>
      </w:divBdr>
    </w:div>
    <w:div w:id="1429429808">
      <w:bodyDiv w:val="1"/>
      <w:marLeft w:val="0"/>
      <w:marRight w:val="0"/>
      <w:marTop w:val="0"/>
      <w:marBottom w:val="0"/>
      <w:divBdr>
        <w:top w:val="none" w:sz="0" w:space="0" w:color="auto"/>
        <w:left w:val="none" w:sz="0" w:space="0" w:color="auto"/>
        <w:bottom w:val="none" w:sz="0" w:space="0" w:color="auto"/>
        <w:right w:val="none" w:sz="0" w:space="0" w:color="auto"/>
      </w:divBdr>
    </w:div>
    <w:div w:id="1475443722">
      <w:bodyDiv w:val="1"/>
      <w:marLeft w:val="0"/>
      <w:marRight w:val="0"/>
      <w:marTop w:val="0"/>
      <w:marBottom w:val="0"/>
      <w:divBdr>
        <w:top w:val="none" w:sz="0" w:space="0" w:color="auto"/>
        <w:left w:val="none" w:sz="0" w:space="0" w:color="auto"/>
        <w:bottom w:val="none" w:sz="0" w:space="0" w:color="auto"/>
        <w:right w:val="none" w:sz="0" w:space="0" w:color="auto"/>
      </w:divBdr>
    </w:div>
    <w:div w:id="1518810408">
      <w:bodyDiv w:val="1"/>
      <w:marLeft w:val="0"/>
      <w:marRight w:val="0"/>
      <w:marTop w:val="0"/>
      <w:marBottom w:val="0"/>
      <w:divBdr>
        <w:top w:val="none" w:sz="0" w:space="0" w:color="auto"/>
        <w:left w:val="none" w:sz="0" w:space="0" w:color="auto"/>
        <w:bottom w:val="none" w:sz="0" w:space="0" w:color="auto"/>
        <w:right w:val="none" w:sz="0" w:space="0" w:color="auto"/>
      </w:divBdr>
    </w:div>
    <w:div w:id="1519077635">
      <w:bodyDiv w:val="1"/>
      <w:marLeft w:val="0"/>
      <w:marRight w:val="0"/>
      <w:marTop w:val="0"/>
      <w:marBottom w:val="0"/>
      <w:divBdr>
        <w:top w:val="none" w:sz="0" w:space="0" w:color="auto"/>
        <w:left w:val="none" w:sz="0" w:space="0" w:color="auto"/>
        <w:bottom w:val="none" w:sz="0" w:space="0" w:color="auto"/>
        <w:right w:val="none" w:sz="0" w:space="0" w:color="auto"/>
      </w:divBdr>
    </w:div>
    <w:div w:id="1548105191">
      <w:bodyDiv w:val="1"/>
      <w:marLeft w:val="0"/>
      <w:marRight w:val="0"/>
      <w:marTop w:val="0"/>
      <w:marBottom w:val="0"/>
      <w:divBdr>
        <w:top w:val="none" w:sz="0" w:space="0" w:color="auto"/>
        <w:left w:val="none" w:sz="0" w:space="0" w:color="auto"/>
        <w:bottom w:val="none" w:sz="0" w:space="0" w:color="auto"/>
        <w:right w:val="none" w:sz="0" w:space="0" w:color="auto"/>
      </w:divBdr>
      <w:divsChild>
        <w:div w:id="1056244928">
          <w:marLeft w:val="600"/>
          <w:marRight w:val="0"/>
          <w:marTop w:val="0"/>
          <w:marBottom w:val="0"/>
          <w:divBdr>
            <w:top w:val="none" w:sz="0" w:space="0" w:color="auto"/>
            <w:left w:val="none" w:sz="0" w:space="0" w:color="auto"/>
            <w:bottom w:val="none" w:sz="0" w:space="0" w:color="auto"/>
            <w:right w:val="none" w:sz="0" w:space="0" w:color="auto"/>
          </w:divBdr>
        </w:div>
        <w:div w:id="1280145148">
          <w:marLeft w:val="600"/>
          <w:marRight w:val="0"/>
          <w:marTop w:val="0"/>
          <w:marBottom w:val="0"/>
          <w:divBdr>
            <w:top w:val="none" w:sz="0" w:space="0" w:color="auto"/>
            <w:left w:val="none" w:sz="0" w:space="0" w:color="auto"/>
            <w:bottom w:val="none" w:sz="0" w:space="0" w:color="auto"/>
            <w:right w:val="none" w:sz="0" w:space="0" w:color="auto"/>
          </w:divBdr>
        </w:div>
      </w:divsChild>
    </w:div>
    <w:div w:id="1553733722">
      <w:bodyDiv w:val="1"/>
      <w:marLeft w:val="0"/>
      <w:marRight w:val="0"/>
      <w:marTop w:val="0"/>
      <w:marBottom w:val="0"/>
      <w:divBdr>
        <w:top w:val="none" w:sz="0" w:space="0" w:color="auto"/>
        <w:left w:val="none" w:sz="0" w:space="0" w:color="auto"/>
        <w:bottom w:val="none" w:sz="0" w:space="0" w:color="auto"/>
        <w:right w:val="none" w:sz="0" w:space="0" w:color="auto"/>
      </w:divBdr>
    </w:div>
    <w:div w:id="1633438071">
      <w:bodyDiv w:val="1"/>
      <w:marLeft w:val="0"/>
      <w:marRight w:val="0"/>
      <w:marTop w:val="0"/>
      <w:marBottom w:val="0"/>
      <w:divBdr>
        <w:top w:val="none" w:sz="0" w:space="0" w:color="auto"/>
        <w:left w:val="none" w:sz="0" w:space="0" w:color="auto"/>
        <w:bottom w:val="none" w:sz="0" w:space="0" w:color="auto"/>
        <w:right w:val="none" w:sz="0" w:space="0" w:color="auto"/>
      </w:divBdr>
    </w:div>
    <w:div w:id="1684551363">
      <w:bodyDiv w:val="1"/>
      <w:marLeft w:val="0"/>
      <w:marRight w:val="0"/>
      <w:marTop w:val="0"/>
      <w:marBottom w:val="0"/>
      <w:divBdr>
        <w:top w:val="none" w:sz="0" w:space="0" w:color="auto"/>
        <w:left w:val="none" w:sz="0" w:space="0" w:color="auto"/>
        <w:bottom w:val="none" w:sz="0" w:space="0" w:color="auto"/>
        <w:right w:val="none" w:sz="0" w:space="0" w:color="auto"/>
      </w:divBdr>
    </w:div>
    <w:div w:id="1798836735">
      <w:bodyDiv w:val="1"/>
      <w:marLeft w:val="0"/>
      <w:marRight w:val="0"/>
      <w:marTop w:val="0"/>
      <w:marBottom w:val="0"/>
      <w:divBdr>
        <w:top w:val="none" w:sz="0" w:space="0" w:color="auto"/>
        <w:left w:val="none" w:sz="0" w:space="0" w:color="auto"/>
        <w:bottom w:val="none" w:sz="0" w:space="0" w:color="auto"/>
        <w:right w:val="none" w:sz="0" w:space="0" w:color="auto"/>
      </w:divBdr>
    </w:div>
    <w:div w:id="1819612950">
      <w:bodyDiv w:val="1"/>
      <w:marLeft w:val="0"/>
      <w:marRight w:val="0"/>
      <w:marTop w:val="0"/>
      <w:marBottom w:val="0"/>
      <w:divBdr>
        <w:top w:val="none" w:sz="0" w:space="0" w:color="auto"/>
        <w:left w:val="none" w:sz="0" w:space="0" w:color="auto"/>
        <w:bottom w:val="none" w:sz="0" w:space="0" w:color="auto"/>
        <w:right w:val="none" w:sz="0" w:space="0" w:color="auto"/>
      </w:divBdr>
    </w:div>
    <w:div w:id="1829244982">
      <w:bodyDiv w:val="1"/>
      <w:marLeft w:val="0"/>
      <w:marRight w:val="0"/>
      <w:marTop w:val="0"/>
      <w:marBottom w:val="0"/>
      <w:divBdr>
        <w:top w:val="none" w:sz="0" w:space="0" w:color="auto"/>
        <w:left w:val="none" w:sz="0" w:space="0" w:color="auto"/>
        <w:bottom w:val="none" w:sz="0" w:space="0" w:color="auto"/>
        <w:right w:val="none" w:sz="0" w:space="0" w:color="auto"/>
      </w:divBdr>
    </w:div>
    <w:div w:id="1863787419">
      <w:bodyDiv w:val="1"/>
      <w:marLeft w:val="0"/>
      <w:marRight w:val="0"/>
      <w:marTop w:val="0"/>
      <w:marBottom w:val="0"/>
      <w:divBdr>
        <w:top w:val="none" w:sz="0" w:space="0" w:color="auto"/>
        <w:left w:val="none" w:sz="0" w:space="0" w:color="auto"/>
        <w:bottom w:val="none" w:sz="0" w:space="0" w:color="auto"/>
        <w:right w:val="none" w:sz="0" w:space="0" w:color="auto"/>
      </w:divBdr>
    </w:div>
    <w:div w:id="1922448167">
      <w:bodyDiv w:val="1"/>
      <w:marLeft w:val="0"/>
      <w:marRight w:val="0"/>
      <w:marTop w:val="0"/>
      <w:marBottom w:val="0"/>
      <w:divBdr>
        <w:top w:val="none" w:sz="0" w:space="0" w:color="auto"/>
        <w:left w:val="none" w:sz="0" w:space="0" w:color="auto"/>
        <w:bottom w:val="none" w:sz="0" w:space="0" w:color="auto"/>
        <w:right w:val="none" w:sz="0" w:space="0" w:color="auto"/>
      </w:divBdr>
    </w:div>
    <w:div w:id="2061198997">
      <w:bodyDiv w:val="1"/>
      <w:marLeft w:val="0"/>
      <w:marRight w:val="0"/>
      <w:marTop w:val="0"/>
      <w:marBottom w:val="0"/>
      <w:divBdr>
        <w:top w:val="none" w:sz="0" w:space="0" w:color="auto"/>
        <w:left w:val="none" w:sz="0" w:space="0" w:color="auto"/>
        <w:bottom w:val="none" w:sz="0" w:space="0" w:color="auto"/>
        <w:right w:val="none" w:sz="0" w:space="0" w:color="auto"/>
      </w:divBdr>
    </w:div>
    <w:div w:id="2086029084">
      <w:bodyDiv w:val="1"/>
      <w:marLeft w:val="0"/>
      <w:marRight w:val="0"/>
      <w:marTop w:val="0"/>
      <w:marBottom w:val="0"/>
      <w:divBdr>
        <w:top w:val="none" w:sz="0" w:space="0" w:color="auto"/>
        <w:left w:val="none" w:sz="0" w:space="0" w:color="auto"/>
        <w:bottom w:val="none" w:sz="0" w:space="0" w:color="auto"/>
        <w:right w:val="none" w:sz="0" w:space="0" w:color="auto"/>
      </w:divBdr>
    </w:div>
    <w:div w:id="2107920463">
      <w:bodyDiv w:val="1"/>
      <w:marLeft w:val="0"/>
      <w:marRight w:val="0"/>
      <w:marTop w:val="0"/>
      <w:marBottom w:val="0"/>
      <w:divBdr>
        <w:top w:val="none" w:sz="0" w:space="0" w:color="auto"/>
        <w:left w:val="none" w:sz="0" w:space="0" w:color="auto"/>
        <w:bottom w:val="none" w:sz="0" w:space="0" w:color="auto"/>
        <w:right w:val="none" w:sz="0" w:space="0" w:color="auto"/>
      </w:divBdr>
    </w:div>
    <w:div w:id="211952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reg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8" ma:contentTypeDescription="Create a new document." ma:contentTypeScope="" ma:versionID="0be2b54296cdf02bfd70f4946b2ba631">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cebd06088328ff8fcb011df30d2e2a91"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2D59E-10A1-4042-B5CB-1A2048BF0EED}">
  <ds:schemaRefs>
    <ds:schemaRef ds:uri="http://schemas.microsoft.com/sharepoint/v3/contenttype/forms"/>
  </ds:schemaRefs>
</ds:datastoreItem>
</file>

<file path=customXml/itemProps2.xml><?xml version="1.0" encoding="utf-8"?>
<ds:datastoreItem xmlns:ds="http://schemas.openxmlformats.org/officeDocument/2006/customXml" ds:itemID="{D2D21334-ADF9-4DA3-8EC8-E6FB862EE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7890-6196-4e26-9dd2-53178dae8e48"/>
    <ds:schemaRef ds:uri="faa54b14-608b-44ba-8621-4287d9574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193AD6-1336-4B87-8A40-37C496BAFF7E}">
  <ds:schemaRefs>
    <ds:schemaRef ds:uri="http://schemas.microsoft.com/office/2006/documentManagement/types"/>
    <ds:schemaRef ds:uri="http://purl.org/dc/elements/1.1/"/>
    <ds:schemaRef ds:uri="http://schemas.microsoft.com/office/infopath/2007/PartnerControls"/>
    <ds:schemaRef ds:uri="http://www.w3.org/XML/1998/namespace"/>
    <ds:schemaRef ds:uri="33e07890-6196-4e26-9dd2-53178dae8e48"/>
    <ds:schemaRef ds:uri="http://purl.org/dc/dcmitype/"/>
    <ds:schemaRef ds:uri="http://purl.org/dc/terms/"/>
    <ds:schemaRef ds:uri="http://schemas.openxmlformats.org/package/2006/metadata/core-properties"/>
    <ds:schemaRef ds:uri="faa54b14-608b-44ba-8621-4287d9574b27"/>
    <ds:schemaRef ds:uri="http://schemas.microsoft.com/office/2006/metadata/properties"/>
  </ds:schemaRefs>
</ds:datastoreItem>
</file>

<file path=customXml/itemProps4.xml><?xml version="1.0" encoding="utf-8"?>
<ds:datastoreItem xmlns:ds="http://schemas.openxmlformats.org/officeDocument/2006/customXml" ds:itemID="{2F8C1386-7DA4-4C98-A126-124BDAA07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3684</Words>
  <Characters>21002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WEEE Report on delegation of powers</vt:lpstr>
    </vt:vector>
  </TitlesOfParts>
  <Manager/>
  <Company/>
  <LinksUpToDate>false</LinksUpToDate>
  <CharactersWithSpaces>24637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WEEE Report on delegation of powers</dc:title>
  <dc:subject/>
  <dc:creator/>
  <cp:keywords/>
  <dc:description/>
  <cp:lastModifiedBy>EC CoDe</cp:lastModifiedBy>
  <cp:revision>7</cp:revision>
  <cp:lastPrinted>2017-02-24T17:28:00Z</cp:lastPrinted>
  <dcterms:created xsi:type="dcterms:W3CDTF">2024-09-12T07:21:00Z</dcterms:created>
  <dcterms:modified xsi:type="dcterms:W3CDTF">2024-10-08T08:10:00Z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9.0, Build 20230317</vt:lpwstr>
  </property>
  <property fmtid="{D5CDD505-2E9C-101B-9397-08002B2CF9AE}" pid="7" name="CPTemplateID">
    <vt:lpwstr>CP-006</vt:lpwstr>
  </property>
  <property fmtid="{D5CDD505-2E9C-101B-9397-08002B2CF9AE}" pid="8" name="MSIP_Label_6bd9ddd1-4d20-43f6-abfa-fc3c07406f94_Enabled">
    <vt:lpwstr>true</vt:lpwstr>
  </property>
  <property fmtid="{D5CDD505-2E9C-101B-9397-08002B2CF9AE}" pid="9" name="MSIP_Label_6bd9ddd1-4d20-43f6-abfa-fc3c07406f94_SetDate">
    <vt:lpwstr>2023-01-31T14:43:04Z</vt:lpwstr>
  </property>
  <property fmtid="{D5CDD505-2E9C-101B-9397-08002B2CF9AE}" pid="10" name="MSIP_Label_6bd9ddd1-4d20-43f6-abfa-fc3c07406f94_Method">
    <vt:lpwstr>Standard</vt:lpwstr>
  </property>
  <property fmtid="{D5CDD505-2E9C-101B-9397-08002B2CF9AE}" pid="11" name="MSIP_Label_6bd9ddd1-4d20-43f6-abfa-fc3c07406f94_Name">
    <vt:lpwstr>Commission Use</vt:lpwstr>
  </property>
  <property fmtid="{D5CDD505-2E9C-101B-9397-08002B2CF9AE}" pid="12" name="MSIP_Label_6bd9ddd1-4d20-43f6-abfa-fc3c07406f94_SiteId">
    <vt:lpwstr>b24c8b06-522c-46fe-9080-70926f8dddb1</vt:lpwstr>
  </property>
  <property fmtid="{D5CDD505-2E9C-101B-9397-08002B2CF9AE}" pid="13" name="MSIP_Label_6bd9ddd1-4d20-43f6-abfa-fc3c07406f94_ActionId">
    <vt:lpwstr>05efc465-640e-4739-b61d-bf3a628e3852</vt:lpwstr>
  </property>
  <property fmtid="{D5CDD505-2E9C-101B-9397-08002B2CF9AE}" pid="14" name="MSIP_Label_6bd9ddd1-4d20-43f6-abfa-fc3c07406f94_ContentBits">
    <vt:lpwstr>0</vt:lpwstr>
  </property>
  <property fmtid="{D5CDD505-2E9C-101B-9397-08002B2CF9AE}" pid="15" name="ContentTypeId">
    <vt:lpwstr>0x010100ECFDF3D715AA394A9B15E0E0FAA07E37</vt:lpwstr>
  </property>
</Properties>
</file>