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B4" w:rsidRDefault="0042404C" w:rsidP="0042404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16A7494-B269-46D0-884C-AF45E9DE2C11" style="width:455.25pt;height:369.75pt">
            <v:imagedata r:id="rId8" o:title=""/>
          </v:shape>
        </w:pict>
      </w:r>
    </w:p>
    <w:p w:rsidR="00EA4AB4" w:rsidRDefault="00EA4AB4" w:rsidP="00EA4AB4">
      <w:pPr>
        <w:rPr>
          <w:noProof/>
        </w:rPr>
        <w:sectPr w:rsidR="00EA4AB4" w:rsidSect="0042404C">
          <w:footerReference w:type="even" r:id="rId9"/>
          <w:footerReference w:type="default" r:id="rId10"/>
          <w:footnotePr>
            <w:numRestart w:val="eachSect"/>
          </w:footnotePr>
          <w:pgSz w:w="11907" w:h="16839"/>
          <w:pgMar w:top="1134" w:right="1417" w:bottom="1134" w:left="1417" w:header="709" w:footer="709" w:gutter="0"/>
          <w:pgNumType w:start="0"/>
          <w:cols w:space="720"/>
          <w:docGrid w:linePitch="360"/>
        </w:sectPr>
      </w:pPr>
    </w:p>
    <w:p w:rsidR="00EA4AB4" w:rsidRDefault="00EA4AB4" w:rsidP="00BB6B30">
      <w:pPr>
        <w:pStyle w:val="Exposdesmotifstitre"/>
        <w:rPr>
          <w:noProof/>
        </w:rPr>
      </w:pPr>
      <w:bookmarkStart w:id="0" w:name="_GoBack"/>
      <w:bookmarkEnd w:id="0"/>
      <w:r w:rsidRPr="006F770D">
        <w:rPr>
          <w:noProof/>
        </w:rPr>
        <w:lastRenderedPageBreak/>
        <w:t>EXPLANATORY MEMORANDUM</w:t>
      </w:r>
    </w:p>
    <w:p w:rsidR="00EA4AB4" w:rsidRDefault="00EA4AB4" w:rsidP="00BB6B30">
      <w:pPr>
        <w:pStyle w:val="ManualHeading1"/>
        <w:rPr>
          <w:noProof/>
        </w:rPr>
      </w:pPr>
      <w:r w:rsidRPr="00C567EE">
        <w:rPr>
          <w:noProof/>
        </w:rPr>
        <w:t>1.</w:t>
      </w:r>
      <w:r w:rsidRPr="00C567EE">
        <w:rPr>
          <w:noProof/>
        </w:rPr>
        <w:tab/>
      </w:r>
      <w:r w:rsidRPr="006F770D">
        <w:rPr>
          <w:noProof/>
        </w:rPr>
        <w:t>CONTEXT OF THE PROPOSAL</w:t>
      </w:r>
    </w:p>
    <w:p w:rsidR="00A85EDF" w:rsidRPr="007305D0" w:rsidRDefault="00EA4AB4" w:rsidP="0004405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00A85EDF" w:rsidRPr="007305D0">
        <w:rPr>
          <w:rFonts w:eastAsia="Arial Unicode MS"/>
          <w:noProof/>
          <w:color w:val="000000"/>
          <w:u w:color="000000"/>
          <w:bdr w:val="nil"/>
          <w:lang w:val="en-US" w:eastAsia="en-GB"/>
        </w:rPr>
        <w:t xml:space="preserve">The International Health Regulations (2005) and the </w:t>
      </w:r>
      <w:r w:rsidR="009F756D" w:rsidRPr="007305D0">
        <w:rPr>
          <w:rFonts w:eastAsia="Arial Unicode MS"/>
          <w:noProof/>
          <w:color w:val="000000"/>
          <w:u w:color="000000"/>
          <w:bdr w:val="nil"/>
          <w:lang w:val="en-US" w:eastAsia="en-GB"/>
        </w:rPr>
        <w:t>process for the negotiations of amendments</w:t>
      </w:r>
    </w:p>
    <w:p w:rsidR="004C4095" w:rsidRPr="007305D0" w:rsidRDefault="004C4095" w:rsidP="005D7129">
      <w:pPr>
        <w:rPr>
          <w:noProof/>
          <w:lang w:val="en-US" w:eastAsia="en-GB"/>
        </w:rPr>
      </w:pPr>
      <w:r w:rsidRPr="007305D0">
        <w:rPr>
          <w:noProof/>
          <w:lang w:val="en-US" w:eastAsia="en-GB"/>
        </w:rPr>
        <w:t xml:space="preserve">The International Health Regulations </w:t>
      </w:r>
      <w:r w:rsidR="004E2E92" w:rsidRPr="007305D0">
        <w:rPr>
          <w:noProof/>
          <w:lang w:val="en-US" w:eastAsia="en-GB"/>
        </w:rPr>
        <w:t xml:space="preserve">(2005) </w:t>
      </w:r>
      <w:r w:rsidRPr="007305D0">
        <w:rPr>
          <w:noProof/>
          <w:lang w:val="en-US" w:eastAsia="en-GB"/>
        </w:rPr>
        <w:t>are an instrument of international law</w:t>
      </w:r>
      <w:r w:rsidR="00BD3E70" w:rsidRPr="007305D0">
        <w:rPr>
          <w:noProof/>
          <w:lang w:val="en-US" w:eastAsia="en-GB"/>
        </w:rPr>
        <w:t xml:space="preserve">, adopted pursuant to Article 21 of the Constitution of the World Health Organization (WHO) </w:t>
      </w:r>
      <w:r w:rsidR="00315288" w:rsidRPr="007305D0">
        <w:rPr>
          <w:noProof/>
          <w:lang w:val="en-US" w:eastAsia="en-GB"/>
        </w:rPr>
        <w:t>in 2005, replacing the Regulations</w:t>
      </w:r>
      <w:r w:rsidR="000A243D" w:rsidRPr="007305D0">
        <w:rPr>
          <w:noProof/>
          <w:lang w:val="en-US" w:eastAsia="en-GB"/>
        </w:rPr>
        <w:t xml:space="preserve"> adopted in 1969</w:t>
      </w:r>
      <w:r w:rsidR="00315288" w:rsidRPr="007305D0">
        <w:rPr>
          <w:noProof/>
          <w:lang w:val="en-US" w:eastAsia="en-GB"/>
        </w:rPr>
        <w:t xml:space="preserve">. They entered into force </w:t>
      </w:r>
      <w:r w:rsidR="004E2E92" w:rsidRPr="007305D0">
        <w:rPr>
          <w:noProof/>
          <w:lang w:val="en-US" w:eastAsia="en-GB"/>
        </w:rPr>
        <w:t>in 200</w:t>
      </w:r>
      <w:r w:rsidR="00315288" w:rsidRPr="007305D0">
        <w:rPr>
          <w:noProof/>
          <w:lang w:val="en-US" w:eastAsia="en-GB"/>
        </w:rPr>
        <w:t>7</w:t>
      </w:r>
      <w:r w:rsidR="004E2E92" w:rsidRPr="007305D0">
        <w:rPr>
          <w:noProof/>
          <w:lang w:val="en-US" w:eastAsia="en-GB"/>
        </w:rPr>
        <w:t xml:space="preserve">. They </w:t>
      </w:r>
      <w:r w:rsidR="00BD3E70" w:rsidRPr="007305D0">
        <w:rPr>
          <w:noProof/>
          <w:lang w:val="en-US" w:eastAsia="en-GB"/>
        </w:rPr>
        <w:t>are</w:t>
      </w:r>
      <w:r w:rsidRPr="007305D0">
        <w:rPr>
          <w:noProof/>
          <w:lang w:val="en-US" w:eastAsia="en-GB"/>
        </w:rPr>
        <w:t xml:space="preserve"> legally-binding on 196 countries, including the 194 </w:t>
      </w:r>
      <w:r w:rsidR="00BD3E70" w:rsidRPr="007305D0">
        <w:rPr>
          <w:noProof/>
          <w:lang w:val="en-US" w:eastAsia="en-GB"/>
        </w:rPr>
        <w:t xml:space="preserve">WHO </w:t>
      </w:r>
      <w:r w:rsidRPr="007305D0">
        <w:rPr>
          <w:noProof/>
          <w:lang w:val="en-US" w:eastAsia="en-GB"/>
        </w:rPr>
        <w:t>Member States, as well as the Holy See and Liechtenstein</w:t>
      </w:r>
      <w:r w:rsidR="00F32301" w:rsidRPr="007305D0">
        <w:rPr>
          <w:noProof/>
          <w:szCs w:val="24"/>
          <w:lang w:val="en-IE"/>
        </w:rPr>
        <w:t>.</w:t>
      </w:r>
      <w:r w:rsidRPr="007305D0">
        <w:rPr>
          <w:noProof/>
          <w:lang w:val="en-US" w:eastAsia="en-GB"/>
        </w:rPr>
        <w:t xml:space="preserve"> The</w:t>
      </w:r>
      <w:r w:rsidR="006F0AA2" w:rsidRPr="007305D0">
        <w:rPr>
          <w:noProof/>
          <w:lang w:val="en-US" w:eastAsia="en-GB"/>
        </w:rPr>
        <w:t xml:space="preserve"> Regulations</w:t>
      </w:r>
      <w:r w:rsidR="008C128D">
        <w:rPr>
          <w:noProof/>
          <w:lang w:val="en-US" w:eastAsia="en-GB"/>
        </w:rPr>
        <w:t>, to which all EU Member States are Parties,</w:t>
      </w:r>
      <w:r w:rsidRPr="007305D0">
        <w:rPr>
          <w:noProof/>
          <w:lang w:val="en-US" w:eastAsia="en-GB"/>
        </w:rPr>
        <w:t xml:space="preserve"> </w:t>
      </w:r>
      <w:r w:rsidR="00BD3E70" w:rsidRPr="007305D0">
        <w:rPr>
          <w:noProof/>
          <w:lang w:val="en-US" w:eastAsia="en-GB"/>
        </w:rPr>
        <w:t>provide an overarching legal framework in the field of</w:t>
      </w:r>
      <w:r w:rsidRPr="007305D0">
        <w:rPr>
          <w:noProof/>
          <w:lang w:val="en-US" w:eastAsia="en-GB"/>
        </w:rPr>
        <w:t xml:space="preserve"> </w:t>
      </w:r>
      <w:r w:rsidR="004E2E92" w:rsidRPr="007305D0">
        <w:rPr>
          <w:noProof/>
          <w:lang w:val="en-US" w:eastAsia="en-GB"/>
        </w:rPr>
        <w:t xml:space="preserve">global </w:t>
      </w:r>
      <w:r w:rsidRPr="007305D0">
        <w:rPr>
          <w:noProof/>
          <w:lang w:val="en-US" w:eastAsia="en-GB"/>
        </w:rPr>
        <w:t xml:space="preserve">health security </w:t>
      </w:r>
      <w:r w:rsidR="00BD3E70" w:rsidRPr="007305D0">
        <w:rPr>
          <w:noProof/>
          <w:lang w:val="en-US" w:eastAsia="en-GB"/>
        </w:rPr>
        <w:t xml:space="preserve">and define </w:t>
      </w:r>
      <w:r w:rsidR="00225BC9" w:rsidRPr="007305D0">
        <w:rPr>
          <w:noProof/>
          <w:lang w:val="en-US" w:eastAsia="en-GB"/>
        </w:rPr>
        <w:t>the Parties</w:t>
      </w:r>
      <w:r w:rsidR="00BD3E70" w:rsidRPr="007305D0">
        <w:rPr>
          <w:noProof/>
          <w:lang w:val="en-US" w:eastAsia="en-GB"/>
        </w:rPr>
        <w:t xml:space="preserve">’ rights and obligations in handling public health events and emergencies </w:t>
      </w:r>
      <w:r w:rsidR="00DE7A85" w:rsidRPr="007305D0">
        <w:rPr>
          <w:noProof/>
          <w:lang w:val="en-US" w:eastAsia="en-GB"/>
        </w:rPr>
        <w:t>t</w:t>
      </w:r>
      <w:r w:rsidR="00BD3E70" w:rsidRPr="007305D0">
        <w:rPr>
          <w:noProof/>
          <w:lang w:val="en-US" w:eastAsia="en-GB"/>
        </w:rPr>
        <w:t xml:space="preserve">hat have </w:t>
      </w:r>
      <w:r w:rsidR="000A243D" w:rsidRPr="007305D0">
        <w:rPr>
          <w:noProof/>
          <w:lang w:val="en-US" w:eastAsia="en-GB"/>
        </w:rPr>
        <w:t>a cross-border</w:t>
      </w:r>
      <w:r w:rsidR="00BD3E70" w:rsidRPr="007305D0">
        <w:rPr>
          <w:noProof/>
          <w:lang w:val="en-US" w:eastAsia="en-GB"/>
        </w:rPr>
        <w:t xml:space="preserve"> potential.</w:t>
      </w:r>
    </w:p>
    <w:p w:rsidR="00DE7A85" w:rsidRPr="007305D0" w:rsidRDefault="004C4095" w:rsidP="00B64A88">
      <w:pPr>
        <w:rPr>
          <w:noProof/>
          <w:szCs w:val="24"/>
          <w:lang w:val="en-IE"/>
        </w:rPr>
      </w:pPr>
      <w:r w:rsidRPr="007305D0">
        <w:rPr>
          <w:noProof/>
          <w:lang w:val="en-US" w:eastAsia="en-GB"/>
        </w:rPr>
        <w:t>I</w:t>
      </w:r>
      <w:r w:rsidR="004E2E92" w:rsidRPr="007305D0">
        <w:rPr>
          <w:noProof/>
          <w:lang w:val="en-US" w:eastAsia="en-GB"/>
        </w:rPr>
        <w:t>n January 2022, i</w:t>
      </w:r>
      <w:r w:rsidRPr="007305D0">
        <w:rPr>
          <w:noProof/>
          <w:lang w:val="en-US" w:eastAsia="en-GB"/>
        </w:rPr>
        <w:t xml:space="preserve">n light of the </w:t>
      </w:r>
      <w:r w:rsidR="000A243D" w:rsidRPr="007305D0">
        <w:rPr>
          <w:noProof/>
          <w:lang w:val="en-US" w:eastAsia="en-GB"/>
        </w:rPr>
        <w:t>lessons learned from</w:t>
      </w:r>
      <w:r w:rsidRPr="007305D0">
        <w:rPr>
          <w:noProof/>
          <w:lang w:val="en-US" w:eastAsia="en-GB"/>
        </w:rPr>
        <w:t xml:space="preserve"> the COVID-19 pandemic, the Executive Board of WHO, through its decision EB</w:t>
      </w:r>
      <w:r w:rsidR="004E2E92" w:rsidRPr="007305D0">
        <w:rPr>
          <w:noProof/>
          <w:lang w:val="en-US" w:eastAsia="en-GB"/>
        </w:rPr>
        <w:t xml:space="preserve"> </w:t>
      </w:r>
      <w:r w:rsidRPr="007305D0">
        <w:rPr>
          <w:noProof/>
          <w:lang w:val="en-US" w:eastAsia="en-GB"/>
        </w:rPr>
        <w:t>150(3)</w:t>
      </w:r>
      <w:r w:rsidR="007235C9" w:rsidRPr="007305D0">
        <w:rPr>
          <w:rStyle w:val="FootnoteReference"/>
          <w:noProof/>
          <w:lang w:val="en-US" w:eastAsia="en-GB"/>
        </w:rPr>
        <w:footnoteReference w:id="1"/>
      </w:r>
      <w:r w:rsidRPr="007305D0">
        <w:rPr>
          <w:noProof/>
          <w:lang w:val="en-US" w:eastAsia="en-GB"/>
        </w:rPr>
        <w:t xml:space="preserve">, urged </w:t>
      </w:r>
      <w:r w:rsidR="00B64A88" w:rsidRPr="007305D0">
        <w:rPr>
          <w:noProof/>
          <w:lang w:val="en-US" w:eastAsia="en-GB"/>
        </w:rPr>
        <w:t>WHO Member States and, where applicable, regional economic integration organisations</w:t>
      </w:r>
      <w:r w:rsidR="0039253A" w:rsidRPr="007305D0">
        <w:rPr>
          <w:noProof/>
          <w:lang w:val="en-US" w:eastAsia="en-GB"/>
        </w:rPr>
        <w:t xml:space="preserve"> (essentially</w:t>
      </w:r>
      <w:r w:rsidR="00B64A88" w:rsidRPr="007305D0">
        <w:rPr>
          <w:noProof/>
          <w:lang w:val="en-US" w:eastAsia="en-GB"/>
        </w:rPr>
        <w:t xml:space="preserve"> the </w:t>
      </w:r>
      <w:r w:rsidR="00BD6A5A" w:rsidRPr="007305D0">
        <w:rPr>
          <w:noProof/>
          <w:lang w:val="en-US" w:eastAsia="en-GB"/>
        </w:rPr>
        <w:t xml:space="preserve">European </w:t>
      </w:r>
      <w:r w:rsidR="00B64A88" w:rsidRPr="007305D0">
        <w:rPr>
          <w:noProof/>
          <w:lang w:val="en-US" w:eastAsia="en-GB"/>
        </w:rPr>
        <w:t>Union</w:t>
      </w:r>
      <w:r w:rsidR="0039253A" w:rsidRPr="007305D0">
        <w:rPr>
          <w:noProof/>
          <w:lang w:val="en-US" w:eastAsia="en-GB"/>
        </w:rPr>
        <w:t>)</w:t>
      </w:r>
      <w:r w:rsidR="00B64A88" w:rsidRPr="007305D0">
        <w:rPr>
          <w:noProof/>
          <w:lang w:val="en-US" w:eastAsia="en-GB"/>
        </w:rPr>
        <w:t xml:space="preserve">, to take all appropriate measures to consider potential amendments to the International Health Regulations (2005) </w:t>
      </w:r>
      <w:r w:rsidRPr="007305D0">
        <w:rPr>
          <w:noProof/>
          <w:lang w:val="en-US" w:eastAsia="en-GB"/>
        </w:rPr>
        <w:t>to strengthen the global preparedness and response capacity to public health emergencies.</w:t>
      </w:r>
      <w:r w:rsidR="00DE7A85" w:rsidRPr="007305D0">
        <w:rPr>
          <w:noProof/>
          <w:szCs w:val="24"/>
          <w:lang w:val="en-IE"/>
        </w:rPr>
        <w:t xml:space="preserve"> The decision of the Executive Board further specified that “</w:t>
      </w:r>
      <w:r w:rsidR="00DE7A85" w:rsidRPr="007305D0">
        <w:rPr>
          <w:i/>
          <w:iCs/>
          <w:noProof/>
          <w:szCs w:val="24"/>
          <w:lang w:val="en-IE"/>
        </w:rPr>
        <w:t>such amendments should be limited in scope and address specific and clearly identified issues, challenges – including equity, technological or other developments – or gaps that could not effectively be addressed otherwise but are critical to supporting effective implementation and compliance of the International Health Regulations (2005) and their universal application for the protection of all people of the world from the international spread of disease in an equitable manner</w:t>
      </w:r>
      <w:r w:rsidR="00DE7A85" w:rsidRPr="007305D0">
        <w:rPr>
          <w:noProof/>
          <w:szCs w:val="24"/>
          <w:lang w:val="en-IE"/>
        </w:rPr>
        <w:t>”.</w:t>
      </w:r>
    </w:p>
    <w:p w:rsidR="004C4095" w:rsidRPr="007305D0" w:rsidRDefault="00DE7A85" w:rsidP="005D7129">
      <w:pPr>
        <w:rPr>
          <w:noProof/>
          <w:lang w:val="en-US" w:eastAsia="en-GB"/>
        </w:rPr>
      </w:pPr>
      <w:r w:rsidRPr="007305D0">
        <w:rPr>
          <w:noProof/>
          <w:szCs w:val="24"/>
          <w:lang w:val="en-IE"/>
        </w:rPr>
        <w:t>Following the Executive Board</w:t>
      </w:r>
      <w:r w:rsidR="004343CA">
        <w:rPr>
          <w:noProof/>
          <w:szCs w:val="24"/>
          <w:lang w:val="en-IE"/>
        </w:rPr>
        <w:t>’s</w:t>
      </w:r>
      <w:r w:rsidRPr="007305D0">
        <w:rPr>
          <w:noProof/>
          <w:szCs w:val="24"/>
          <w:lang w:val="en-IE"/>
        </w:rPr>
        <w:t xml:space="preserve"> decision, WHO Member States agreed through a decision adopted at the </w:t>
      </w:r>
      <w:r w:rsidR="00BD6A5A" w:rsidRPr="007305D0">
        <w:rPr>
          <w:noProof/>
          <w:szCs w:val="24"/>
          <w:lang w:val="en-IE"/>
        </w:rPr>
        <w:t>Seventy-</w:t>
      </w:r>
      <w:r w:rsidR="008C128D">
        <w:rPr>
          <w:noProof/>
          <w:szCs w:val="24"/>
          <w:lang w:val="en-IE"/>
        </w:rPr>
        <w:t>f</w:t>
      </w:r>
      <w:r w:rsidR="00BD6A5A" w:rsidRPr="007305D0">
        <w:rPr>
          <w:noProof/>
          <w:szCs w:val="24"/>
          <w:lang w:val="en-IE"/>
        </w:rPr>
        <w:t>ifth</w:t>
      </w:r>
      <w:r w:rsidRPr="007305D0">
        <w:rPr>
          <w:noProof/>
          <w:szCs w:val="24"/>
          <w:lang w:val="en-IE"/>
        </w:rPr>
        <w:t xml:space="preserve"> World Health Assembly</w:t>
      </w:r>
      <w:r w:rsidR="007235C9" w:rsidRPr="007305D0">
        <w:rPr>
          <w:rStyle w:val="FootnoteReference"/>
          <w:noProof/>
          <w:szCs w:val="24"/>
          <w:lang w:val="en-IE"/>
        </w:rPr>
        <w:footnoteReference w:id="2"/>
      </w:r>
      <w:r w:rsidRPr="007305D0">
        <w:rPr>
          <w:noProof/>
          <w:szCs w:val="24"/>
          <w:lang w:val="en-IE"/>
        </w:rPr>
        <w:t>, to set a process for the negotiations of targeted amendments to the I</w:t>
      </w:r>
      <w:r w:rsidR="004E2E92" w:rsidRPr="007305D0">
        <w:rPr>
          <w:noProof/>
          <w:szCs w:val="24"/>
          <w:lang w:val="en-IE"/>
        </w:rPr>
        <w:t xml:space="preserve">nternational </w:t>
      </w:r>
      <w:r w:rsidRPr="007305D0">
        <w:rPr>
          <w:noProof/>
          <w:szCs w:val="24"/>
          <w:lang w:val="en-IE"/>
        </w:rPr>
        <w:t>H</w:t>
      </w:r>
      <w:r w:rsidR="004E2E92" w:rsidRPr="007305D0">
        <w:rPr>
          <w:noProof/>
          <w:szCs w:val="24"/>
          <w:lang w:val="en-IE"/>
        </w:rPr>
        <w:t xml:space="preserve">ealth </w:t>
      </w:r>
      <w:r w:rsidRPr="007305D0">
        <w:rPr>
          <w:noProof/>
          <w:szCs w:val="24"/>
          <w:lang w:val="en-IE"/>
        </w:rPr>
        <w:t>R</w:t>
      </w:r>
      <w:r w:rsidR="004E2E92" w:rsidRPr="007305D0">
        <w:rPr>
          <w:noProof/>
          <w:szCs w:val="24"/>
          <w:lang w:val="en-IE"/>
        </w:rPr>
        <w:t>egulations (2005)</w:t>
      </w:r>
      <w:r w:rsidR="00BD6A5A" w:rsidRPr="007305D0">
        <w:rPr>
          <w:noProof/>
          <w:szCs w:val="24"/>
          <w:lang w:val="en-IE"/>
        </w:rPr>
        <w:t>. T</w:t>
      </w:r>
      <w:r w:rsidR="000A243D" w:rsidRPr="007305D0">
        <w:rPr>
          <w:noProof/>
          <w:szCs w:val="24"/>
          <w:lang w:val="en-IE"/>
        </w:rPr>
        <w:t>o this end, t</w:t>
      </w:r>
      <w:r w:rsidR="00BD6A5A" w:rsidRPr="007305D0">
        <w:rPr>
          <w:noProof/>
          <w:szCs w:val="24"/>
          <w:lang w:val="en-IE"/>
        </w:rPr>
        <w:t>hey</w:t>
      </w:r>
      <w:r w:rsidRPr="007305D0">
        <w:rPr>
          <w:noProof/>
          <w:szCs w:val="24"/>
          <w:lang w:val="en-IE"/>
        </w:rPr>
        <w:t xml:space="preserve"> established the Working Group on Amendments to the I</w:t>
      </w:r>
      <w:r w:rsidR="004E2E92" w:rsidRPr="007305D0">
        <w:rPr>
          <w:noProof/>
          <w:szCs w:val="24"/>
          <w:lang w:val="en-IE"/>
        </w:rPr>
        <w:t xml:space="preserve">nternational </w:t>
      </w:r>
      <w:r w:rsidRPr="007305D0">
        <w:rPr>
          <w:noProof/>
          <w:szCs w:val="24"/>
          <w:lang w:val="en-IE"/>
        </w:rPr>
        <w:t>H</w:t>
      </w:r>
      <w:r w:rsidR="004E2E92" w:rsidRPr="007305D0">
        <w:rPr>
          <w:noProof/>
          <w:szCs w:val="24"/>
          <w:lang w:val="en-IE"/>
        </w:rPr>
        <w:t xml:space="preserve">ealth </w:t>
      </w:r>
      <w:r w:rsidRPr="007305D0">
        <w:rPr>
          <w:noProof/>
          <w:szCs w:val="24"/>
          <w:lang w:val="en-IE"/>
        </w:rPr>
        <w:t>R</w:t>
      </w:r>
      <w:r w:rsidR="004E2E92" w:rsidRPr="007305D0">
        <w:rPr>
          <w:noProof/>
          <w:szCs w:val="24"/>
          <w:lang w:val="en-IE"/>
        </w:rPr>
        <w:t>egulations</w:t>
      </w:r>
      <w:r w:rsidRPr="007305D0">
        <w:rPr>
          <w:noProof/>
          <w:szCs w:val="24"/>
          <w:lang w:val="en-IE"/>
        </w:rPr>
        <w:t xml:space="preserve"> (WGIHR), with the task of working “</w:t>
      </w:r>
      <w:r w:rsidRPr="007305D0">
        <w:rPr>
          <w:i/>
          <w:iCs/>
          <w:noProof/>
          <w:szCs w:val="24"/>
          <w:lang w:val="en-IE"/>
        </w:rPr>
        <w:t>exclusively on consideration of proposed targeted amendments to the International Health Regulations (2005), consistent with decision EB150(3) (2022) for consideration by the Seventy-seventh World Health Assembly in 2024</w:t>
      </w:r>
      <w:r w:rsidRPr="007305D0">
        <w:rPr>
          <w:noProof/>
          <w:szCs w:val="24"/>
          <w:lang w:val="en-IE"/>
        </w:rPr>
        <w:t>”.</w:t>
      </w:r>
    </w:p>
    <w:p w:rsidR="004C4095" w:rsidRPr="007305D0" w:rsidRDefault="004E2E92" w:rsidP="005D7129">
      <w:pPr>
        <w:rPr>
          <w:noProof/>
          <w:lang w:val="en-US" w:eastAsia="en-GB"/>
        </w:rPr>
      </w:pPr>
      <w:r w:rsidRPr="007305D0">
        <w:rPr>
          <w:noProof/>
          <w:lang w:val="en-US" w:eastAsia="en-GB"/>
        </w:rPr>
        <w:t xml:space="preserve">Sixteen WHO </w:t>
      </w:r>
      <w:r w:rsidR="00B8130B" w:rsidRPr="007305D0">
        <w:rPr>
          <w:noProof/>
          <w:lang w:val="en-US" w:eastAsia="en-GB"/>
        </w:rPr>
        <w:t>M</w:t>
      </w:r>
      <w:r w:rsidRPr="007305D0">
        <w:rPr>
          <w:noProof/>
          <w:lang w:val="en-US" w:eastAsia="en-GB"/>
        </w:rPr>
        <w:t xml:space="preserve">ember </w:t>
      </w:r>
      <w:r w:rsidR="00B8130B" w:rsidRPr="007305D0">
        <w:rPr>
          <w:noProof/>
          <w:lang w:val="en-US" w:eastAsia="en-GB"/>
        </w:rPr>
        <w:t>S</w:t>
      </w:r>
      <w:r w:rsidRPr="007305D0">
        <w:rPr>
          <w:noProof/>
          <w:lang w:val="en-US" w:eastAsia="en-GB"/>
        </w:rPr>
        <w:t>tates, including four on behalf of regional groups</w:t>
      </w:r>
      <w:r w:rsidR="007235C9" w:rsidRPr="007305D0">
        <w:rPr>
          <w:rStyle w:val="FootnoteReference"/>
          <w:noProof/>
          <w:lang w:val="en-US" w:eastAsia="en-GB"/>
        </w:rPr>
        <w:footnoteReference w:id="3"/>
      </w:r>
      <w:r w:rsidRPr="007305D0">
        <w:rPr>
          <w:noProof/>
          <w:lang w:val="en-US" w:eastAsia="en-GB"/>
        </w:rPr>
        <w:t xml:space="preserve">, submitted </w:t>
      </w:r>
      <w:r w:rsidR="00D26134" w:rsidRPr="007305D0">
        <w:rPr>
          <w:noProof/>
          <w:lang w:val="en-US" w:eastAsia="en-GB"/>
        </w:rPr>
        <w:t>their proposed amendments by the deadline of 30 September 2022, as set out in the Decision of the World Health Assembly. The submissions included more</w:t>
      </w:r>
      <w:r w:rsidRPr="007305D0">
        <w:rPr>
          <w:noProof/>
          <w:lang w:val="en-US" w:eastAsia="en-GB"/>
        </w:rPr>
        <w:t xml:space="preserve"> than 300 amendments – covering 33 of the 66 articles of the I</w:t>
      </w:r>
      <w:r w:rsidR="00BD6A5A" w:rsidRPr="007305D0">
        <w:rPr>
          <w:noProof/>
          <w:lang w:val="en-US" w:eastAsia="en-GB"/>
        </w:rPr>
        <w:t xml:space="preserve">nternational </w:t>
      </w:r>
      <w:r w:rsidRPr="007305D0">
        <w:rPr>
          <w:noProof/>
          <w:lang w:val="en-US" w:eastAsia="en-GB"/>
        </w:rPr>
        <w:t>H</w:t>
      </w:r>
      <w:r w:rsidR="00BD6A5A" w:rsidRPr="007305D0">
        <w:rPr>
          <w:noProof/>
          <w:lang w:val="en-US" w:eastAsia="en-GB"/>
        </w:rPr>
        <w:t xml:space="preserve">ealth </w:t>
      </w:r>
      <w:r w:rsidRPr="007305D0">
        <w:rPr>
          <w:noProof/>
          <w:lang w:val="en-US" w:eastAsia="en-GB"/>
        </w:rPr>
        <w:t>R</w:t>
      </w:r>
      <w:r w:rsidR="00BD6A5A" w:rsidRPr="007305D0">
        <w:rPr>
          <w:noProof/>
          <w:lang w:val="en-US" w:eastAsia="en-GB"/>
        </w:rPr>
        <w:t>egulations (2005)</w:t>
      </w:r>
      <w:r w:rsidRPr="007305D0">
        <w:rPr>
          <w:noProof/>
          <w:lang w:val="en-US" w:eastAsia="en-GB"/>
        </w:rPr>
        <w:t>, and five of its nine annexes – and proposed to introduce six new articles and two new annexes</w:t>
      </w:r>
      <w:r w:rsidR="007235C9" w:rsidRPr="007305D0">
        <w:rPr>
          <w:rStyle w:val="FootnoteReference"/>
          <w:noProof/>
          <w:lang w:val="en-US" w:eastAsia="en-GB"/>
        </w:rPr>
        <w:footnoteReference w:id="4"/>
      </w:r>
      <w:r w:rsidRPr="007305D0">
        <w:rPr>
          <w:noProof/>
          <w:lang w:val="en-US" w:eastAsia="en-GB"/>
        </w:rPr>
        <w:t xml:space="preserve">. </w:t>
      </w:r>
    </w:p>
    <w:p w:rsidR="00D26134" w:rsidRPr="007305D0" w:rsidRDefault="00D26134" w:rsidP="00D26134">
      <w:pPr>
        <w:rPr>
          <w:noProof/>
          <w:szCs w:val="24"/>
          <w:lang w:val="en-IE"/>
        </w:rPr>
      </w:pPr>
      <w:r w:rsidRPr="007305D0">
        <w:rPr>
          <w:noProof/>
          <w:szCs w:val="24"/>
          <w:lang w:val="en-IE"/>
        </w:rPr>
        <w:t>The WGIHR started its work on 14 November 2022 and concluded it on 24 May 2024. The outcome of the WGIHR negotiations</w:t>
      </w:r>
      <w:r w:rsidR="007235C9" w:rsidRPr="007305D0">
        <w:rPr>
          <w:rStyle w:val="FootnoteReference"/>
          <w:noProof/>
          <w:szCs w:val="24"/>
          <w:lang w:val="en-IE"/>
        </w:rPr>
        <w:footnoteReference w:id="5"/>
      </w:r>
      <w:r w:rsidRPr="007305D0">
        <w:rPr>
          <w:noProof/>
          <w:szCs w:val="24"/>
          <w:lang w:val="en-IE"/>
        </w:rPr>
        <w:t xml:space="preserve"> was submitted to the Seventy-seventh World Health Assembly for its consideration. Negotiations on several outstanding issues continued during the week of the World Health Assembly and the Assembly adopted the amendments to the International Health Regulations</w:t>
      </w:r>
      <w:r w:rsidR="00BD6A5A" w:rsidRPr="007305D0">
        <w:rPr>
          <w:noProof/>
          <w:szCs w:val="24"/>
          <w:lang w:val="en-IE"/>
        </w:rPr>
        <w:t xml:space="preserve"> (2005)</w:t>
      </w:r>
      <w:r w:rsidRPr="007305D0">
        <w:rPr>
          <w:noProof/>
          <w:szCs w:val="24"/>
          <w:lang w:val="en-IE"/>
        </w:rPr>
        <w:t xml:space="preserve"> by consensus on 1 June 2024 through its </w:t>
      </w:r>
      <w:r w:rsidR="00713F70" w:rsidRPr="007305D0">
        <w:rPr>
          <w:noProof/>
          <w:szCs w:val="24"/>
          <w:lang w:val="en-IE"/>
        </w:rPr>
        <w:t>Resolution</w:t>
      </w:r>
      <w:r w:rsidRPr="007305D0">
        <w:rPr>
          <w:noProof/>
          <w:szCs w:val="24"/>
          <w:lang w:val="en-IE"/>
        </w:rPr>
        <w:t xml:space="preserve"> WHA77.17</w:t>
      </w:r>
      <w:r w:rsidR="007235C9" w:rsidRPr="007305D0">
        <w:rPr>
          <w:rStyle w:val="FootnoteReference"/>
          <w:noProof/>
          <w:szCs w:val="24"/>
          <w:lang w:val="en-IE"/>
        </w:rPr>
        <w:footnoteReference w:id="6"/>
      </w:r>
      <w:r w:rsidRPr="007305D0">
        <w:rPr>
          <w:noProof/>
          <w:szCs w:val="24"/>
          <w:lang w:val="en-IE"/>
        </w:rPr>
        <w:t>.</w:t>
      </w:r>
    </w:p>
    <w:p w:rsidR="00D26134" w:rsidRPr="007305D0" w:rsidRDefault="00A94BB9" w:rsidP="00BA568E">
      <w:pPr>
        <w:rPr>
          <w:noProof/>
          <w:szCs w:val="24"/>
          <w:lang w:val="en-IE"/>
        </w:rPr>
      </w:pPr>
      <w:r w:rsidRPr="007305D0">
        <w:rPr>
          <w:noProof/>
          <w:szCs w:val="24"/>
          <w:lang w:val="en-IE"/>
        </w:rPr>
        <w:t>T</w:t>
      </w:r>
      <w:r w:rsidR="00BA568E" w:rsidRPr="007305D0">
        <w:rPr>
          <w:noProof/>
          <w:szCs w:val="24"/>
          <w:lang w:val="en-IE"/>
        </w:rPr>
        <w:t xml:space="preserve">he Commission negotiated the amendments to the International Health Regulations </w:t>
      </w:r>
      <w:r w:rsidR="00BD6A5A" w:rsidRPr="007305D0">
        <w:rPr>
          <w:noProof/>
          <w:szCs w:val="24"/>
          <w:lang w:val="en-IE"/>
        </w:rPr>
        <w:t xml:space="preserve">(2005) </w:t>
      </w:r>
      <w:r w:rsidR="00BA568E" w:rsidRPr="007305D0">
        <w:rPr>
          <w:noProof/>
          <w:szCs w:val="24"/>
          <w:lang w:val="en-IE"/>
        </w:rPr>
        <w:t xml:space="preserve">on behalf of the </w:t>
      </w:r>
      <w:r w:rsidR="008C128D">
        <w:rPr>
          <w:noProof/>
          <w:szCs w:val="24"/>
          <w:lang w:val="en-IE"/>
        </w:rPr>
        <w:t xml:space="preserve">European </w:t>
      </w:r>
      <w:r w:rsidR="00BA568E" w:rsidRPr="007305D0">
        <w:rPr>
          <w:noProof/>
          <w:szCs w:val="24"/>
          <w:lang w:val="en-IE"/>
        </w:rPr>
        <w:t>U</w:t>
      </w:r>
      <w:r w:rsidR="0066363C" w:rsidRPr="007305D0">
        <w:rPr>
          <w:noProof/>
          <w:szCs w:val="24"/>
          <w:lang w:val="en-IE"/>
        </w:rPr>
        <w:t>nion</w:t>
      </w:r>
      <w:r w:rsidR="00BA568E" w:rsidRPr="007305D0">
        <w:rPr>
          <w:noProof/>
          <w:szCs w:val="24"/>
          <w:lang w:val="en-IE"/>
        </w:rPr>
        <w:t>, for matters falling within U</w:t>
      </w:r>
      <w:r w:rsidR="0066363C" w:rsidRPr="007305D0">
        <w:rPr>
          <w:noProof/>
          <w:szCs w:val="24"/>
          <w:lang w:val="en-IE"/>
        </w:rPr>
        <w:t>nion</w:t>
      </w:r>
      <w:r w:rsidR="00BA568E" w:rsidRPr="007305D0">
        <w:rPr>
          <w:noProof/>
          <w:szCs w:val="24"/>
          <w:lang w:val="en-IE"/>
        </w:rPr>
        <w:t xml:space="preserve"> competence, </w:t>
      </w:r>
      <w:r w:rsidR="000A243D" w:rsidRPr="007305D0">
        <w:rPr>
          <w:noProof/>
          <w:szCs w:val="24"/>
          <w:lang w:val="en-IE"/>
        </w:rPr>
        <w:t>based on an</w:t>
      </w:r>
      <w:r w:rsidR="00BA568E" w:rsidRPr="007305D0">
        <w:rPr>
          <w:noProof/>
          <w:szCs w:val="24"/>
          <w:lang w:val="en-IE"/>
        </w:rPr>
        <w:t xml:space="preserve"> authorisation from the Council of the European Union </w:t>
      </w:r>
      <w:r w:rsidR="00225BC9" w:rsidRPr="007305D0">
        <w:rPr>
          <w:noProof/>
          <w:szCs w:val="24"/>
          <w:lang w:val="en-IE"/>
        </w:rPr>
        <w:t>set out in</w:t>
      </w:r>
      <w:r w:rsidR="00BA568E" w:rsidRPr="007305D0">
        <w:rPr>
          <w:noProof/>
          <w:szCs w:val="24"/>
          <w:lang w:val="en-IE"/>
        </w:rPr>
        <w:t xml:space="preserve"> Council </w:t>
      </w:r>
      <w:hyperlink r:id="rId11" w:history="1">
        <w:r w:rsidR="00BA568E" w:rsidRPr="007305D0">
          <w:rPr>
            <w:noProof/>
            <w:lang w:val="en-IE"/>
          </w:rPr>
          <w:t>Decision (EU) 2022/451</w:t>
        </w:r>
      </w:hyperlink>
      <w:r w:rsidR="00BA568E" w:rsidRPr="007305D0">
        <w:rPr>
          <w:noProof/>
          <w:szCs w:val="24"/>
          <w:lang w:val="en-IE"/>
        </w:rPr>
        <w:t xml:space="preserve"> of 3 March 2022</w:t>
      </w:r>
      <w:r w:rsidR="007235C9" w:rsidRPr="007305D0">
        <w:rPr>
          <w:rStyle w:val="FootnoteReference"/>
          <w:noProof/>
          <w:szCs w:val="24"/>
          <w:lang w:val="en-IE"/>
        </w:rPr>
        <w:footnoteReference w:id="7"/>
      </w:r>
      <w:r w:rsidR="00BA568E" w:rsidRPr="007305D0">
        <w:rPr>
          <w:noProof/>
          <w:szCs w:val="24"/>
          <w:lang w:val="en-IE"/>
        </w:rPr>
        <w:t xml:space="preserve">. The </w:t>
      </w:r>
      <w:r w:rsidR="00BD6A5A" w:rsidRPr="007305D0">
        <w:rPr>
          <w:noProof/>
          <w:szCs w:val="24"/>
          <w:lang w:val="en-IE"/>
        </w:rPr>
        <w:t>Commis</w:t>
      </w:r>
      <w:r w:rsidR="00BA568E" w:rsidRPr="007305D0">
        <w:rPr>
          <w:noProof/>
          <w:szCs w:val="24"/>
          <w:lang w:val="en-IE"/>
        </w:rPr>
        <w:t xml:space="preserve">sion, as the </w:t>
      </w:r>
      <w:r w:rsidR="000A243D" w:rsidRPr="007305D0">
        <w:rPr>
          <w:noProof/>
          <w:szCs w:val="24"/>
          <w:lang w:val="en-IE"/>
        </w:rPr>
        <w:t>Union</w:t>
      </w:r>
      <w:r w:rsidR="00BA568E" w:rsidRPr="007305D0">
        <w:rPr>
          <w:noProof/>
          <w:szCs w:val="24"/>
          <w:lang w:val="en-IE"/>
        </w:rPr>
        <w:t xml:space="preserve"> negotiator, </w:t>
      </w:r>
      <w:r w:rsidR="009F756D" w:rsidRPr="007305D0">
        <w:rPr>
          <w:noProof/>
          <w:szCs w:val="24"/>
          <w:lang w:val="en-IE"/>
        </w:rPr>
        <w:t>was</w:t>
      </w:r>
      <w:r w:rsidR="00BA568E" w:rsidRPr="007305D0">
        <w:rPr>
          <w:noProof/>
          <w:szCs w:val="24"/>
          <w:lang w:val="en-IE"/>
        </w:rPr>
        <w:t xml:space="preserve"> guided by the negotiating directives </w:t>
      </w:r>
      <w:r w:rsidR="009F756D" w:rsidRPr="007305D0">
        <w:rPr>
          <w:noProof/>
          <w:szCs w:val="24"/>
          <w:lang w:val="en-IE"/>
        </w:rPr>
        <w:t>annexed to the Decision</w:t>
      </w:r>
      <w:r w:rsidR="00225BC9" w:rsidRPr="007305D0">
        <w:rPr>
          <w:noProof/>
          <w:szCs w:val="24"/>
          <w:lang w:val="en-IE"/>
        </w:rPr>
        <w:t>,</w:t>
      </w:r>
      <w:r w:rsidR="009F756D" w:rsidRPr="007305D0">
        <w:rPr>
          <w:noProof/>
          <w:szCs w:val="24"/>
          <w:lang w:val="en-IE"/>
        </w:rPr>
        <w:t xml:space="preserve"> </w:t>
      </w:r>
      <w:r w:rsidR="0066363C" w:rsidRPr="007305D0">
        <w:rPr>
          <w:noProof/>
          <w:szCs w:val="24"/>
          <w:lang w:val="en-IE"/>
        </w:rPr>
        <w:t>laying down</w:t>
      </w:r>
      <w:r w:rsidR="00BA568E" w:rsidRPr="007305D0">
        <w:rPr>
          <w:noProof/>
          <w:szCs w:val="24"/>
          <w:lang w:val="en-IE"/>
        </w:rPr>
        <w:t xml:space="preserve"> the main objectives and principles to be achieved</w:t>
      </w:r>
      <w:r w:rsidR="009F756D" w:rsidRPr="007305D0">
        <w:rPr>
          <w:noProof/>
          <w:szCs w:val="24"/>
          <w:lang w:val="en-IE"/>
        </w:rPr>
        <w:t>.</w:t>
      </w:r>
      <w:r w:rsidR="00F32301" w:rsidRPr="007305D0">
        <w:rPr>
          <w:noProof/>
          <w:szCs w:val="24"/>
          <w:lang w:val="en-IE"/>
        </w:rPr>
        <w:t xml:space="preserve"> Pursuant to</w:t>
      </w:r>
      <w:r w:rsidR="00BC2108" w:rsidRPr="007305D0">
        <w:rPr>
          <w:noProof/>
          <w:szCs w:val="24"/>
          <w:lang w:val="en-IE"/>
        </w:rPr>
        <w:t xml:space="preserve"> Decision</w:t>
      </w:r>
      <w:r w:rsidR="00225BC9" w:rsidRPr="007305D0">
        <w:rPr>
          <w:noProof/>
          <w:szCs w:val="24"/>
          <w:lang w:val="en-IE"/>
        </w:rPr>
        <w:t xml:space="preserve"> (EU) 2022/451</w:t>
      </w:r>
      <w:r w:rsidR="00BC2108" w:rsidRPr="007305D0">
        <w:rPr>
          <w:noProof/>
          <w:szCs w:val="24"/>
          <w:lang w:val="en-IE"/>
        </w:rPr>
        <w:t xml:space="preserve">, </w:t>
      </w:r>
      <w:r w:rsidR="00F32301" w:rsidRPr="007305D0">
        <w:rPr>
          <w:noProof/>
          <w:szCs w:val="24"/>
          <w:lang w:val="en-IE"/>
        </w:rPr>
        <w:t xml:space="preserve">the </w:t>
      </w:r>
      <w:r w:rsidR="00BC2108" w:rsidRPr="007305D0">
        <w:rPr>
          <w:noProof/>
          <w:szCs w:val="24"/>
          <w:lang w:val="en-IE"/>
        </w:rPr>
        <w:t>W</w:t>
      </w:r>
      <w:r w:rsidR="00F32301" w:rsidRPr="007305D0">
        <w:rPr>
          <w:noProof/>
          <w:szCs w:val="24"/>
          <w:lang w:val="en-IE"/>
        </w:rPr>
        <w:t xml:space="preserve">orking </w:t>
      </w:r>
      <w:r w:rsidR="00BC2108" w:rsidRPr="007305D0">
        <w:rPr>
          <w:noProof/>
          <w:szCs w:val="24"/>
          <w:lang w:val="en-IE"/>
        </w:rPr>
        <w:t>G</w:t>
      </w:r>
      <w:r w:rsidR="00F32301" w:rsidRPr="007305D0">
        <w:rPr>
          <w:noProof/>
          <w:szCs w:val="24"/>
          <w:lang w:val="en-IE"/>
        </w:rPr>
        <w:t xml:space="preserve">roup on </w:t>
      </w:r>
      <w:r w:rsidR="00BC2108" w:rsidRPr="007305D0">
        <w:rPr>
          <w:noProof/>
          <w:szCs w:val="24"/>
          <w:lang w:val="en-IE"/>
        </w:rPr>
        <w:t>P</w:t>
      </w:r>
      <w:r w:rsidR="00F32301" w:rsidRPr="007305D0">
        <w:rPr>
          <w:noProof/>
          <w:szCs w:val="24"/>
          <w:lang w:val="en-IE"/>
        </w:rPr>
        <w:t xml:space="preserve">ublic </w:t>
      </w:r>
      <w:r w:rsidR="00BC2108" w:rsidRPr="007305D0">
        <w:rPr>
          <w:noProof/>
          <w:szCs w:val="24"/>
          <w:lang w:val="en-IE"/>
        </w:rPr>
        <w:t>H</w:t>
      </w:r>
      <w:r w:rsidR="00F32301" w:rsidRPr="007305D0">
        <w:rPr>
          <w:noProof/>
          <w:szCs w:val="24"/>
          <w:lang w:val="en-IE"/>
        </w:rPr>
        <w:t xml:space="preserve">ealth </w:t>
      </w:r>
      <w:r w:rsidR="00BC2108" w:rsidRPr="007305D0">
        <w:rPr>
          <w:noProof/>
          <w:szCs w:val="24"/>
          <w:lang w:val="en-IE"/>
        </w:rPr>
        <w:t xml:space="preserve">of the Council </w:t>
      </w:r>
      <w:r w:rsidR="003745C0" w:rsidRPr="007305D0">
        <w:rPr>
          <w:noProof/>
          <w:szCs w:val="24"/>
          <w:lang w:val="en-IE"/>
        </w:rPr>
        <w:t xml:space="preserve">has </w:t>
      </w:r>
      <w:r w:rsidR="00F32301" w:rsidRPr="007305D0">
        <w:rPr>
          <w:noProof/>
          <w:szCs w:val="24"/>
          <w:lang w:val="en-IE"/>
        </w:rPr>
        <w:t>serve</w:t>
      </w:r>
      <w:r w:rsidR="003745C0" w:rsidRPr="007305D0">
        <w:rPr>
          <w:noProof/>
          <w:szCs w:val="24"/>
          <w:lang w:val="en-IE"/>
        </w:rPr>
        <w:t>d</w:t>
      </w:r>
      <w:r w:rsidR="00F32301" w:rsidRPr="007305D0">
        <w:rPr>
          <w:noProof/>
          <w:szCs w:val="24"/>
          <w:lang w:val="en-IE"/>
        </w:rPr>
        <w:t xml:space="preserve"> as the special committee </w:t>
      </w:r>
      <w:r w:rsidR="008B462D" w:rsidRPr="007305D0">
        <w:rPr>
          <w:noProof/>
          <w:szCs w:val="24"/>
          <w:lang w:val="en-IE"/>
        </w:rPr>
        <w:t>within the meaning of Article 218(4) of the Treaty on the Functioning of the European Union (TFEU)</w:t>
      </w:r>
      <w:r w:rsidR="00BC2108" w:rsidRPr="007305D0">
        <w:rPr>
          <w:noProof/>
          <w:szCs w:val="24"/>
          <w:lang w:val="en-IE"/>
        </w:rPr>
        <w:t xml:space="preserve"> and the Commission </w:t>
      </w:r>
      <w:r w:rsidR="003745C0" w:rsidRPr="007305D0">
        <w:rPr>
          <w:noProof/>
          <w:szCs w:val="24"/>
          <w:lang w:val="en-IE"/>
        </w:rPr>
        <w:t xml:space="preserve">has </w:t>
      </w:r>
      <w:r w:rsidR="00BC2108" w:rsidRPr="007305D0">
        <w:rPr>
          <w:noProof/>
          <w:szCs w:val="24"/>
          <w:lang w:val="en-IE"/>
        </w:rPr>
        <w:t>cooperate</w:t>
      </w:r>
      <w:r w:rsidR="000A243D" w:rsidRPr="007305D0">
        <w:rPr>
          <w:noProof/>
          <w:szCs w:val="24"/>
          <w:lang w:val="en-IE"/>
        </w:rPr>
        <w:t>d</w:t>
      </w:r>
      <w:r w:rsidR="003745C0" w:rsidRPr="007305D0">
        <w:rPr>
          <w:noProof/>
          <w:szCs w:val="24"/>
          <w:lang w:val="en-IE"/>
        </w:rPr>
        <w:t xml:space="preserve"> </w:t>
      </w:r>
      <w:r w:rsidR="00BC2108" w:rsidRPr="007305D0">
        <w:rPr>
          <w:noProof/>
          <w:szCs w:val="24"/>
          <w:lang w:val="en-IE"/>
        </w:rPr>
        <w:t>closely with Member States’ experts and representatives through regular coordination meetings in Geneva.</w:t>
      </w:r>
    </w:p>
    <w:p w:rsidR="003745C0" w:rsidRPr="007305D0" w:rsidRDefault="003745C0" w:rsidP="00BA568E">
      <w:pPr>
        <w:rPr>
          <w:noProof/>
          <w:szCs w:val="24"/>
          <w:lang w:val="en-IE"/>
        </w:rPr>
      </w:pPr>
      <w:r w:rsidRPr="007305D0">
        <w:rPr>
          <w:noProof/>
          <w:szCs w:val="24"/>
          <w:lang w:val="en-IE"/>
        </w:rPr>
        <w:t xml:space="preserve">On 31 May 2024, before the adoption of the </w:t>
      </w:r>
      <w:r w:rsidR="0066363C" w:rsidRPr="007305D0">
        <w:rPr>
          <w:noProof/>
          <w:szCs w:val="24"/>
          <w:lang w:val="en-IE"/>
        </w:rPr>
        <w:t>amendments</w:t>
      </w:r>
      <w:r w:rsidRPr="007305D0">
        <w:rPr>
          <w:noProof/>
          <w:szCs w:val="24"/>
          <w:lang w:val="en-IE"/>
        </w:rPr>
        <w:t xml:space="preserve"> at the Seventy-seventh W</w:t>
      </w:r>
      <w:r w:rsidR="008D3222" w:rsidRPr="007305D0">
        <w:rPr>
          <w:noProof/>
          <w:szCs w:val="24"/>
          <w:lang w:val="en-IE"/>
        </w:rPr>
        <w:t xml:space="preserve">orld </w:t>
      </w:r>
      <w:r w:rsidRPr="007305D0">
        <w:rPr>
          <w:noProof/>
          <w:szCs w:val="24"/>
          <w:lang w:val="en-IE"/>
        </w:rPr>
        <w:t>H</w:t>
      </w:r>
      <w:r w:rsidR="008D3222" w:rsidRPr="007305D0">
        <w:rPr>
          <w:noProof/>
          <w:szCs w:val="24"/>
          <w:lang w:val="en-IE"/>
        </w:rPr>
        <w:t xml:space="preserve">ealth </w:t>
      </w:r>
      <w:r w:rsidRPr="007305D0">
        <w:rPr>
          <w:noProof/>
          <w:szCs w:val="24"/>
          <w:lang w:val="en-IE"/>
        </w:rPr>
        <w:t>A</w:t>
      </w:r>
      <w:r w:rsidR="008D3222" w:rsidRPr="007305D0">
        <w:rPr>
          <w:noProof/>
          <w:szCs w:val="24"/>
          <w:lang w:val="en-IE"/>
        </w:rPr>
        <w:t>ssembly</w:t>
      </w:r>
      <w:r w:rsidRPr="007305D0">
        <w:rPr>
          <w:noProof/>
          <w:szCs w:val="24"/>
          <w:lang w:val="en-IE"/>
        </w:rPr>
        <w:t>, the Special Committee received a written communication</w:t>
      </w:r>
      <w:r w:rsidRPr="007305D0">
        <w:rPr>
          <w:rStyle w:val="FootnoteReference"/>
          <w:noProof/>
          <w:szCs w:val="24"/>
          <w:lang w:val="en-IE"/>
        </w:rPr>
        <w:footnoteReference w:id="8"/>
      </w:r>
      <w:r w:rsidRPr="007305D0">
        <w:rPr>
          <w:noProof/>
          <w:szCs w:val="24"/>
          <w:lang w:val="en-IE"/>
        </w:rPr>
        <w:t xml:space="preserve"> from the Commission, as </w:t>
      </w:r>
      <w:r w:rsidR="00225BC9" w:rsidRPr="007305D0">
        <w:rPr>
          <w:noProof/>
          <w:szCs w:val="24"/>
          <w:lang w:val="en-IE"/>
        </w:rPr>
        <w:t xml:space="preserve">the </w:t>
      </w:r>
      <w:r w:rsidRPr="007305D0">
        <w:rPr>
          <w:noProof/>
          <w:szCs w:val="24"/>
          <w:lang w:val="en-IE"/>
        </w:rPr>
        <w:t xml:space="preserve">Union Negotiator, whereby the Commission informed Member States that the adoption of the amendments to the International Health Regulations </w:t>
      </w:r>
      <w:r w:rsidR="004343CA">
        <w:rPr>
          <w:noProof/>
          <w:szCs w:val="24"/>
          <w:lang w:val="en-IE"/>
        </w:rPr>
        <w:t xml:space="preserve">(2005) </w:t>
      </w:r>
      <w:r w:rsidRPr="007305D0">
        <w:rPr>
          <w:noProof/>
          <w:szCs w:val="24"/>
          <w:lang w:val="en-IE"/>
        </w:rPr>
        <w:t>was foreseen to take place on 1 June 2024, pending finalisation of a few outstanding issues, and that its expectation was that the final outcome of the negotiations would be in line with the negotiating directives. Right before adoption by the W</w:t>
      </w:r>
      <w:r w:rsidR="008D3222" w:rsidRPr="007305D0">
        <w:rPr>
          <w:noProof/>
          <w:szCs w:val="24"/>
          <w:lang w:val="en-IE"/>
        </w:rPr>
        <w:t xml:space="preserve">orld </w:t>
      </w:r>
      <w:r w:rsidRPr="007305D0">
        <w:rPr>
          <w:noProof/>
          <w:szCs w:val="24"/>
          <w:lang w:val="en-IE"/>
        </w:rPr>
        <w:t>H</w:t>
      </w:r>
      <w:r w:rsidR="008D3222" w:rsidRPr="007305D0">
        <w:rPr>
          <w:noProof/>
          <w:szCs w:val="24"/>
          <w:lang w:val="en-IE"/>
        </w:rPr>
        <w:t xml:space="preserve">ealth </w:t>
      </w:r>
      <w:r w:rsidRPr="007305D0">
        <w:rPr>
          <w:noProof/>
          <w:szCs w:val="24"/>
          <w:lang w:val="en-IE"/>
        </w:rPr>
        <w:t>A</w:t>
      </w:r>
      <w:r w:rsidR="008D3222" w:rsidRPr="007305D0">
        <w:rPr>
          <w:noProof/>
          <w:szCs w:val="24"/>
          <w:lang w:val="en-IE"/>
        </w:rPr>
        <w:t>ssembly</w:t>
      </w:r>
      <w:r w:rsidRPr="007305D0">
        <w:rPr>
          <w:noProof/>
          <w:szCs w:val="24"/>
          <w:lang w:val="en-IE"/>
        </w:rPr>
        <w:t>, an on-the</w:t>
      </w:r>
      <w:r w:rsidR="00B50405" w:rsidRPr="007305D0">
        <w:rPr>
          <w:noProof/>
          <w:szCs w:val="24"/>
          <w:lang w:val="en-IE"/>
        </w:rPr>
        <w:t>-</w:t>
      </w:r>
      <w:r w:rsidRPr="007305D0">
        <w:rPr>
          <w:noProof/>
          <w:szCs w:val="24"/>
          <w:lang w:val="en-IE"/>
        </w:rPr>
        <w:t xml:space="preserve">spot </w:t>
      </w:r>
      <w:r w:rsidR="00225BC9" w:rsidRPr="007305D0">
        <w:rPr>
          <w:noProof/>
          <w:szCs w:val="24"/>
          <w:lang w:val="en-IE"/>
        </w:rPr>
        <w:t xml:space="preserve">meeting </w:t>
      </w:r>
      <w:r w:rsidRPr="007305D0">
        <w:rPr>
          <w:noProof/>
          <w:szCs w:val="24"/>
          <w:lang w:val="en-IE"/>
        </w:rPr>
        <w:t>was held in Geneva with EU Member States, where the Commission confirmed its assessment on the final outcomes of the negotiations.</w:t>
      </w:r>
    </w:p>
    <w:p w:rsidR="00796163" w:rsidRPr="007305D0" w:rsidRDefault="008D3222" w:rsidP="00BA568E">
      <w:pPr>
        <w:rPr>
          <w:noProof/>
          <w:szCs w:val="24"/>
          <w:lang w:val="en-IE"/>
        </w:rPr>
      </w:pPr>
      <w:r w:rsidRPr="007305D0">
        <w:rPr>
          <w:noProof/>
          <w:szCs w:val="24"/>
          <w:lang w:val="en-IE"/>
        </w:rPr>
        <w:t xml:space="preserve">In parallel to the negotiations of the amendments to the International Health Regulations (2005), WHO Member States have been negotiating a new international agreement on pandemic prevention, preparedness and response (hereafter “the Pandemic Agreement”). The objective is to establish through the two instruments a coherent </w:t>
      </w:r>
      <w:bookmarkStart w:id="1" w:name="_Hlk175817703"/>
      <w:r w:rsidR="009E51D0" w:rsidRPr="007305D0">
        <w:rPr>
          <w:noProof/>
          <w:szCs w:val="24"/>
          <w:lang w:val="en-IE"/>
        </w:rPr>
        <w:t xml:space="preserve">international </w:t>
      </w:r>
      <w:r w:rsidRPr="007305D0">
        <w:rPr>
          <w:noProof/>
          <w:szCs w:val="24"/>
          <w:lang w:val="en-IE"/>
        </w:rPr>
        <w:t>framework dealing with the whole spectrum of public health emergencies.</w:t>
      </w:r>
      <w:bookmarkEnd w:id="1"/>
      <w:r w:rsidRPr="007305D0">
        <w:rPr>
          <w:noProof/>
          <w:szCs w:val="24"/>
          <w:lang w:val="en-IE"/>
        </w:rPr>
        <w:t xml:space="preserve"> At the Seventy-seventh World Health Assembly, on 1 June 2024, WHO Member States </w:t>
      </w:r>
      <w:r w:rsidR="009E51D0" w:rsidRPr="007305D0">
        <w:rPr>
          <w:noProof/>
          <w:szCs w:val="24"/>
          <w:lang w:val="en-IE"/>
        </w:rPr>
        <w:t xml:space="preserve">agreed that more time </w:t>
      </w:r>
      <w:r w:rsidR="0066363C" w:rsidRPr="007305D0">
        <w:rPr>
          <w:noProof/>
          <w:szCs w:val="24"/>
          <w:lang w:val="en-IE"/>
        </w:rPr>
        <w:t>wa</w:t>
      </w:r>
      <w:r w:rsidR="009E51D0" w:rsidRPr="007305D0">
        <w:rPr>
          <w:noProof/>
          <w:szCs w:val="24"/>
          <w:lang w:val="en-IE"/>
        </w:rPr>
        <w:t xml:space="preserve">s needed to finalise the negotiations on the Pandemic Agreement. They </w:t>
      </w:r>
      <w:r w:rsidRPr="007305D0">
        <w:rPr>
          <w:noProof/>
          <w:szCs w:val="24"/>
          <w:lang w:val="en-IE"/>
        </w:rPr>
        <w:t xml:space="preserve">decided to extend the mandate of the Intergovernmental Negotiating Body, in charge of the negotiations and of the drafting of the </w:t>
      </w:r>
      <w:r w:rsidR="009E51D0" w:rsidRPr="007305D0">
        <w:rPr>
          <w:noProof/>
          <w:szCs w:val="24"/>
          <w:lang w:val="en-IE"/>
        </w:rPr>
        <w:t>a</w:t>
      </w:r>
      <w:r w:rsidRPr="007305D0">
        <w:rPr>
          <w:noProof/>
          <w:szCs w:val="24"/>
          <w:lang w:val="en-IE"/>
        </w:rPr>
        <w:t xml:space="preserve">greement, </w:t>
      </w:r>
      <w:r w:rsidR="00866E21" w:rsidRPr="007305D0">
        <w:rPr>
          <w:noProof/>
          <w:szCs w:val="24"/>
          <w:lang w:val="en-IE"/>
        </w:rPr>
        <w:t xml:space="preserve">with the goal of </w:t>
      </w:r>
      <w:r w:rsidR="00750085" w:rsidRPr="007305D0">
        <w:rPr>
          <w:noProof/>
          <w:szCs w:val="24"/>
          <w:lang w:val="en-IE"/>
        </w:rPr>
        <w:t xml:space="preserve">concluding its work </w:t>
      </w:r>
      <w:r w:rsidRPr="007305D0">
        <w:rPr>
          <w:noProof/>
          <w:szCs w:val="24"/>
          <w:lang w:val="en-IE"/>
        </w:rPr>
        <w:t xml:space="preserve">by the Seventy-eighth World Health Assembly in 2025, or earlier </w:t>
      </w:r>
      <w:r w:rsidR="00750085" w:rsidRPr="007305D0">
        <w:rPr>
          <w:noProof/>
          <w:szCs w:val="24"/>
          <w:lang w:val="en-IE"/>
        </w:rPr>
        <w:t>if possible, in which case a</w:t>
      </w:r>
      <w:r w:rsidRPr="007305D0">
        <w:rPr>
          <w:noProof/>
          <w:szCs w:val="24"/>
          <w:lang w:val="en-IE"/>
        </w:rPr>
        <w:t xml:space="preserve"> special session of the World Health Assembly </w:t>
      </w:r>
      <w:r w:rsidR="00750085" w:rsidRPr="007305D0">
        <w:rPr>
          <w:noProof/>
          <w:szCs w:val="24"/>
          <w:lang w:val="en-IE"/>
        </w:rPr>
        <w:t xml:space="preserve">would be convened </w:t>
      </w:r>
      <w:r w:rsidRPr="007305D0">
        <w:rPr>
          <w:noProof/>
          <w:szCs w:val="24"/>
          <w:lang w:val="en-IE"/>
        </w:rPr>
        <w:t>in 2024.</w:t>
      </w:r>
    </w:p>
    <w:p w:rsidR="00B64A88" w:rsidRPr="007305D0" w:rsidRDefault="00EA4AB4" w:rsidP="00FB0DDE">
      <w:pPr>
        <w:pStyle w:val="ManualHeading2"/>
        <w:spacing w:before="240"/>
        <w:rPr>
          <w:rFonts w:eastAsia="Arial Unicode MS"/>
          <w:noProof/>
          <w:color w:val="000000"/>
          <w:u w:color="000000"/>
          <w:bdr w:val="nil"/>
          <w:lang w:val="en-US" w:eastAsia="en-GB"/>
        </w:rPr>
      </w:pPr>
      <w:bookmarkStart w:id="2" w:name="_Hlk171634883"/>
      <w:r w:rsidRPr="007305D0">
        <w:rPr>
          <w:rFonts w:eastAsia="Arial Unicode MS"/>
          <w:noProof/>
          <w:color w:val="000000"/>
          <w:u w:color="000000"/>
          <w:bdr w:val="nil"/>
          <w:lang w:val="en-US" w:eastAsia="en-GB"/>
        </w:rPr>
        <w:t>•</w:t>
      </w:r>
      <w:r w:rsidRPr="007305D0">
        <w:rPr>
          <w:rFonts w:eastAsia="Arial Unicode MS"/>
          <w:noProof/>
          <w:color w:val="000000"/>
          <w:u w:color="000000"/>
          <w:bdr w:val="nil"/>
          <w:lang w:val="en-US" w:eastAsia="en-GB"/>
        </w:rPr>
        <w:tab/>
      </w:r>
      <w:bookmarkEnd w:id="2"/>
      <w:r w:rsidR="00B64A88" w:rsidRPr="007305D0">
        <w:rPr>
          <w:rFonts w:eastAsia="Arial Unicode MS"/>
          <w:noProof/>
          <w:color w:val="000000"/>
          <w:u w:color="000000"/>
          <w:bdr w:val="nil"/>
          <w:lang w:val="en-US" w:eastAsia="en-GB"/>
        </w:rPr>
        <w:t>Reasons and objectives of the proposal</w:t>
      </w:r>
    </w:p>
    <w:p w:rsidR="00DB0C59" w:rsidRPr="007305D0" w:rsidRDefault="003E0CA5" w:rsidP="005D7129">
      <w:pPr>
        <w:rPr>
          <w:noProof/>
          <w:lang w:val="en-US" w:eastAsia="en-GB"/>
        </w:rPr>
      </w:pPr>
      <w:r w:rsidRPr="00CB6673">
        <w:rPr>
          <w:noProof/>
          <w:lang w:eastAsia="en-GB"/>
        </w:rPr>
        <w:t xml:space="preserve">The amendments to the International Health Regulations </w:t>
      </w:r>
      <w:r w:rsidR="00BD6A5A" w:rsidRPr="00CB6673">
        <w:rPr>
          <w:noProof/>
          <w:lang w:eastAsia="en-GB"/>
        </w:rPr>
        <w:t xml:space="preserve">(2005) </w:t>
      </w:r>
      <w:r w:rsidR="00BC2108" w:rsidRPr="00CB6673">
        <w:rPr>
          <w:noProof/>
          <w:lang w:eastAsia="en-GB"/>
        </w:rPr>
        <w:t xml:space="preserve">adopted through Resolution WHA77.17 </w:t>
      </w:r>
      <w:r w:rsidR="00BD6A5A" w:rsidRPr="00CB6673">
        <w:rPr>
          <w:noProof/>
          <w:lang w:eastAsia="en-GB"/>
        </w:rPr>
        <w:t xml:space="preserve">contribute </w:t>
      </w:r>
      <w:bookmarkStart w:id="3" w:name="_Hlk175920548"/>
      <w:r w:rsidR="00BD6A5A" w:rsidRPr="00CB6673">
        <w:rPr>
          <w:noProof/>
          <w:lang w:eastAsia="en-GB"/>
        </w:rPr>
        <w:t>to</w:t>
      </w:r>
      <w:r w:rsidRPr="00CB6673">
        <w:rPr>
          <w:noProof/>
          <w:lang w:eastAsia="en-GB"/>
        </w:rPr>
        <w:t xml:space="preserve"> strengthen</w:t>
      </w:r>
      <w:r w:rsidR="00BD6A5A" w:rsidRPr="00CB6673">
        <w:rPr>
          <w:noProof/>
          <w:lang w:eastAsia="en-GB"/>
        </w:rPr>
        <w:t>ing</w:t>
      </w:r>
      <w:r w:rsidRPr="00CB6673">
        <w:rPr>
          <w:noProof/>
          <w:lang w:eastAsia="en-GB"/>
        </w:rPr>
        <w:t xml:space="preserve"> global preparedness, surveillance and response to public health emergencies </w:t>
      </w:r>
      <w:bookmarkEnd w:id="3"/>
      <w:r w:rsidRPr="00CB6673">
        <w:rPr>
          <w:noProof/>
          <w:lang w:eastAsia="en-GB"/>
        </w:rPr>
        <w:t>and address lessons learned from the COVID-19 pandemic</w:t>
      </w:r>
      <w:r w:rsidR="00BD6A5A" w:rsidRPr="00CB6673">
        <w:rPr>
          <w:noProof/>
          <w:lang w:eastAsia="en-GB"/>
        </w:rPr>
        <w:t xml:space="preserve">, two fundamental </w:t>
      </w:r>
      <w:r w:rsidR="0052422A" w:rsidRPr="00CB6673">
        <w:rPr>
          <w:noProof/>
          <w:lang w:eastAsia="en-GB"/>
        </w:rPr>
        <w:t>priorities</w:t>
      </w:r>
      <w:r w:rsidR="00BD6A5A" w:rsidRPr="00CB6673">
        <w:rPr>
          <w:noProof/>
          <w:lang w:eastAsia="en-GB"/>
        </w:rPr>
        <w:t xml:space="preserve"> of EU action in the field of global health</w:t>
      </w:r>
      <w:r w:rsidR="007235C9" w:rsidRPr="00F727C7">
        <w:rPr>
          <w:rStyle w:val="FootnoteReference"/>
          <w:noProof/>
        </w:rPr>
        <w:footnoteReference w:id="9"/>
      </w:r>
      <w:r w:rsidR="00BC2108" w:rsidRPr="00CB6673">
        <w:rPr>
          <w:noProof/>
          <w:lang w:eastAsia="en-GB"/>
        </w:rPr>
        <w:t>.</w:t>
      </w:r>
      <w:r w:rsidRPr="00CB6673">
        <w:rPr>
          <w:noProof/>
          <w:lang w:eastAsia="en-GB"/>
        </w:rPr>
        <w:t xml:space="preserve"> T</w:t>
      </w:r>
      <w:r w:rsidR="00B33C8F" w:rsidRPr="00CB6673">
        <w:rPr>
          <w:noProof/>
          <w:lang w:eastAsia="en-GB"/>
        </w:rPr>
        <w:t xml:space="preserve">he implementation of the </w:t>
      </w:r>
      <w:r w:rsidRPr="00CB6673">
        <w:rPr>
          <w:noProof/>
          <w:lang w:eastAsia="en-GB"/>
        </w:rPr>
        <w:t xml:space="preserve">amendments is therefore </w:t>
      </w:r>
      <w:r w:rsidR="00B72F33" w:rsidRPr="00CB6673">
        <w:rPr>
          <w:noProof/>
          <w:lang w:eastAsia="en-GB"/>
        </w:rPr>
        <w:t xml:space="preserve">clearly </w:t>
      </w:r>
      <w:r w:rsidRPr="00CB6673">
        <w:rPr>
          <w:noProof/>
          <w:lang w:eastAsia="en-GB"/>
        </w:rPr>
        <w:t>in the interest of the Union.</w:t>
      </w:r>
      <w:r w:rsidR="008C128D" w:rsidRPr="00CB6673">
        <w:rPr>
          <w:noProof/>
          <w:lang w:eastAsia="en-GB"/>
        </w:rPr>
        <w:t xml:space="preserve"> </w:t>
      </w:r>
      <w:r w:rsidR="00D141A3" w:rsidRPr="00CB6673">
        <w:rPr>
          <w:noProof/>
          <w:lang w:eastAsia="en-GB"/>
        </w:rPr>
        <w:t xml:space="preserve">The current mpox outbreak, with the declaration on 14 August 2024 by the WHO Director-General of a public health emergency of international concern, is </w:t>
      </w:r>
      <w:r w:rsidR="001539E1" w:rsidRPr="00CB6673">
        <w:rPr>
          <w:noProof/>
          <w:lang w:eastAsia="en-GB"/>
        </w:rPr>
        <w:t xml:space="preserve">also </w:t>
      </w:r>
      <w:r w:rsidR="00D141A3" w:rsidRPr="00CB6673">
        <w:rPr>
          <w:noProof/>
          <w:lang w:eastAsia="en-GB"/>
        </w:rPr>
        <w:t>a</w:t>
      </w:r>
      <w:r w:rsidR="001539E1" w:rsidRPr="00CB6673">
        <w:rPr>
          <w:noProof/>
          <w:lang w:eastAsia="en-GB"/>
        </w:rPr>
        <w:t xml:space="preserve"> clear </w:t>
      </w:r>
      <w:r w:rsidR="00D141A3" w:rsidRPr="00CB6673">
        <w:rPr>
          <w:noProof/>
          <w:lang w:eastAsia="en-GB"/>
        </w:rPr>
        <w:t xml:space="preserve">reminder of the critical </w:t>
      </w:r>
      <w:r w:rsidR="001539E1" w:rsidRPr="00CB6673">
        <w:rPr>
          <w:noProof/>
          <w:lang w:eastAsia="en-GB"/>
        </w:rPr>
        <w:t xml:space="preserve">and urgent </w:t>
      </w:r>
      <w:r w:rsidR="00D141A3" w:rsidRPr="00CB6673">
        <w:rPr>
          <w:noProof/>
          <w:lang w:eastAsia="en-GB"/>
        </w:rPr>
        <w:t xml:space="preserve">need </w:t>
      </w:r>
      <w:r w:rsidR="00062ABF" w:rsidRPr="00CB6673">
        <w:rPr>
          <w:noProof/>
          <w:lang w:eastAsia="en-GB"/>
        </w:rPr>
        <w:t>to reinforce the global framework</w:t>
      </w:r>
      <w:r w:rsidR="001539E1" w:rsidRPr="00CB6673">
        <w:rPr>
          <w:noProof/>
          <w:lang w:eastAsia="en-GB"/>
        </w:rPr>
        <w:t xml:space="preserve"> to prevent, prepare for and respond to public health emergencies</w:t>
      </w:r>
      <w:r w:rsidR="00062ABF" w:rsidRPr="00CB6673">
        <w:rPr>
          <w:noProof/>
          <w:lang w:eastAsia="en-GB"/>
        </w:rPr>
        <w:t>.</w:t>
      </w:r>
      <w:r w:rsidR="00E77DDA">
        <w:rPr>
          <w:noProof/>
          <w:lang w:eastAsia="en-GB"/>
        </w:rPr>
        <w:t xml:space="preserve"> </w:t>
      </w:r>
      <w:r w:rsidR="004343CA">
        <w:rPr>
          <w:noProof/>
          <w:lang w:val="en-US" w:eastAsia="en-GB"/>
        </w:rPr>
        <w:t>The majority of the amended</w:t>
      </w:r>
      <w:r w:rsidR="00E43B14" w:rsidRPr="007305D0">
        <w:rPr>
          <w:noProof/>
          <w:lang w:val="en-US" w:eastAsia="en-GB"/>
        </w:rPr>
        <w:t xml:space="preserve"> </w:t>
      </w:r>
      <w:r w:rsidR="00DB0C59" w:rsidRPr="007305D0">
        <w:rPr>
          <w:noProof/>
          <w:lang w:val="en-US" w:eastAsia="en-GB"/>
        </w:rPr>
        <w:t xml:space="preserve">provisions </w:t>
      </w:r>
      <w:r w:rsidR="001E6E98">
        <w:rPr>
          <w:noProof/>
          <w:lang w:val="en-US" w:eastAsia="en-GB"/>
        </w:rPr>
        <w:t xml:space="preserve">concern matters that have been regulated at EU level, </w:t>
      </w:r>
      <w:r w:rsidR="00DB0C59" w:rsidRPr="007305D0">
        <w:rPr>
          <w:noProof/>
          <w:lang w:val="en-US" w:eastAsia="en-GB"/>
        </w:rPr>
        <w:t>in particular in the areas of serious cross-border threats to health, cooperation with the competent organisations in the sphere of public health and protection of public health in the event of a public health emergency. No</w:t>
      </w:r>
      <w:r w:rsidR="004343CA">
        <w:rPr>
          <w:noProof/>
          <w:lang w:val="en-US" w:eastAsia="en-GB"/>
        </w:rPr>
        <w:t>ne</w:t>
      </w:r>
      <w:r w:rsidR="00DB0C59" w:rsidRPr="007305D0">
        <w:rPr>
          <w:noProof/>
          <w:lang w:val="en-US" w:eastAsia="en-GB"/>
        </w:rPr>
        <w:t xml:space="preserve"> of the amendments </w:t>
      </w:r>
      <w:r w:rsidR="004343CA">
        <w:rPr>
          <w:noProof/>
          <w:lang w:val="en-US" w:eastAsia="en-GB"/>
        </w:rPr>
        <w:t>are</w:t>
      </w:r>
      <w:r w:rsidR="00DB0C59" w:rsidRPr="007305D0">
        <w:rPr>
          <w:noProof/>
          <w:lang w:val="en-US" w:eastAsia="en-GB"/>
        </w:rPr>
        <w:t xml:space="preserve"> contrary to Union law and no reservation to the amendments is thus required.</w:t>
      </w:r>
    </w:p>
    <w:p w:rsidR="00B64A88" w:rsidRPr="007305D0" w:rsidRDefault="00DB0C59" w:rsidP="005D7129">
      <w:pPr>
        <w:rPr>
          <w:noProof/>
          <w:lang w:val="en-US" w:eastAsia="en-GB"/>
        </w:rPr>
      </w:pPr>
      <w:r w:rsidRPr="007305D0">
        <w:rPr>
          <w:noProof/>
          <w:lang w:val="en-US" w:eastAsia="en-GB"/>
        </w:rPr>
        <w:t xml:space="preserve">The Union is not in a position to accede to the International Health Regulations (2005), as the Regulations do not provide </w:t>
      </w:r>
      <w:r w:rsidR="00A8031D" w:rsidRPr="007305D0">
        <w:rPr>
          <w:noProof/>
          <w:lang w:val="en-US" w:eastAsia="en-GB"/>
        </w:rPr>
        <w:t xml:space="preserve">for the possibility of accession by </w:t>
      </w:r>
      <w:r w:rsidR="004343CA">
        <w:rPr>
          <w:noProof/>
          <w:lang w:val="en-US" w:eastAsia="en-GB"/>
        </w:rPr>
        <w:t>r</w:t>
      </w:r>
      <w:r w:rsidR="00A8031D" w:rsidRPr="007305D0">
        <w:rPr>
          <w:noProof/>
          <w:lang w:val="en-US" w:eastAsia="en-GB"/>
        </w:rPr>
        <w:t xml:space="preserve">egional </w:t>
      </w:r>
      <w:r w:rsidR="004343CA">
        <w:rPr>
          <w:noProof/>
          <w:lang w:val="en-US" w:eastAsia="en-GB"/>
        </w:rPr>
        <w:t>e</w:t>
      </w:r>
      <w:r w:rsidR="00A8031D" w:rsidRPr="007305D0">
        <w:rPr>
          <w:noProof/>
          <w:lang w:val="en-US" w:eastAsia="en-GB"/>
        </w:rPr>
        <w:t xml:space="preserve">conomic </w:t>
      </w:r>
      <w:r w:rsidR="004343CA">
        <w:rPr>
          <w:noProof/>
          <w:lang w:val="en-US" w:eastAsia="en-GB"/>
        </w:rPr>
        <w:t>i</w:t>
      </w:r>
      <w:r w:rsidR="00A8031D" w:rsidRPr="007305D0">
        <w:rPr>
          <w:noProof/>
          <w:lang w:val="en-US" w:eastAsia="en-GB"/>
        </w:rPr>
        <w:t xml:space="preserve">ntegration </w:t>
      </w:r>
      <w:r w:rsidR="004343CA">
        <w:rPr>
          <w:noProof/>
          <w:lang w:val="en-US" w:eastAsia="en-GB"/>
        </w:rPr>
        <w:t>o</w:t>
      </w:r>
      <w:r w:rsidR="00A8031D" w:rsidRPr="007305D0">
        <w:rPr>
          <w:noProof/>
          <w:lang w:val="en-US" w:eastAsia="en-GB"/>
        </w:rPr>
        <w:t>rganisations</w:t>
      </w:r>
      <w:r w:rsidR="007235C9" w:rsidRPr="00D35447">
        <w:rPr>
          <w:rStyle w:val="FootnoteReference"/>
          <w:noProof/>
        </w:rPr>
        <w:footnoteReference w:id="10"/>
      </w:r>
      <w:r w:rsidR="00BC2108" w:rsidRPr="007305D0">
        <w:rPr>
          <w:noProof/>
          <w:lang w:val="en-US" w:eastAsia="en-GB"/>
        </w:rPr>
        <w:t>.</w:t>
      </w:r>
      <w:r w:rsidRPr="007305D0">
        <w:rPr>
          <w:noProof/>
          <w:lang w:val="en-US" w:eastAsia="en-GB"/>
        </w:rPr>
        <w:t xml:space="preserve"> </w:t>
      </w:r>
      <w:r w:rsidR="00292C0C" w:rsidRPr="007305D0">
        <w:rPr>
          <w:noProof/>
          <w:lang w:val="en-US" w:eastAsia="en-GB"/>
        </w:rPr>
        <w:t xml:space="preserve">The objective of the </w:t>
      </w:r>
      <w:r w:rsidR="00BD6A5A" w:rsidRPr="007305D0">
        <w:rPr>
          <w:noProof/>
          <w:lang w:val="en-US" w:eastAsia="en-GB"/>
        </w:rPr>
        <w:t xml:space="preserve">present </w:t>
      </w:r>
      <w:r w:rsidR="00292C0C" w:rsidRPr="007305D0">
        <w:rPr>
          <w:noProof/>
          <w:lang w:val="en-US" w:eastAsia="en-GB"/>
        </w:rPr>
        <w:t xml:space="preserve">proposal is </w:t>
      </w:r>
      <w:r w:rsidRPr="007305D0">
        <w:rPr>
          <w:noProof/>
          <w:lang w:val="en-US" w:eastAsia="en-GB"/>
        </w:rPr>
        <w:t xml:space="preserve">therefore </w:t>
      </w:r>
      <w:r w:rsidR="00292C0C" w:rsidRPr="007305D0">
        <w:rPr>
          <w:noProof/>
          <w:lang w:val="en-US" w:eastAsia="en-GB"/>
        </w:rPr>
        <w:t xml:space="preserve">to </w:t>
      </w:r>
      <w:r w:rsidR="00750085" w:rsidRPr="007305D0">
        <w:rPr>
          <w:noProof/>
          <w:lang w:val="en-US" w:eastAsia="en-GB"/>
        </w:rPr>
        <w:t xml:space="preserve">suggest to the Council to </w:t>
      </w:r>
      <w:r w:rsidR="00292C0C" w:rsidRPr="007305D0">
        <w:rPr>
          <w:noProof/>
          <w:lang w:val="en-US" w:eastAsia="en-GB"/>
        </w:rPr>
        <w:t>authori</w:t>
      </w:r>
      <w:r w:rsidR="00750085" w:rsidRPr="007305D0">
        <w:rPr>
          <w:noProof/>
          <w:lang w:val="en-US" w:eastAsia="en-GB"/>
        </w:rPr>
        <w:t>s</w:t>
      </w:r>
      <w:r w:rsidR="00292C0C" w:rsidRPr="007305D0">
        <w:rPr>
          <w:noProof/>
          <w:lang w:val="en-US" w:eastAsia="en-GB"/>
        </w:rPr>
        <w:t>e EU Member States, acting jointly in the interest of the U</w:t>
      </w:r>
      <w:r w:rsidR="00B36710" w:rsidRPr="007305D0">
        <w:rPr>
          <w:noProof/>
          <w:lang w:val="en-US" w:eastAsia="en-GB"/>
        </w:rPr>
        <w:t>nion</w:t>
      </w:r>
      <w:r w:rsidR="00292C0C" w:rsidRPr="007305D0">
        <w:rPr>
          <w:noProof/>
          <w:lang w:val="en-US" w:eastAsia="en-GB"/>
        </w:rPr>
        <w:t>, to a</w:t>
      </w:r>
      <w:r w:rsidR="008C128D">
        <w:rPr>
          <w:noProof/>
          <w:lang w:val="en-US" w:eastAsia="en-GB"/>
        </w:rPr>
        <w:t>ccept</w:t>
      </w:r>
      <w:r w:rsidR="00292C0C" w:rsidRPr="007305D0">
        <w:rPr>
          <w:noProof/>
          <w:lang w:val="en-US" w:eastAsia="en-GB"/>
        </w:rPr>
        <w:t xml:space="preserve"> the amendments to the International Health Regulations </w:t>
      </w:r>
      <w:r w:rsidR="00BC2108" w:rsidRPr="007305D0">
        <w:rPr>
          <w:noProof/>
          <w:lang w:val="en-US" w:eastAsia="en-GB"/>
        </w:rPr>
        <w:t xml:space="preserve">(2005) </w:t>
      </w:r>
      <w:r w:rsidR="00292C0C" w:rsidRPr="007305D0">
        <w:rPr>
          <w:noProof/>
          <w:lang w:val="en-US" w:eastAsia="en-GB"/>
        </w:rPr>
        <w:t>adopted through Resolution WHA77.77.</w:t>
      </w:r>
      <w:r w:rsidRPr="007305D0">
        <w:rPr>
          <w:noProof/>
          <w:lang w:val="en-US" w:eastAsia="en-GB"/>
        </w:rPr>
        <w:t xml:space="preserve"> </w:t>
      </w:r>
    </w:p>
    <w:p w:rsidR="00EA4AB4" w:rsidRPr="007305D0" w:rsidRDefault="00B64A88" w:rsidP="00044058">
      <w:pPr>
        <w:pStyle w:val="ManualHeading2"/>
        <w:rPr>
          <w:rFonts w:eastAsia="Arial Unicode MS"/>
          <w:noProof/>
          <w:color w:val="000000"/>
          <w:u w:color="000000"/>
          <w:bdr w:val="nil"/>
          <w:lang w:val="en-US" w:eastAsia="en-GB"/>
        </w:rPr>
      </w:pPr>
      <w:r w:rsidRPr="007305D0">
        <w:rPr>
          <w:rFonts w:eastAsia="Arial Unicode MS"/>
          <w:noProof/>
          <w:color w:val="000000"/>
          <w:u w:color="000000"/>
          <w:bdr w:val="nil"/>
          <w:lang w:val="en-US" w:eastAsia="en-GB"/>
        </w:rPr>
        <w:t>•</w:t>
      </w:r>
      <w:r w:rsidRPr="007305D0">
        <w:rPr>
          <w:rFonts w:eastAsia="Arial Unicode MS"/>
          <w:noProof/>
          <w:color w:val="000000"/>
          <w:u w:color="000000"/>
          <w:bdr w:val="nil"/>
          <w:lang w:val="en-US" w:eastAsia="en-GB"/>
        </w:rPr>
        <w:tab/>
      </w:r>
      <w:r w:rsidR="00EA4AB4" w:rsidRPr="007305D0">
        <w:rPr>
          <w:rFonts w:eastAsia="Arial Unicode MS"/>
          <w:noProof/>
        </w:rPr>
        <w:t>Con</w:t>
      </w:r>
      <w:r w:rsidR="008D54D2" w:rsidRPr="007305D0">
        <w:rPr>
          <w:rFonts w:eastAsia="Arial Unicode MS"/>
          <w:noProof/>
        </w:rPr>
        <w:t>tent of the amendments</w:t>
      </w:r>
      <w:r w:rsidRPr="007305D0">
        <w:rPr>
          <w:rFonts w:eastAsia="Arial Unicode MS"/>
          <w:noProof/>
        </w:rPr>
        <w:t xml:space="preserve"> to the International Health Regulations </w:t>
      </w:r>
      <w:r w:rsidR="00C40D0B" w:rsidRPr="007305D0">
        <w:rPr>
          <w:rFonts w:eastAsia="Arial Unicode MS"/>
          <w:noProof/>
        </w:rPr>
        <w:t xml:space="preserve">(2005) </w:t>
      </w:r>
      <w:r w:rsidRPr="007305D0">
        <w:rPr>
          <w:rFonts w:eastAsia="Arial Unicode MS"/>
          <w:noProof/>
        </w:rPr>
        <w:t>adopted through Resolution WHA 77.17</w:t>
      </w:r>
    </w:p>
    <w:p w:rsidR="00DB0969" w:rsidRPr="007305D0" w:rsidRDefault="00F670ED" w:rsidP="00341FE4">
      <w:pPr>
        <w:pBdr>
          <w:top w:val="nil"/>
          <w:left w:val="nil"/>
          <w:bottom w:val="nil"/>
          <w:right w:val="nil"/>
          <w:between w:val="nil"/>
          <w:bar w:val="nil"/>
        </w:pBdr>
        <w:spacing w:before="0"/>
        <w:rPr>
          <w:noProof/>
        </w:rPr>
      </w:pPr>
      <w:r w:rsidRPr="007305D0">
        <w:rPr>
          <w:noProof/>
        </w:rPr>
        <w:t xml:space="preserve">The amendments to the International Health Regulations </w:t>
      </w:r>
      <w:bookmarkStart w:id="4" w:name="_Hlk172038747"/>
      <w:r w:rsidR="00BC2108" w:rsidRPr="007305D0">
        <w:rPr>
          <w:noProof/>
        </w:rPr>
        <w:t xml:space="preserve">(2005) </w:t>
      </w:r>
      <w:r w:rsidRPr="007305D0">
        <w:rPr>
          <w:noProof/>
        </w:rPr>
        <w:t>adopted through Resolution WHA 77.17</w:t>
      </w:r>
      <w:bookmarkEnd w:id="4"/>
      <w:r w:rsidRPr="007305D0">
        <w:rPr>
          <w:noProof/>
        </w:rPr>
        <w:t xml:space="preserve"> are fully in line with the negotiating directives </w:t>
      </w:r>
      <w:r w:rsidR="00DB0969" w:rsidRPr="007305D0">
        <w:rPr>
          <w:noProof/>
        </w:rPr>
        <w:t xml:space="preserve">as adopted by the Council and annexed to </w:t>
      </w:r>
      <w:bookmarkStart w:id="5" w:name="_Hlk175911597"/>
      <w:r w:rsidR="00DB0969" w:rsidRPr="007305D0">
        <w:rPr>
          <w:noProof/>
        </w:rPr>
        <w:t>Council Decision (EU) 2022/451</w:t>
      </w:r>
      <w:bookmarkEnd w:id="5"/>
      <w:r w:rsidR="00DB0969" w:rsidRPr="007305D0">
        <w:rPr>
          <w:noProof/>
        </w:rPr>
        <w:t xml:space="preserve">. The amendments </w:t>
      </w:r>
      <w:r w:rsidR="00312873" w:rsidRPr="007305D0">
        <w:rPr>
          <w:noProof/>
        </w:rPr>
        <w:t xml:space="preserve">include </w:t>
      </w:r>
      <w:r w:rsidR="00F86B91" w:rsidRPr="007305D0">
        <w:rPr>
          <w:noProof/>
        </w:rPr>
        <w:t xml:space="preserve">the following </w:t>
      </w:r>
      <w:r w:rsidR="0053626D" w:rsidRPr="007305D0">
        <w:rPr>
          <w:noProof/>
        </w:rPr>
        <w:t>modifications</w:t>
      </w:r>
      <w:r w:rsidR="00DB0969" w:rsidRPr="007305D0">
        <w:rPr>
          <w:noProof/>
        </w:rPr>
        <w:t>:</w:t>
      </w:r>
    </w:p>
    <w:p w:rsidR="00DB0969" w:rsidRPr="007305D0" w:rsidRDefault="0016454B" w:rsidP="00FB0DDE">
      <w:pPr>
        <w:pStyle w:val="Tiret0"/>
        <w:numPr>
          <w:ilvl w:val="0"/>
          <w:numId w:val="6"/>
        </w:numPr>
        <w:rPr>
          <w:noProof/>
        </w:rPr>
      </w:pPr>
      <w:r w:rsidRPr="007305D0">
        <w:rPr>
          <w:noProof/>
        </w:rPr>
        <w:t>I</w:t>
      </w:r>
      <w:r w:rsidR="00DB0969" w:rsidRPr="007305D0">
        <w:rPr>
          <w:noProof/>
        </w:rPr>
        <w:t>ntroduc</w:t>
      </w:r>
      <w:r w:rsidR="00A713B0" w:rsidRPr="007305D0">
        <w:rPr>
          <w:noProof/>
        </w:rPr>
        <w:t xml:space="preserve">tion of </w:t>
      </w:r>
      <w:r w:rsidR="00DB0969" w:rsidRPr="007305D0">
        <w:rPr>
          <w:noProof/>
        </w:rPr>
        <w:t xml:space="preserve">a definition of </w:t>
      </w:r>
      <w:r w:rsidR="00B36710" w:rsidRPr="007305D0">
        <w:rPr>
          <w:noProof/>
        </w:rPr>
        <w:t>“</w:t>
      </w:r>
      <w:r w:rsidR="00DB0969" w:rsidRPr="007305D0">
        <w:rPr>
          <w:noProof/>
        </w:rPr>
        <w:t>pandemic emergency</w:t>
      </w:r>
      <w:r w:rsidR="00B36710" w:rsidRPr="007305D0">
        <w:rPr>
          <w:noProof/>
        </w:rPr>
        <w:t>”</w:t>
      </w:r>
      <w:r w:rsidR="00B04C6B" w:rsidRPr="007305D0">
        <w:rPr>
          <w:noProof/>
        </w:rPr>
        <w:t xml:space="preserve">, as well as a </w:t>
      </w:r>
      <w:r w:rsidR="009969FA" w:rsidRPr="007305D0">
        <w:rPr>
          <w:noProof/>
        </w:rPr>
        <w:t xml:space="preserve">related </w:t>
      </w:r>
      <w:r w:rsidR="00B04C6B" w:rsidRPr="007305D0">
        <w:rPr>
          <w:noProof/>
        </w:rPr>
        <w:t>declaration mechanism,</w:t>
      </w:r>
      <w:r w:rsidR="00DB0969" w:rsidRPr="007305D0">
        <w:rPr>
          <w:noProof/>
        </w:rPr>
        <w:t xml:space="preserve"> to trigger more effective international collaboration in response to events that are at risk of becoming, or have become, a pandemic</w:t>
      </w:r>
      <w:r w:rsidR="00341FE4" w:rsidRPr="007305D0">
        <w:rPr>
          <w:noProof/>
        </w:rPr>
        <w:t xml:space="preserve"> (Article</w:t>
      </w:r>
      <w:r w:rsidR="00B04C6B" w:rsidRPr="007305D0">
        <w:rPr>
          <w:noProof/>
        </w:rPr>
        <w:t>s</w:t>
      </w:r>
      <w:r w:rsidR="00341FE4" w:rsidRPr="007305D0">
        <w:rPr>
          <w:noProof/>
        </w:rPr>
        <w:t xml:space="preserve"> 1</w:t>
      </w:r>
      <w:r w:rsidR="00A713B0" w:rsidRPr="007305D0">
        <w:rPr>
          <w:noProof/>
        </w:rPr>
        <w:t xml:space="preserve"> and 12, with conforming amendments in Articles </w:t>
      </w:r>
      <w:r w:rsidR="00B04C6B" w:rsidRPr="007305D0">
        <w:rPr>
          <w:noProof/>
        </w:rPr>
        <w:t>11, 12, 13, 15</w:t>
      </w:r>
      <w:r w:rsidR="00A713B0" w:rsidRPr="007305D0">
        <w:rPr>
          <w:noProof/>
        </w:rPr>
        <w:t>, 48</w:t>
      </w:r>
      <w:r w:rsidR="00B04C6B" w:rsidRPr="007305D0">
        <w:rPr>
          <w:noProof/>
        </w:rPr>
        <w:t xml:space="preserve"> and 49</w:t>
      </w:r>
      <w:r w:rsidR="00341FE4" w:rsidRPr="007305D0">
        <w:rPr>
          <w:noProof/>
        </w:rPr>
        <w:t>)</w:t>
      </w:r>
      <w:r w:rsidR="00DB0969" w:rsidRPr="007305D0">
        <w:rPr>
          <w:noProof/>
        </w:rPr>
        <w:t xml:space="preserve">. </w:t>
      </w:r>
    </w:p>
    <w:p w:rsidR="00DB0969" w:rsidRPr="007305D0" w:rsidRDefault="0016454B" w:rsidP="00FB0DDE">
      <w:pPr>
        <w:pStyle w:val="Tiret0"/>
        <w:rPr>
          <w:noProof/>
        </w:rPr>
      </w:pPr>
      <w:r w:rsidRPr="007305D0">
        <w:rPr>
          <w:noProof/>
        </w:rPr>
        <w:t>C</w:t>
      </w:r>
      <w:r w:rsidR="00DB0969" w:rsidRPr="007305D0">
        <w:rPr>
          <w:noProof/>
        </w:rPr>
        <w:t>reation of National IHR Authorities</w:t>
      </w:r>
      <w:r w:rsidR="00341FE4" w:rsidRPr="007305D0">
        <w:rPr>
          <w:noProof/>
        </w:rPr>
        <w:t xml:space="preserve"> </w:t>
      </w:r>
      <w:r w:rsidR="00DB0969" w:rsidRPr="007305D0">
        <w:rPr>
          <w:noProof/>
        </w:rPr>
        <w:t>to</w:t>
      </w:r>
      <w:r w:rsidRPr="007305D0">
        <w:rPr>
          <w:noProof/>
        </w:rPr>
        <w:t xml:space="preserve"> coordinate national IHR implementation, besides the pre</w:t>
      </w:r>
      <w:r w:rsidR="004343CA">
        <w:rPr>
          <w:noProof/>
        </w:rPr>
        <w:t>-</w:t>
      </w:r>
      <w:r w:rsidRPr="007305D0">
        <w:rPr>
          <w:noProof/>
        </w:rPr>
        <w:t>existing National IHR Focal Point</w:t>
      </w:r>
      <w:r w:rsidR="00B84225" w:rsidRPr="007305D0">
        <w:rPr>
          <w:noProof/>
        </w:rPr>
        <w:t>, while leaving flexibility to States Parties</w:t>
      </w:r>
      <w:r w:rsidRPr="007305D0">
        <w:rPr>
          <w:noProof/>
        </w:rPr>
        <w:t xml:space="preserve"> </w:t>
      </w:r>
      <w:r w:rsidR="00B84225" w:rsidRPr="007305D0">
        <w:rPr>
          <w:noProof/>
        </w:rPr>
        <w:t>to establish the National IHR Authority and the National IHR Focal Point as one or two entities</w:t>
      </w:r>
      <w:r w:rsidR="00B36710" w:rsidRPr="007305D0">
        <w:rPr>
          <w:noProof/>
        </w:rPr>
        <w:t xml:space="preserve"> </w:t>
      </w:r>
      <w:r w:rsidR="00341FE4" w:rsidRPr="007305D0">
        <w:rPr>
          <w:noProof/>
        </w:rPr>
        <w:t>(Articles 1 and 4)</w:t>
      </w:r>
      <w:r w:rsidR="00DB0969" w:rsidRPr="007305D0">
        <w:rPr>
          <w:noProof/>
        </w:rPr>
        <w:t>.</w:t>
      </w:r>
    </w:p>
    <w:p w:rsidR="00341FE4" w:rsidRPr="007305D0" w:rsidRDefault="0016454B" w:rsidP="00FB0DDE">
      <w:pPr>
        <w:pStyle w:val="Tiret0"/>
        <w:rPr>
          <w:noProof/>
        </w:rPr>
      </w:pPr>
      <w:r w:rsidRPr="007305D0">
        <w:rPr>
          <w:noProof/>
        </w:rPr>
        <w:t>I</w:t>
      </w:r>
      <w:r w:rsidR="009969FA" w:rsidRPr="007305D0">
        <w:rPr>
          <w:noProof/>
        </w:rPr>
        <w:t>ntroduc</w:t>
      </w:r>
      <w:r w:rsidR="00A713B0" w:rsidRPr="007305D0">
        <w:rPr>
          <w:noProof/>
        </w:rPr>
        <w:t>tion of an</w:t>
      </w:r>
      <w:r w:rsidR="009969FA" w:rsidRPr="007305D0">
        <w:rPr>
          <w:noProof/>
        </w:rPr>
        <w:t xml:space="preserve"> explicit reference to “preparedness” </w:t>
      </w:r>
      <w:r w:rsidR="000A243D" w:rsidRPr="007305D0">
        <w:rPr>
          <w:noProof/>
        </w:rPr>
        <w:t>within</w:t>
      </w:r>
      <w:r w:rsidR="009969FA" w:rsidRPr="007305D0">
        <w:rPr>
          <w:noProof/>
        </w:rPr>
        <w:t xml:space="preserve"> the scope of the International Health Regulations (2005)</w:t>
      </w:r>
      <w:r w:rsidR="00AC50FA" w:rsidRPr="007305D0">
        <w:rPr>
          <w:noProof/>
        </w:rPr>
        <w:t>, to recall the importance, under the Regulations, of functions related to</w:t>
      </w:r>
      <w:r w:rsidR="00F86B91" w:rsidRPr="007305D0">
        <w:rPr>
          <w:noProof/>
        </w:rPr>
        <w:t xml:space="preserve"> the building of core capacities in an on-going manner, in the absence of public health emergencies</w:t>
      </w:r>
      <w:r w:rsidR="00312873" w:rsidRPr="007305D0">
        <w:rPr>
          <w:noProof/>
        </w:rPr>
        <w:t xml:space="preserve"> </w:t>
      </w:r>
      <w:r w:rsidR="009969FA" w:rsidRPr="007305D0">
        <w:rPr>
          <w:noProof/>
        </w:rPr>
        <w:t>(Article 2).</w:t>
      </w:r>
    </w:p>
    <w:p w:rsidR="00DB0969" w:rsidRPr="007305D0" w:rsidRDefault="006F2861" w:rsidP="00FB0DDE">
      <w:pPr>
        <w:pStyle w:val="Tiret0"/>
        <w:rPr>
          <w:noProof/>
        </w:rPr>
      </w:pPr>
      <w:r w:rsidRPr="007305D0">
        <w:rPr>
          <w:noProof/>
        </w:rPr>
        <w:t>P</w:t>
      </w:r>
      <w:r w:rsidR="0053626D" w:rsidRPr="007305D0">
        <w:rPr>
          <w:noProof/>
        </w:rPr>
        <w:t xml:space="preserve">rovisions aimed at </w:t>
      </w:r>
      <w:r w:rsidR="00F86B91" w:rsidRPr="007305D0">
        <w:rPr>
          <w:noProof/>
        </w:rPr>
        <w:t>enhancing the</w:t>
      </w:r>
      <w:r w:rsidR="00DB0969" w:rsidRPr="007305D0">
        <w:rPr>
          <w:noProof/>
        </w:rPr>
        <w:t xml:space="preserve"> commitment to solidarity and equity</w:t>
      </w:r>
      <w:r w:rsidR="0053626D" w:rsidRPr="007305D0">
        <w:rPr>
          <w:noProof/>
        </w:rPr>
        <w:t xml:space="preserve">. </w:t>
      </w:r>
      <w:r w:rsidR="000F66C5" w:rsidRPr="007305D0">
        <w:rPr>
          <w:noProof/>
        </w:rPr>
        <w:t>This includes the i</w:t>
      </w:r>
      <w:r w:rsidR="00B04C6B" w:rsidRPr="007305D0">
        <w:rPr>
          <w:noProof/>
        </w:rPr>
        <w:t>ntroduc</w:t>
      </w:r>
      <w:r w:rsidR="000F66C5" w:rsidRPr="007305D0">
        <w:rPr>
          <w:noProof/>
        </w:rPr>
        <w:t>tion of</w:t>
      </w:r>
      <w:r w:rsidR="00B04C6B" w:rsidRPr="007305D0">
        <w:rPr>
          <w:noProof/>
        </w:rPr>
        <w:t xml:space="preserve"> an explicit reference to these principles under Article 3</w:t>
      </w:r>
      <w:r w:rsidR="000F66C5" w:rsidRPr="007305D0">
        <w:rPr>
          <w:noProof/>
        </w:rPr>
        <w:t>, as well as the introduction of substantive</w:t>
      </w:r>
      <w:r w:rsidR="00B04C6B" w:rsidRPr="007305D0">
        <w:rPr>
          <w:noProof/>
        </w:rPr>
        <w:t xml:space="preserve"> provision</w:t>
      </w:r>
      <w:r w:rsidR="009969FA" w:rsidRPr="007305D0">
        <w:rPr>
          <w:noProof/>
        </w:rPr>
        <w:t>s</w:t>
      </w:r>
      <w:r w:rsidR="00B04C6B" w:rsidRPr="007305D0">
        <w:rPr>
          <w:noProof/>
        </w:rPr>
        <w:t xml:space="preserve"> </w:t>
      </w:r>
      <w:r w:rsidR="00DB0969" w:rsidRPr="007305D0">
        <w:rPr>
          <w:noProof/>
        </w:rPr>
        <w:t xml:space="preserve">strengthening access to medical products </w:t>
      </w:r>
      <w:r w:rsidR="00B04C6B" w:rsidRPr="007305D0">
        <w:rPr>
          <w:noProof/>
        </w:rPr>
        <w:t>(A</w:t>
      </w:r>
      <w:r w:rsidR="009969FA" w:rsidRPr="007305D0">
        <w:rPr>
          <w:noProof/>
        </w:rPr>
        <w:t>rticle 1 with the new definition of “relevant health products” and A</w:t>
      </w:r>
      <w:r w:rsidR="00B04C6B" w:rsidRPr="007305D0">
        <w:rPr>
          <w:noProof/>
        </w:rPr>
        <w:t>rticles 13, 15, 16</w:t>
      </w:r>
      <w:r w:rsidR="00EF6713" w:rsidRPr="007305D0">
        <w:rPr>
          <w:noProof/>
        </w:rPr>
        <w:t>,</w:t>
      </w:r>
      <w:r w:rsidR="00B04C6B" w:rsidRPr="007305D0">
        <w:rPr>
          <w:noProof/>
        </w:rPr>
        <w:t xml:space="preserve"> </w:t>
      </w:r>
      <w:r w:rsidR="007A7363" w:rsidRPr="007305D0">
        <w:rPr>
          <w:noProof/>
        </w:rPr>
        <w:t xml:space="preserve">17 </w:t>
      </w:r>
      <w:r w:rsidR="00B04C6B" w:rsidRPr="007305D0">
        <w:rPr>
          <w:noProof/>
        </w:rPr>
        <w:t xml:space="preserve">and </w:t>
      </w:r>
      <w:r w:rsidR="007A7363" w:rsidRPr="007305D0">
        <w:rPr>
          <w:noProof/>
        </w:rPr>
        <w:t>44</w:t>
      </w:r>
      <w:r w:rsidR="009969FA" w:rsidRPr="007305D0">
        <w:rPr>
          <w:noProof/>
        </w:rPr>
        <w:t xml:space="preserve">) </w:t>
      </w:r>
      <w:r w:rsidR="00DB0969" w:rsidRPr="007305D0">
        <w:rPr>
          <w:noProof/>
        </w:rPr>
        <w:t>and financing</w:t>
      </w:r>
      <w:r w:rsidR="009969FA" w:rsidRPr="007305D0">
        <w:rPr>
          <w:noProof/>
        </w:rPr>
        <w:t xml:space="preserve"> (Articles 44 and 44 bis)</w:t>
      </w:r>
      <w:r w:rsidR="00DB0969" w:rsidRPr="007305D0">
        <w:rPr>
          <w:noProof/>
        </w:rPr>
        <w:t xml:space="preserve">. </w:t>
      </w:r>
      <w:r w:rsidR="000F66C5" w:rsidRPr="007305D0">
        <w:rPr>
          <w:noProof/>
        </w:rPr>
        <w:t>Under Article 44 bis, a</w:t>
      </w:r>
      <w:r w:rsidR="00DB0969" w:rsidRPr="007305D0">
        <w:rPr>
          <w:noProof/>
        </w:rPr>
        <w:t xml:space="preserve"> Coordinating Financial Mechanism </w:t>
      </w:r>
      <w:r w:rsidR="000F66C5" w:rsidRPr="007305D0">
        <w:rPr>
          <w:noProof/>
        </w:rPr>
        <w:t xml:space="preserve">is established </w:t>
      </w:r>
      <w:r w:rsidR="00DB0969" w:rsidRPr="007305D0">
        <w:rPr>
          <w:noProof/>
        </w:rPr>
        <w:t xml:space="preserve">to </w:t>
      </w:r>
      <w:r w:rsidR="009014D6" w:rsidRPr="007305D0">
        <w:rPr>
          <w:noProof/>
        </w:rPr>
        <w:t xml:space="preserve">promote and </w:t>
      </w:r>
      <w:r w:rsidR="00DB0969" w:rsidRPr="007305D0">
        <w:rPr>
          <w:noProof/>
        </w:rPr>
        <w:t>support identification of, and access to, financing required to “</w:t>
      </w:r>
      <w:r w:rsidR="00DB0969" w:rsidRPr="0088730C">
        <w:rPr>
          <w:i/>
          <w:iCs/>
          <w:noProof/>
        </w:rPr>
        <w:t>equitably address the needs and priorities of developing countries, including for developing, strengthening and maintaining core capacities</w:t>
      </w:r>
      <w:r w:rsidR="00DB0969" w:rsidRPr="007305D0">
        <w:rPr>
          <w:noProof/>
        </w:rPr>
        <w:t>”</w:t>
      </w:r>
      <w:r w:rsidR="0088730C">
        <w:rPr>
          <w:noProof/>
        </w:rPr>
        <w:t>,</w:t>
      </w:r>
      <w:r w:rsidR="00DB0969" w:rsidRPr="007305D0">
        <w:rPr>
          <w:noProof/>
        </w:rPr>
        <w:t xml:space="preserve"> </w:t>
      </w:r>
      <w:r w:rsidR="0016454B" w:rsidRPr="007305D0">
        <w:rPr>
          <w:noProof/>
        </w:rPr>
        <w:t>comprising</w:t>
      </w:r>
      <w:r w:rsidR="009014D6" w:rsidRPr="007305D0">
        <w:rPr>
          <w:noProof/>
        </w:rPr>
        <w:t xml:space="preserve"> those relevant for</w:t>
      </w:r>
      <w:r w:rsidR="00DB0969" w:rsidRPr="007305D0">
        <w:rPr>
          <w:noProof/>
        </w:rPr>
        <w:t xml:space="preserve"> pandemic emergenc</w:t>
      </w:r>
      <w:r w:rsidR="009014D6" w:rsidRPr="007305D0">
        <w:rPr>
          <w:noProof/>
        </w:rPr>
        <w:t>ies.</w:t>
      </w:r>
    </w:p>
    <w:p w:rsidR="00312873" w:rsidRPr="007305D0" w:rsidRDefault="006F2861" w:rsidP="00FB0DDE">
      <w:pPr>
        <w:pStyle w:val="Tiret0"/>
        <w:rPr>
          <w:noProof/>
        </w:rPr>
      </w:pPr>
      <w:r w:rsidRPr="007305D0">
        <w:rPr>
          <w:noProof/>
        </w:rPr>
        <w:t>P</w:t>
      </w:r>
      <w:r w:rsidR="009014D6" w:rsidRPr="007305D0">
        <w:rPr>
          <w:noProof/>
        </w:rPr>
        <w:t xml:space="preserve">rovisions aimed at </w:t>
      </w:r>
      <w:r w:rsidR="00651F8E" w:rsidRPr="007305D0">
        <w:rPr>
          <w:noProof/>
        </w:rPr>
        <w:t>improving the timely sharing of information</w:t>
      </w:r>
      <w:r w:rsidR="009365EA" w:rsidRPr="007305D0">
        <w:rPr>
          <w:noProof/>
        </w:rPr>
        <w:t xml:space="preserve"> in case of public emergencies</w:t>
      </w:r>
      <w:r w:rsidR="00974F65" w:rsidRPr="007305D0">
        <w:rPr>
          <w:noProof/>
        </w:rPr>
        <w:t xml:space="preserve">, between WHO </w:t>
      </w:r>
      <w:r w:rsidR="009365EA" w:rsidRPr="007305D0">
        <w:rPr>
          <w:noProof/>
        </w:rPr>
        <w:t xml:space="preserve">and </w:t>
      </w:r>
      <w:r w:rsidR="00974F65" w:rsidRPr="007305D0">
        <w:rPr>
          <w:noProof/>
        </w:rPr>
        <w:t>relevant intergovernmental organizations</w:t>
      </w:r>
      <w:r w:rsidR="00651F8E" w:rsidRPr="007305D0">
        <w:rPr>
          <w:noProof/>
        </w:rPr>
        <w:t xml:space="preserve"> (Article 6</w:t>
      </w:r>
      <w:r w:rsidR="009365EA" w:rsidRPr="007305D0">
        <w:rPr>
          <w:noProof/>
        </w:rPr>
        <w:t xml:space="preserve">) and between WHO and </w:t>
      </w:r>
      <w:r w:rsidR="0016454B" w:rsidRPr="007305D0">
        <w:rPr>
          <w:noProof/>
        </w:rPr>
        <w:t>State</w:t>
      </w:r>
      <w:r w:rsidR="00B84225" w:rsidRPr="007305D0">
        <w:rPr>
          <w:noProof/>
        </w:rPr>
        <w:t>s</w:t>
      </w:r>
      <w:r w:rsidR="0016454B" w:rsidRPr="007305D0">
        <w:rPr>
          <w:noProof/>
        </w:rPr>
        <w:t xml:space="preserve"> Parties</w:t>
      </w:r>
      <w:r w:rsidR="009365EA" w:rsidRPr="007305D0">
        <w:rPr>
          <w:noProof/>
        </w:rPr>
        <w:t xml:space="preserve"> (Articles</w:t>
      </w:r>
      <w:r w:rsidR="00651F8E" w:rsidRPr="007305D0">
        <w:rPr>
          <w:noProof/>
        </w:rPr>
        <w:t xml:space="preserve"> 8 and 10)</w:t>
      </w:r>
      <w:r w:rsidR="009365EA" w:rsidRPr="007305D0">
        <w:rPr>
          <w:noProof/>
        </w:rPr>
        <w:t>.</w:t>
      </w:r>
    </w:p>
    <w:p w:rsidR="00651F8E" w:rsidRPr="007305D0" w:rsidRDefault="0016454B" w:rsidP="00FB0DDE">
      <w:pPr>
        <w:pStyle w:val="Tiret0"/>
        <w:rPr>
          <w:noProof/>
        </w:rPr>
      </w:pPr>
      <w:r w:rsidRPr="007305D0">
        <w:rPr>
          <w:noProof/>
        </w:rPr>
        <w:t>I</w:t>
      </w:r>
      <w:r w:rsidR="009365EA" w:rsidRPr="007305D0">
        <w:rPr>
          <w:noProof/>
        </w:rPr>
        <w:t xml:space="preserve">ntroduction of </w:t>
      </w:r>
      <w:r w:rsidR="00961E80" w:rsidRPr="007305D0">
        <w:rPr>
          <w:noProof/>
        </w:rPr>
        <w:t>a requirement for WHO, when issuing recommendations, to take into account the need to facilitate international travel and maintain international supply chains (Article 18)</w:t>
      </w:r>
      <w:r w:rsidR="009365EA" w:rsidRPr="007305D0">
        <w:rPr>
          <w:noProof/>
        </w:rPr>
        <w:t>.</w:t>
      </w:r>
    </w:p>
    <w:p w:rsidR="009365EA" w:rsidRPr="007305D0" w:rsidRDefault="006F2861" w:rsidP="00FB0DDE">
      <w:pPr>
        <w:pStyle w:val="Tiret0"/>
        <w:rPr>
          <w:noProof/>
        </w:rPr>
      </w:pPr>
      <w:r w:rsidRPr="007305D0">
        <w:rPr>
          <w:noProof/>
        </w:rPr>
        <w:t>P</w:t>
      </w:r>
      <w:r w:rsidR="0084739A" w:rsidRPr="007305D0">
        <w:rPr>
          <w:noProof/>
        </w:rPr>
        <w:t>rovisions aimed at improving coordination between conveyance operators and port authorities</w:t>
      </w:r>
      <w:r w:rsidR="00B6054D" w:rsidRPr="007305D0">
        <w:rPr>
          <w:noProof/>
        </w:rPr>
        <w:t>, with a requirement for conveyances operators to prepare, as appropriate, for the application of health measures on board, as well as during embarkation and disembarkation</w:t>
      </w:r>
      <w:r w:rsidR="0084739A" w:rsidRPr="007305D0">
        <w:rPr>
          <w:noProof/>
        </w:rPr>
        <w:t xml:space="preserve"> (</w:t>
      </w:r>
      <w:r w:rsidR="00B6054D" w:rsidRPr="007305D0">
        <w:rPr>
          <w:noProof/>
        </w:rPr>
        <w:t xml:space="preserve">Annex 4), as well as through clarifications provided in </w:t>
      </w:r>
      <w:r w:rsidR="0084739A" w:rsidRPr="007305D0">
        <w:rPr>
          <w:noProof/>
        </w:rPr>
        <w:t>Articles 24</w:t>
      </w:r>
      <w:r w:rsidR="00B6054D" w:rsidRPr="007305D0">
        <w:rPr>
          <w:noProof/>
        </w:rPr>
        <w:t xml:space="preserve"> and</w:t>
      </w:r>
      <w:r w:rsidR="0084739A" w:rsidRPr="007305D0">
        <w:rPr>
          <w:noProof/>
        </w:rPr>
        <w:t xml:space="preserve"> 27</w:t>
      </w:r>
      <w:r w:rsidR="00B6054D" w:rsidRPr="007305D0">
        <w:rPr>
          <w:noProof/>
        </w:rPr>
        <w:t>.</w:t>
      </w:r>
    </w:p>
    <w:p w:rsidR="006A115C" w:rsidRPr="007305D0" w:rsidRDefault="006F2861" w:rsidP="00FB0DDE">
      <w:pPr>
        <w:pStyle w:val="Tiret0"/>
        <w:rPr>
          <w:noProof/>
        </w:rPr>
      </w:pPr>
      <w:r w:rsidRPr="007305D0">
        <w:rPr>
          <w:noProof/>
        </w:rPr>
        <w:t>N</w:t>
      </w:r>
      <w:r w:rsidR="009365EA" w:rsidRPr="007305D0">
        <w:rPr>
          <w:noProof/>
        </w:rPr>
        <w:t xml:space="preserve">ew provisions </w:t>
      </w:r>
      <w:r w:rsidR="006A115C" w:rsidRPr="007305D0">
        <w:rPr>
          <w:noProof/>
        </w:rPr>
        <w:t xml:space="preserve">enabling the use of digital health certificates </w:t>
      </w:r>
      <w:r w:rsidR="0084739A" w:rsidRPr="007305D0">
        <w:rPr>
          <w:noProof/>
        </w:rPr>
        <w:t xml:space="preserve">under the Regulations </w:t>
      </w:r>
      <w:r w:rsidR="006A115C" w:rsidRPr="007305D0">
        <w:rPr>
          <w:noProof/>
        </w:rPr>
        <w:t>(Article 35 and Annex 6)</w:t>
      </w:r>
      <w:r w:rsidR="00B6054D" w:rsidRPr="007305D0">
        <w:rPr>
          <w:noProof/>
        </w:rPr>
        <w:t xml:space="preserve"> and requiring WHO to develop and update, as necessary technical guidance</w:t>
      </w:r>
      <w:r w:rsidR="00184576" w:rsidRPr="007305D0">
        <w:rPr>
          <w:noProof/>
        </w:rPr>
        <w:t xml:space="preserve"> for health documents. </w:t>
      </w:r>
    </w:p>
    <w:p w:rsidR="00184576" w:rsidRPr="007305D0" w:rsidRDefault="006F2861" w:rsidP="00FB0DDE">
      <w:pPr>
        <w:pStyle w:val="Tiret0"/>
        <w:rPr>
          <w:noProof/>
        </w:rPr>
      </w:pPr>
      <w:r w:rsidRPr="007305D0">
        <w:rPr>
          <w:noProof/>
        </w:rPr>
        <w:t>P</w:t>
      </w:r>
      <w:r w:rsidR="007A7363" w:rsidRPr="007305D0">
        <w:rPr>
          <w:noProof/>
        </w:rPr>
        <w:t>rovisions aimed at facilitating consultations requested by a State Party impacted by a health measure taken by another State Party in order to clarify its scientific basis and to find a mutually acceptable solution (Article 43).</w:t>
      </w:r>
    </w:p>
    <w:p w:rsidR="007A7363" w:rsidRPr="007305D0" w:rsidRDefault="0016454B" w:rsidP="00FB0DDE">
      <w:pPr>
        <w:pStyle w:val="Tiret0"/>
        <w:rPr>
          <w:noProof/>
        </w:rPr>
      </w:pPr>
      <w:r w:rsidRPr="007305D0">
        <w:rPr>
          <w:noProof/>
        </w:rPr>
        <w:t>C</w:t>
      </w:r>
      <w:r w:rsidR="009C2849" w:rsidRPr="007305D0">
        <w:rPr>
          <w:noProof/>
        </w:rPr>
        <w:t xml:space="preserve">larification on the composition and way of working of the Emergency Committee (Articles 48 and 49). </w:t>
      </w:r>
    </w:p>
    <w:p w:rsidR="00DB0969" w:rsidRPr="007305D0" w:rsidRDefault="0016454B" w:rsidP="00FB0DDE">
      <w:pPr>
        <w:pStyle w:val="Tiret0"/>
        <w:rPr>
          <w:noProof/>
        </w:rPr>
      </w:pPr>
      <w:r w:rsidRPr="007305D0">
        <w:rPr>
          <w:noProof/>
        </w:rPr>
        <w:t>E</w:t>
      </w:r>
      <w:r w:rsidR="00DB0969" w:rsidRPr="007305D0">
        <w:rPr>
          <w:noProof/>
        </w:rPr>
        <w:t xml:space="preserve">stablishment of the States Parties Committee to facilitate the effective implementation of the amended Regulations. The </w:t>
      </w:r>
      <w:r w:rsidR="007A7363" w:rsidRPr="007305D0">
        <w:rPr>
          <w:noProof/>
        </w:rPr>
        <w:t xml:space="preserve">objective of the </w:t>
      </w:r>
      <w:r w:rsidR="00DB0969" w:rsidRPr="007305D0">
        <w:rPr>
          <w:noProof/>
        </w:rPr>
        <w:t xml:space="preserve">Committee </w:t>
      </w:r>
      <w:r w:rsidR="007A7363" w:rsidRPr="007305D0">
        <w:rPr>
          <w:noProof/>
        </w:rPr>
        <w:t xml:space="preserve">is in </w:t>
      </w:r>
      <w:r w:rsidR="006A115C" w:rsidRPr="007305D0">
        <w:rPr>
          <w:noProof/>
        </w:rPr>
        <w:t xml:space="preserve">particular </w:t>
      </w:r>
      <w:r w:rsidR="007A7363" w:rsidRPr="007305D0">
        <w:rPr>
          <w:noProof/>
        </w:rPr>
        <w:t xml:space="preserve">to </w:t>
      </w:r>
      <w:r w:rsidR="00DB0969" w:rsidRPr="007305D0">
        <w:rPr>
          <w:noProof/>
        </w:rPr>
        <w:t xml:space="preserve">promote and support cooperation among States Parties for the </w:t>
      </w:r>
      <w:r w:rsidR="00F46EE1">
        <w:rPr>
          <w:noProof/>
        </w:rPr>
        <w:t xml:space="preserve">purpose of </w:t>
      </w:r>
      <w:r w:rsidR="00DB0969" w:rsidRPr="007305D0">
        <w:rPr>
          <w:noProof/>
        </w:rPr>
        <w:t>effective implementation of the R</w:t>
      </w:r>
      <w:r w:rsidR="009C2849" w:rsidRPr="007305D0">
        <w:rPr>
          <w:noProof/>
        </w:rPr>
        <w:t>egulations</w:t>
      </w:r>
      <w:r w:rsidR="000B12A3" w:rsidRPr="007305D0">
        <w:rPr>
          <w:noProof/>
        </w:rPr>
        <w:t>, upon technical advice from a Subcommittee, which remains to be established</w:t>
      </w:r>
      <w:r w:rsidR="009C2849" w:rsidRPr="007305D0">
        <w:rPr>
          <w:noProof/>
        </w:rPr>
        <w:t xml:space="preserve"> (Article 54 bis).</w:t>
      </w:r>
    </w:p>
    <w:p w:rsidR="00341FE4" w:rsidRPr="007305D0" w:rsidRDefault="00CB5213" w:rsidP="00FB0DDE">
      <w:pPr>
        <w:pStyle w:val="Tiret0"/>
        <w:rPr>
          <w:noProof/>
        </w:rPr>
      </w:pPr>
      <w:r w:rsidRPr="007305D0">
        <w:rPr>
          <w:noProof/>
        </w:rPr>
        <w:t>Provisions aimed at s</w:t>
      </w:r>
      <w:r w:rsidR="00341FE4" w:rsidRPr="007305D0">
        <w:rPr>
          <w:noProof/>
        </w:rPr>
        <w:t>trengthening core capacities of State Parties (</w:t>
      </w:r>
      <w:r w:rsidRPr="007305D0">
        <w:rPr>
          <w:noProof/>
        </w:rPr>
        <w:t>Articles 5</w:t>
      </w:r>
      <w:r w:rsidR="00B36710" w:rsidRPr="007305D0">
        <w:rPr>
          <w:noProof/>
        </w:rPr>
        <w:t>(1)</w:t>
      </w:r>
      <w:r w:rsidRPr="007305D0">
        <w:rPr>
          <w:noProof/>
        </w:rPr>
        <w:t xml:space="preserve"> and 13</w:t>
      </w:r>
      <w:r w:rsidR="00B36710" w:rsidRPr="007305D0">
        <w:rPr>
          <w:noProof/>
        </w:rPr>
        <w:t>(1)</w:t>
      </w:r>
      <w:r w:rsidRPr="007305D0">
        <w:rPr>
          <w:noProof/>
        </w:rPr>
        <w:t xml:space="preserve"> and </w:t>
      </w:r>
      <w:r w:rsidR="00341FE4" w:rsidRPr="007305D0">
        <w:rPr>
          <w:noProof/>
        </w:rPr>
        <w:t>Annex 1)</w:t>
      </w:r>
      <w:r w:rsidR="00554409" w:rsidRPr="007305D0">
        <w:rPr>
          <w:noProof/>
        </w:rPr>
        <w:t>, by introducing in particular in Annex 1</w:t>
      </w:r>
      <w:r w:rsidR="00F46EE1">
        <w:rPr>
          <w:noProof/>
        </w:rPr>
        <w:t>,</w:t>
      </w:r>
      <w:r w:rsidR="00554409" w:rsidRPr="007305D0">
        <w:rPr>
          <w:noProof/>
        </w:rPr>
        <w:t xml:space="preserve"> more detailed core capacities requirements </w:t>
      </w:r>
      <w:r w:rsidR="000A243D" w:rsidRPr="007305D0">
        <w:rPr>
          <w:noProof/>
        </w:rPr>
        <w:t>for</w:t>
      </w:r>
      <w:r w:rsidR="00554409" w:rsidRPr="007305D0">
        <w:rPr>
          <w:noProof/>
        </w:rPr>
        <w:t xml:space="preserve"> prevention and preparedness, as well as a requirement to engage stakeholders and communities in </w:t>
      </w:r>
      <w:r w:rsidR="00F46EE1">
        <w:rPr>
          <w:noProof/>
        </w:rPr>
        <w:t xml:space="preserve">the context of </w:t>
      </w:r>
      <w:r w:rsidR="00554409" w:rsidRPr="007305D0">
        <w:rPr>
          <w:noProof/>
        </w:rPr>
        <w:t>preparedness and response</w:t>
      </w:r>
      <w:r w:rsidR="00725724" w:rsidRPr="007305D0">
        <w:rPr>
          <w:noProof/>
        </w:rPr>
        <w:t>,</w:t>
      </w:r>
      <w:r w:rsidR="00554409" w:rsidRPr="007305D0">
        <w:rPr>
          <w:noProof/>
        </w:rPr>
        <w:t xml:space="preserve"> and a requirement for the national response level to ensure coordination with</w:t>
      </w:r>
      <w:r w:rsidR="00725724" w:rsidRPr="007305D0">
        <w:rPr>
          <w:noProof/>
        </w:rPr>
        <w:t>,</w:t>
      </w:r>
      <w:r w:rsidR="00554409" w:rsidRPr="007305D0">
        <w:rPr>
          <w:noProof/>
        </w:rPr>
        <w:t xml:space="preserve"> and provide support to</w:t>
      </w:r>
      <w:r w:rsidR="00725724" w:rsidRPr="007305D0">
        <w:rPr>
          <w:noProof/>
        </w:rPr>
        <w:t>,</w:t>
      </w:r>
      <w:r w:rsidR="00554409" w:rsidRPr="007305D0">
        <w:rPr>
          <w:noProof/>
        </w:rPr>
        <w:t xml:space="preserve"> the local and intermediate response levels.</w:t>
      </w:r>
    </w:p>
    <w:p w:rsidR="002D1EB2" w:rsidRPr="007305D0" w:rsidRDefault="00F565F4" w:rsidP="00FB0DDE">
      <w:pPr>
        <w:pStyle w:val="Tiret0"/>
        <w:rPr>
          <w:noProof/>
        </w:rPr>
      </w:pPr>
      <w:r w:rsidRPr="007305D0">
        <w:rPr>
          <w:noProof/>
        </w:rPr>
        <w:t xml:space="preserve">The revision of the Decision instrument </w:t>
      </w:r>
      <w:r w:rsidR="000A243D" w:rsidRPr="007305D0">
        <w:rPr>
          <w:noProof/>
        </w:rPr>
        <w:t xml:space="preserve">(Annex 2) </w:t>
      </w:r>
      <w:r w:rsidRPr="007305D0">
        <w:rPr>
          <w:noProof/>
        </w:rPr>
        <w:t xml:space="preserve">for the assessment and notification of events that may constitute a public health emergency of international concern, </w:t>
      </w:r>
      <w:r w:rsidR="000A243D" w:rsidRPr="007305D0">
        <w:rPr>
          <w:noProof/>
        </w:rPr>
        <w:t>including</w:t>
      </w:r>
      <w:r w:rsidRPr="007305D0">
        <w:rPr>
          <w:noProof/>
        </w:rPr>
        <w:t xml:space="preserve"> the clarification that clusters of cases of severe acute respiratory disease of unknown or novel cause shall lead to the utilization of the algorithm </w:t>
      </w:r>
      <w:r w:rsidR="000A243D" w:rsidRPr="007305D0">
        <w:rPr>
          <w:noProof/>
        </w:rPr>
        <w:t xml:space="preserve">set out in the </w:t>
      </w:r>
      <w:r w:rsidRPr="007305D0">
        <w:rPr>
          <w:noProof/>
        </w:rPr>
        <w:t>Annex.</w:t>
      </w:r>
    </w:p>
    <w:p w:rsidR="004A7A70" w:rsidRPr="007305D0" w:rsidRDefault="00554409" w:rsidP="00FB0DDE">
      <w:pPr>
        <w:pStyle w:val="Tiret0"/>
        <w:rPr>
          <w:noProof/>
        </w:rPr>
      </w:pPr>
      <w:r w:rsidRPr="007305D0">
        <w:rPr>
          <w:noProof/>
        </w:rPr>
        <w:t>Additional e</w:t>
      </w:r>
      <w:r w:rsidR="009365EA" w:rsidRPr="007305D0">
        <w:rPr>
          <w:noProof/>
        </w:rPr>
        <w:t xml:space="preserve">ditorial amendments in Articles 5, </w:t>
      </w:r>
      <w:r w:rsidRPr="007305D0">
        <w:rPr>
          <w:noProof/>
        </w:rPr>
        <w:t>12, 13, 15</w:t>
      </w:r>
      <w:r w:rsidR="0031639D" w:rsidRPr="007305D0">
        <w:rPr>
          <w:noProof/>
        </w:rPr>
        <w:t xml:space="preserve">, </w:t>
      </w:r>
      <w:r w:rsidR="009365EA" w:rsidRPr="007305D0">
        <w:rPr>
          <w:noProof/>
        </w:rPr>
        <w:t>19, 20, 21, 23, 28</w:t>
      </w:r>
      <w:r w:rsidR="0084739A" w:rsidRPr="007305D0">
        <w:rPr>
          <w:noProof/>
        </w:rPr>
        <w:t xml:space="preserve">, 37, </w:t>
      </w:r>
      <w:r w:rsidR="0031639D" w:rsidRPr="007305D0">
        <w:rPr>
          <w:noProof/>
        </w:rPr>
        <w:t xml:space="preserve">44, </w:t>
      </w:r>
      <w:r w:rsidR="0084739A" w:rsidRPr="007305D0">
        <w:rPr>
          <w:noProof/>
        </w:rPr>
        <w:t xml:space="preserve">45, </w:t>
      </w:r>
      <w:r w:rsidR="0031639D" w:rsidRPr="007305D0">
        <w:rPr>
          <w:noProof/>
        </w:rPr>
        <w:t xml:space="preserve">49, </w:t>
      </w:r>
      <w:r w:rsidR="0084739A" w:rsidRPr="007305D0">
        <w:rPr>
          <w:noProof/>
        </w:rPr>
        <w:t>50, 53</w:t>
      </w:r>
      <w:r w:rsidR="002D1EB2" w:rsidRPr="007305D0">
        <w:rPr>
          <w:noProof/>
        </w:rPr>
        <w:t xml:space="preserve"> and Annex</w:t>
      </w:r>
      <w:r w:rsidR="00905A60" w:rsidRPr="007305D0">
        <w:rPr>
          <w:noProof/>
        </w:rPr>
        <w:t>es 1</w:t>
      </w:r>
      <w:r w:rsidR="0031639D" w:rsidRPr="007305D0">
        <w:rPr>
          <w:noProof/>
        </w:rPr>
        <w:t xml:space="preserve">, 3, 4 </w:t>
      </w:r>
      <w:r w:rsidR="00905A60" w:rsidRPr="007305D0">
        <w:rPr>
          <w:noProof/>
        </w:rPr>
        <w:t>and</w:t>
      </w:r>
      <w:r w:rsidR="002D1EB2" w:rsidRPr="007305D0">
        <w:rPr>
          <w:noProof/>
        </w:rPr>
        <w:t xml:space="preserve"> 8. </w:t>
      </w:r>
    </w:p>
    <w:p w:rsidR="00EA4AB4" w:rsidRPr="007305D0" w:rsidRDefault="00EA4AB4" w:rsidP="00FB0DDE">
      <w:pPr>
        <w:pStyle w:val="ManualHeading2"/>
        <w:spacing w:before="240"/>
        <w:rPr>
          <w:rFonts w:eastAsia="Arial Unicode MS"/>
          <w:noProof/>
        </w:rPr>
      </w:pPr>
      <w:r w:rsidRPr="007305D0">
        <w:rPr>
          <w:rFonts w:eastAsia="Arial Unicode MS"/>
          <w:noProof/>
          <w:color w:val="000000"/>
          <w:u w:color="000000"/>
          <w:bdr w:val="nil"/>
          <w:lang w:val="en-US" w:eastAsia="en-GB"/>
        </w:rPr>
        <w:t>•</w:t>
      </w:r>
      <w:r w:rsidRPr="007305D0">
        <w:rPr>
          <w:rFonts w:eastAsia="Arial Unicode MS"/>
          <w:noProof/>
          <w:color w:val="000000"/>
          <w:u w:color="000000"/>
          <w:bdr w:val="nil"/>
          <w:lang w:val="en-US" w:eastAsia="en-GB"/>
        </w:rPr>
        <w:tab/>
      </w:r>
      <w:r w:rsidR="00781A48" w:rsidRPr="007305D0">
        <w:rPr>
          <w:rFonts w:eastAsia="Arial Unicode MS"/>
          <w:noProof/>
        </w:rPr>
        <w:t>Consistency with existing policy provisions in the policy area</w:t>
      </w:r>
      <w:r w:rsidR="004A7A70">
        <w:rPr>
          <w:rFonts w:eastAsia="Arial Unicode MS"/>
          <w:noProof/>
        </w:rPr>
        <w:t xml:space="preserve"> and competences</w:t>
      </w:r>
    </w:p>
    <w:p w:rsidR="00781A48" w:rsidRPr="007305D0" w:rsidRDefault="00781A48" w:rsidP="00616F9C">
      <w:pPr>
        <w:rPr>
          <w:noProof/>
        </w:rPr>
      </w:pPr>
      <w:r w:rsidRPr="007305D0">
        <w:rPr>
          <w:noProof/>
        </w:rPr>
        <w:t>The purpose and scope of the International Health Regulations (2005), as amended through Resolution WHA77.17, are “</w:t>
      </w:r>
      <w:r w:rsidRPr="007305D0">
        <w:rPr>
          <w:i/>
          <w:iCs/>
          <w:noProof/>
        </w:rPr>
        <w:t>to prevent, prepare for, protect against, control and provide a public health response to the international spread of disease in ways that are commensurate and restricted to public health risks, and which avoid unnecessary interference with international traffic and trade.</w:t>
      </w:r>
      <w:r w:rsidRPr="007305D0">
        <w:rPr>
          <w:noProof/>
        </w:rPr>
        <w:t xml:space="preserve">” </w:t>
      </w:r>
      <w:bookmarkStart w:id="6" w:name="_Hlk173717020"/>
      <w:r w:rsidR="00EE632F" w:rsidRPr="007305D0">
        <w:rPr>
          <w:noProof/>
        </w:rPr>
        <w:t>The main policy area covered by the International Health Regulations (2005)</w:t>
      </w:r>
      <w:r w:rsidR="00F727C7">
        <w:rPr>
          <w:noProof/>
        </w:rPr>
        <w:t xml:space="preserve"> and by the amendments adopted </w:t>
      </w:r>
      <w:r w:rsidR="00EE632F" w:rsidRPr="007305D0">
        <w:rPr>
          <w:noProof/>
        </w:rPr>
        <w:t xml:space="preserve">through Resolution WHA77.17, is thus related to </w:t>
      </w:r>
      <w:r w:rsidR="00FF421A">
        <w:rPr>
          <w:noProof/>
        </w:rPr>
        <w:t xml:space="preserve">the fight against serious </w:t>
      </w:r>
      <w:r w:rsidR="00EE632F" w:rsidRPr="007305D0">
        <w:rPr>
          <w:noProof/>
        </w:rPr>
        <w:t>cross-border health threats, which is an area where the U</w:t>
      </w:r>
      <w:r w:rsidR="00F727C7">
        <w:rPr>
          <w:noProof/>
        </w:rPr>
        <w:t>nion</w:t>
      </w:r>
      <w:r w:rsidR="00EE632F" w:rsidRPr="007305D0">
        <w:rPr>
          <w:noProof/>
        </w:rPr>
        <w:t xml:space="preserve"> has competence</w:t>
      </w:r>
      <w:bookmarkEnd w:id="6"/>
      <w:r w:rsidR="00EE632F" w:rsidRPr="007305D0">
        <w:rPr>
          <w:noProof/>
        </w:rPr>
        <w:t>, in accordance with Article 168(5) TFEU.</w:t>
      </w:r>
      <w:r w:rsidR="004A7A70">
        <w:rPr>
          <w:noProof/>
        </w:rPr>
        <w:t xml:space="preserve"> </w:t>
      </w:r>
    </w:p>
    <w:p w:rsidR="001C54A7" w:rsidRPr="007305D0" w:rsidRDefault="00AE70D6" w:rsidP="00D63FDF">
      <w:pPr>
        <w:rPr>
          <w:noProof/>
        </w:rPr>
      </w:pPr>
      <w:r w:rsidRPr="007305D0">
        <w:rPr>
          <w:noProof/>
        </w:rPr>
        <w:t xml:space="preserve">At EU level, </w:t>
      </w:r>
      <w:r w:rsidR="00A8031D" w:rsidRPr="007305D0">
        <w:rPr>
          <w:noProof/>
        </w:rPr>
        <w:t xml:space="preserve">Regulation </w:t>
      </w:r>
      <w:r w:rsidR="001C54A7" w:rsidRPr="007305D0">
        <w:rPr>
          <w:noProof/>
        </w:rPr>
        <w:t>(EU) 2022/2371 of the European Parliament and of the Council of 23 November 2022 on serious cross-border threats to health and repealing Decision No 1082/2013/EU</w:t>
      </w:r>
      <w:r w:rsidR="007235C9" w:rsidRPr="007305D0">
        <w:rPr>
          <w:rStyle w:val="FootnoteReference"/>
          <w:noProof/>
        </w:rPr>
        <w:footnoteReference w:id="11"/>
      </w:r>
      <w:r w:rsidR="00A8031D" w:rsidRPr="007305D0">
        <w:rPr>
          <w:noProof/>
        </w:rPr>
        <w:t xml:space="preserve"> </w:t>
      </w:r>
      <w:r w:rsidRPr="007305D0">
        <w:rPr>
          <w:noProof/>
        </w:rPr>
        <w:t>provides the framework</w:t>
      </w:r>
      <w:r w:rsidR="00ED52DD" w:rsidRPr="007305D0">
        <w:rPr>
          <w:noProof/>
        </w:rPr>
        <w:t xml:space="preserve"> and mechanisms for</w:t>
      </w:r>
      <w:r w:rsidRPr="007305D0">
        <w:rPr>
          <w:noProof/>
        </w:rPr>
        <w:t xml:space="preserve"> coordinat</w:t>
      </w:r>
      <w:r w:rsidR="00ED52DD" w:rsidRPr="007305D0">
        <w:rPr>
          <w:noProof/>
        </w:rPr>
        <w:t>ing</w:t>
      </w:r>
      <w:r w:rsidRPr="007305D0">
        <w:rPr>
          <w:noProof/>
        </w:rPr>
        <w:t xml:space="preserve"> </w:t>
      </w:r>
      <w:r w:rsidR="00ED3974" w:rsidRPr="007305D0">
        <w:rPr>
          <w:noProof/>
        </w:rPr>
        <w:t>and strengthen</w:t>
      </w:r>
      <w:r w:rsidR="00ED52DD" w:rsidRPr="007305D0">
        <w:rPr>
          <w:noProof/>
        </w:rPr>
        <w:t>ing</w:t>
      </w:r>
      <w:r w:rsidR="00ED3974" w:rsidRPr="007305D0">
        <w:rPr>
          <w:noProof/>
        </w:rPr>
        <w:t xml:space="preserve"> </w:t>
      </w:r>
      <w:r w:rsidR="00F46EE1">
        <w:rPr>
          <w:noProof/>
        </w:rPr>
        <w:t xml:space="preserve">prevention, </w:t>
      </w:r>
      <w:r w:rsidRPr="007305D0">
        <w:rPr>
          <w:noProof/>
        </w:rPr>
        <w:t xml:space="preserve">preparedness and </w:t>
      </w:r>
      <w:r w:rsidR="00ED3974" w:rsidRPr="007305D0">
        <w:rPr>
          <w:noProof/>
        </w:rPr>
        <w:t>response</w:t>
      </w:r>
      <w:r w:rsidR="00ED52DD" w:rsidRPr="007305D0">
        <w:rPr>
          <w:noProof/>
        </w:rPr>
        <w:t xml:space="preserve"> to</w:t>
      </w:r>
      <w:r w:rsidR="00A8031D" w:rsidRPr="007305D0">
        <w:rPr>
          <w:noProof/>
        </w:rPr>
        <w:t xml:space="preserve"> serious cross-border threats to health of biological, chemical, environmental or unknown origin. </w:t>
      </w:r>
      <w:r w:rsidR="00612AE4" w:rsidRPr="007305D0">
        <w:rPr>
          <w:noProof/>
        </w:rPr>
        <w:t xml:space="preserve">The Regulation </w:t>
      </w:r>
      <w:r w:rsidR="00DF0A12" w:rsidRPr="007305D0">
        <w:rPr>
          <w:noProof/>
        </w:rPr>
        <w:t>lays down rules on a</w:t>
      </w:r>
      <w:r w:rsidR="00612AE4" w:rsidRPr="007305D0">
        <w:rPr>
          <w:noProof/>
        </w:rPr>
        <w:t xml:space="preserve"> wide range of </w:t>
      </w:r>
      <w:r w:rsidR="00DF0A12" w:rsidRPr="007305D0">
        <w:rPr>
          <w:noProof/>
        </w:rPr>
        <w:t>issues</w:t>
      </w:r>
      <w:r w:rsidR="00612AE4" w:rsidRPr="007305D0">
        <w:rPr>
          <w:noProof/>
        </w:rPr>
        <w:t xml:space="preserve">, including </w:t>
      </w:r>
      <w:r w:rsidR="00ED3974" w:rsidRPr="007305D0">
        <w:rPr>
          <w:noProof/>
        </w:rPr>
        <w:t>prevention, preparedness and response planning</w:t>
      </w:r>
      <w:r w:rsidR="00612AE4" w:rsidRPr="007305D0">
        <w:rPr>
          <w:noProof/>
        </w:rPr>
        <w:t>,</w:t>
      </w:r>
      <w:r w:rsidR="00ED3974" w:rsidRPr="007305D0">
        <w:rPr>
          <w:noProof/>
        </w:rPr>
        <w:t xml:space="preserve"> joint procurement of medical countermeasures</w:t>
      </w:r>
      <w:r w:rsidR="00612AE4" w:rsidRPr="007305D0">
        <w:rPr>
          <w:noProof/>
        </w:rPr>
        <w:t>,</w:t>
      </w:r>
      <w:r w:rsidR="00ED3974" w:rsidRPr="007305D0">
        <w:rPr>
          <w:noProof/>
        </w:rPr>
        <w:t xml:space="preserve"> epidemiological surveillance and monitoring</w:t>
      </w:r>
      <w:r w:rsidR="00991E01" w:rsidRPr="007305D0">
        <w:rPr>
          <w:noProof/>
        </w:rPr>
        <w:t xml:space="preserve">, early warning and </w:t>
      </w:r>
      <w:r w:rsidR="00ED3974" w:rsidRPr="007305D0">
        <w:rPr>
          <w:noProof/>
        </w:rPr>
        <w:t>risk assessment</w:t>
      </w:r>
      <w:r w:rsidR="00DF0A12" w:rsidRPr="007305D0">
        <w:rPr>
          <w:noProof/>
        </w:rPr>
        <w:t>,</w:t>
      </w:r>
      <w:r w:rsidR="00ED3974" w:rsidRPr="007305D0">
        <w:rPr>
          <w:noProof/>
        </w:rPr>
        <w:t xml:space="preserve"> coordination of response and recognition of public health emergency at </w:t>
      </w:r>
      <w:r w:rsidR="00ED52DD" w:rsidRPr="007305D0">
        <w:rPr>
          <w:noProof/>
        </w:rPr>
        <w:t>Union</w:t>
      </w:r>
      <w:r w:rsidR="00ED3974" w:rsidRPr="007305D0">
        <w:rPr>
          <w:noProof/>
        </w:rPr>
        <w:t xml:space="preserve"> level.</w:t>
      </w:r>
      <w:r w:rsidR="00DF0A12" w:rsidRPr="007305D0">
        <w:rPr>
          <w:noProof/>
        </w:rPr>
        <w:t xml:space="preserve"> </w:t>
      </w:r>
    </w:p>
    <w:bookmarkStart w:id="7" w:name="_Hlk173721617"/>
    <w:p w:rsidR="00663776" w:rsidRPr="007305D0" w:rsidRDefault="00D4380D" w:rsidP="00C86D8B">
      <w:pPr>
        <w:rPr>
          <w:rFonts w:eastAsia="Arial Unicode MS"/>
          <w:noProof/>
        </w:rPr>
      </w:pPr>
      <w:r w:rsidRPr="007305D0">
        <w:rPr>
          <w:noProof/>
        </w:rPr>
        <w:fldChar w:fldCharType="begin"/>
      </w:r>
      <w:r w:rsidRPr="007305D0">
        <w:rPr>
          <w:noProof/>
        </w:rPr>
        <w:instrText>HYPERLINK "https://eur-lex.europa.eu/legal-content/EN/TXT/?uri=uriserv%3AOJ.L_.2018.170.01.0001.01.ENG" \t "_blank"</w:instrText>
      </w:r>
      <w:r w:rsidRPr="007305D0">
        <w:rPr>
          <w:noProof/>
        </w:rPr>
        <w:fldChar w:fldCharType="separate"/>
      </w:r>
      <w:r w:rsidR="00663776" w:rsidRPr="007305D0">
        <w:rPr>
          <w:rStyle w:val="Hyperlink"/>
          <w:rFonts w:eastAsia="Calibri"/>
          <w:bCs/>
          <w:noProof/>
          <w:color w:val="000000"/>
          <w:szCs w:val="24"/>
          <w:u w:val="none"/>
          <w:lang w:eastAsia="en-GB"/>
        </w:rPr>
        <w:t>Commission Implementing Decision (EU) 2018/945</w:t>
      </w:r>
      <w:r w:rsidRPr="007305D0">
        <w:rPr>
          <w:rStyle w:val="Hyperlink"/>
          <w:rFonts w:eastAsia="Calibri"/>
          <w:bCs/>
          <w:noProof/>
          <w:color w:val="000000"/>
          <w:szCs w:val="24"/>
          <w:u w:val="none"/>
          <w:lang w:eastAsia="en-GB"/>
        </w:rPr>
        <w:fldChar w:fldCharType="end"/>
      </w:r>
      <w:r w:rsidR="00663776" w:rsidRPr="007305D0">
        <w:rPr>
          <w:noProof/>
          <w:lang w:eastAsia="en-GB"/>
        </w:rPr>
        <w:t xml:space="preserve"> of 22 June 2018 </w:t>
      </w:r>
      <w:bookmarkEnd w:id="7"/>
      <w:r w:rsidR="00663776" w:rsidRPr="007305D0">
        <w:rPr>
          <w:noProof/>
          <w:lang w:eastAsia="en-GB"/>
        </w:rPr>
        <w:t>on the communicable</w:t>
      </w:r>
      <w:r w:rsidR="00C86D8B" w:rsidRPr="007305D0">
        <w:rPr>
          <w:noProof/>
          <w:lang w:eastAsia="en-GB"/>
        </w:rPr>
        <w:t xml:space="preserve"> </w:t>
      </w:r>
      <w:r w:rsidR="00663776" w:rsidRPr="007305D0">
        <w:rPr>
          <w:noProof/>
          <w:lang w:eastAsia="en-GB"/>
        </w:rPr>
        <w:t>diseases and related health issues to be covered by epidemiological surveillance and case definition</w:t>
      </w:r>
      <w:r w:rsidR="007235C9" w:rsidRPr="007305D0">
        <w:rPr>
          <w:rStyle w:val="FootnoteReference"/>
          <w:rFonts w:eastAsia="Calibri"/>
          <w:bCs/>
          <w:noProof/>
          <w:szCs w:val="24"/>
          <w:lang w:eastAsia="en-GB"/>
        </w:rPr>
        <w:footnoteReference w:id="12"/>
      </w:r>
      <w:r w:rsidR="004459EA" w:rsidRPr="007305D0">
        <w:rPr>
          <w:noProof/>
          <w:lang w:eastAsia="en-GB"/>
        </w:rPr>
        <w:t xml:space="preserve"> establishes a list of communicable diseases and their case definitions, which are covered by epidemiological surveillance at EU level</w:t>
      </w:r>
      <w:r w:rsidR="00236FE4" w:rsidRPr="007305D0">
        <w:rPr>
          <w:noProof/>
          <w:lang w:eastAsia="en-GB"/>
        </w:rPr>
        <w:t>.</w:t>
      </w:r>
    </w:p>
    <w:p w:rsidR="00EB564A" w:rsidRPr="007305D0" w:rsidRDefault="00663776" w:rsidP="00C86D8B">
      <w:pPr>
        <w:rPr>
          <w:noProof/>
          <w:lang w:eastAsia="en-GB"/>
        </w:rPr>
      </w:pPr>
      <w:bookmarkStart w:id="8" w:name="_Hlk173721640"/>
      <w:r w:rsidRPr="007305D0">
        <w:rPr>
          <w:noProof/>
          <w:lang w:eastAsia="en-GB"/>
        </w:rPr>
        <w:t>Commission Implementing Decision (EU)</w:t>
      </w:r>
      <w:r w:rsidRPr="007305D0">
        <w:rPr>
          <w:b/>
          <w:noProof/>
          <w:lang w:eastAsia="en-GB"/>
        </w:rPr>
        <w:t xml:space="preserve"> </w:t>
      </w:r>
      <w:r w:rsidRPr="007305D0">
        <w:rPr>
          <w:noProof/>
          <w:lang w:val="en-IE" w:eastAsia="en-GB"/>
        </w:rPr>
        <w:t xml:space="preserve">2017/253 </w:t>
      </w:r>
      <w:bookmarkEnd w:id="8"/>
      <w:r w:rsidRPr="007305D0">
        <w:rPr>
          <w:noProof/>
          <w:lang w:val="en-IE" w:eastAsia="en-GB"/>
        </w:rPr>
        <w:t>of 13 February 2017 on the procedures for the notification of alerts as part of the early warning and response system (EWRS) and for the information exchange, consultation and coordination of responses</w:t>
      </w:r>
      <w:r w:rsidR="007235C9" w:rsidRPr="007305D0">
        <w:rPr>
          <w:rStyle w:val="FootnoteReference"/>
          <w:rFonts w:eastAsia="Calibri"/>
          <w:bCs/>
          <w:noProof/>
          <w:szCs w:val="24"/>
          <w:lang w:val="en-IE" w:eastAsia="en-GB"/>
        </w:rPr>
        <w:footnoteReference w:id="13"/>
      </w:r>
      <w:r w:rsidR="002F4EF8" w:rsidRPr="007305D0">
        <w:rPr>
          <w:noProof/>
          <w:lang w:val="en-IE" w:eastAsia="en-GB"/>
        </w:rPr>
        <w:t xml:space="preserve"> lays down the procedure</w:t>
      </w:r>
      <w:r w:rsidR="00ED52DD" w:rsidRPr="007305D0">
        <w:rPr>
          <w:noProof/>
          <w:lang w:val="en-IE" w:eastAsia="en-GB"/>
        </w:rPr>
        <w:t>s</w:t>
      </w:r>
      <w:r w:rsidR="002F4EF8" w:rsidRPr="007305D0">
        <w:rPr>
          <w:noProof/>
          <w:lang w:val="en-IE" w:eastAsia="en-GB"/>
        </w:rPr>
        <w:t xml:space="preserve"> under which EU Member States can alert, share information and coordinate national responses to serious cross-border threats in a secure manner</w:t>
      </w:r>
      <w:r w:rsidR="00D03F64" w:rsidRPr="007305D0">
        <w:rPr>
          <w:noProof/>
          <w:lang w:val="en-IE" w:eastAsia="en-GB"/>
        </w:rPr>
        <w:t xml:space="preserve">, while </w:t>
      </w:r>
      <w:bookmarkStart w:id="9" w:name="_Hlk173721671"/>
      <w:r w:rsidR="002F4EF8" w:rsidRPr="007305D0">
        <w:rPr>
          <w:rStyle w:val="cf01"/>
          <w:rFonts w:ascii="Times New Roman" w:hAnsi="Times New Roman" w:cs="Times New Roman"/>
          <w:noProof/>
          <w:sz w:val="24"/>
          <w:szCs w:val="24"/>
        </w:rPr>
        <w:t xml:space="preserve">Commission Implementing Regulation (EU) 2023/1808 </w:t>
      </w:r>
      <w:bookmarkEnd w:id="9"/>
      <w:r w:rsidR="002F4EF8" w:rsidRPr="007305D0">
        <w:rPr>
          <w:rStyle w:val="cf01"/>
          <w:rFonts w:ascii="Times New Roman" w:hAnsi="Times New Roman" w:cs="Times New Roman"/>
          <w:noProof/>
          <w:sz w:val="24"/>
          <w:szCs w:val="24"/>
        </w:rPr>
        <w:t>of 21 September 2023</w:t>
      </w:r>
      <w:r w:rsidR="00D03F64" w:rsidRPr="007305D0">
        <w:rPr>
          <w:rStyle w:val="FootnoteReference"/>
          <w:noProof/>
          <w:szCs w:val="24"/>
        </w:rPr>
        <w:footnoteReference w:id="14"/>
      </w:r>
      <w:r w:rsidR="002F4EF8" w:rsidRPr="007305D0">
        <w:rPr>
          <w:rStyle w:val="cf01"/>
          <w:rFonts w:ascii="Times New Roman" w:hAnsi="Times New Roman" w:cs="Times New Roman"/>
          <w:noProof/>
          <w:sz w:val="24"/>
          <w:szCs w:val="24"/>
        </w:rPr>
        <w:t xml:space="preserve"> set</w:t>
      </w:r>
      <w:r w:rsidR="00D03F64" w:rsidRPr="007305D0">
        <w:rPr>
          <w:rStyle w:val="cf01"/>
          <w:rFonts w:ascii="Times New Roman" w:hAnsi="Times New Roman" w:cs="Times New Roman"/>
          <w:noProof/>
          <w:sz w:val="24"/>
          <w:szCs w:val="24"/>
        </w:rPr>
        <w:t>s out</w:t>
      </w:r>
      <w:r w:rsidR="002F4EF8" w:rsidRPr="007305D0">
        <w:rPr>
          <w:rStyle w:val="cf01"/>
          <w:rFonts w:ascii="Times New Roman" w:hAnsi="Times New Roman" w:cs="Times New Roman"/>
          <w:noProof/>
          <w:sz w:val="24"/>
          <w:szCs w:val="24"/>
        </w:rPr>
        <w:t xml:space="preserve"> the template for the provision of information on prevention, preparedness and response planning in relation to serious cross-border threats to health in accordance with Regulation (EU) 2022/2371 of the European Parliament and of the Counci</w:t>
      </w:r>
      <w:r w:rsidR="00ED52DD" w:rsidRPr="007305D0">
        <w:rPr>
          <w:rStyle w:val="cf01"/>
          <w:rFonts w:ascii="Times New Roman" w:hAnsi="Times New Roman" w:cs="Times New Roman"/>
          <w:noProof/>
          <w:sz w:val="24"/>
          <w:szCs w:val="24"/>
        </w:rPr>
        <w:t>l</w:t>
      </w:r>
      <w:r w:rsidR="00EB564A" w:rsidRPr="007305D0">
        <w:rPr>
          <w:noProof/>
          <w:lang w:eastAsia="en-GB"/>
        </w:rPr>
        <w:t>.</w:t>
      </w:r>
    </w:p>
    <w:p w:rsidR="00EF6BD6" w:rsidRDefault="00ED52DD" w:rsidP="00C86D8B">
      <w:pPr>
        <w:rPr>
          <w:noProof/>
        </w:rPr>
      </w:pPr>
      <w:r w:rsidRPr="007305D0">
        <w:rPr>
          <w:noProof/>
        </w:rPr>
        <w:t>The majority of the amend</w:t>
      </w:r>
      <w:r w:rsidR="006E0790">
        <w:rPr>
          <w:noProof/>
        </w:rPr>
        <w:t>ments</w:t>
      </w:r>
      <w:r w:rsidRPr="007305D0">
        <w:rPr>
          <w:noProof/>
        </w:rPr>
        <w:t xml:space="preserve"> of the International Health Regulations (2005) adopted through Resolution WHA77.17</w:t>
      </w:r>
      <w:r w:rsidR="00EF6BD6" w:rsidRPr="007305D0">
        <w:rPr>
          <w:noProof/>
        </w:rPr>
        <w:t>,</w:t>
      </w:r>
      <w:r w:rsidRPr="007305D0">
        <w:rPr>
          <w:noProof/>
        </w:rPr>
        <w:t xml:space="preserve"> </w:t>
      </w:r>
      <w:r w:rsidR="00EF6BD6" w:rsidRPr="007305D0">
        <w:rPr>
          <w:noProof/>
        </w:rPr>
        <w:t xml:space="preserve">in particular the amendments to Articles 1, 2, 4, </w:t>
      </w:r>
      <w:r w:rsidR="00BA3ED4">
        <w:rPr>
          <w:noProof/>
        </w:rPr>
        <w:t xml:space="preserve">5, </w:t>
      </w:r>
      <w:r w:rsidR="00EF6BD6" w:rsidRPr="007305D0">
        <w:rPr>
          <w:noProof/>
        </w:rPr>
        <w:t xml:space="preserve">6, 8, 10, 11, 12, 13, 15, </w:t>
      </w:r>
      <w:r w:rsidR="00BA3ED4">
        <w:rPr>
          <w:noProof/>
        </w:rPr>
        <w:t xml:space="preserve">16, </w:t>
      </w:r>
      <w:r w:rsidR="00EF6BD6" w:rsidRPr="007305D0">
        <w:rPr>
          <w:noProof/>
        </w:rPr>
        <w:t>43, 48, 49</w:t>
      </w:r>
      <w:r w:rsidR="00702937" w:rsidRPr="007305D0">
        <w:rPr>
          <w:noProof/>
        </w:rPr>
        <w:t xml:space="preserve">, as well as </w:t>
      </w:r>
      <w:r w:rsidR="00EF6BD6" w:rsidRPr="007305D0">
        <w:rPr>
          <w:noProof/>
        </w:rPr>
        <w:t>Annex</w:t>
      </w:r>
      <w:r w:rsidR="00702937" w:rsidRPr="007305D0">
        <w:rPr>
          <w:noProof/>
        </w:rPr>
        <w:t>es 1 and</w:t>
      </w:r>
      <w:r w:rsidR="00EF6BD6" w:rsidRPr="007305D0">
        <w:rPr>
          <w:noProof/>
        </w:rPr>
        <w:t xml:space="preserve"> 2, </w:t>
      </w:r>
      <w:r w:rsidRPr="007305D0">
        <w:rPr>
          <w:noProof/>
        </w:rPr>
        <w:t xml:space="preserve">involve areas covered by </w:t>
      </w:r>
      <w:r w:rsidR="00D03F64" w:rsidRPr="007305D0">
        <w:rPr>
          <w:noProof/>
        </w:rPr>
        <w:t>the above</w:t>
      </w:r>
      <w:r w:rsidR="00EF6BD6" w:rsidRPr="007305D0">
        <w:rPr>
          <w:noProof/>
        </w:rPr>
        <w:t>-</w:t>
      </w:r>
      <w:r w:rsidR="00D03F64" w:rsidRPr="007305D0">
        <w:rPr>
          <w:noProof/>
        </w:rPr>
        <w:t>mentioned acts</w:t>
      </w:r>
      <w:r w:rsidR="00EF6BD6" w:rsidRPr="007305D0">
        <w:rPr>
          <w:noProof/>
        </w:rPr>
        <w:t xml:space="preserve"> and all these amendments are </w:t>
      </w:r>
      <w:r w:rsidR="00914368" w:rsidRPr="007305D0">
        <w:rPr>
          <w:noProof/>
        </w:rPr>
        <w:t xml:space="preserve">fully </w:t>
      </w:r>
      <w:r w:rsidR="00EF6BD6" w:rsidRPr="007305D0">
        <w:rPr>
          <w:noProof/>
        </w:rPr>
        <w:t xml:space="preserve">consistent </w:t>
      </w:r>
      <w:r w:rsidR="00914368" w:rsidRPr="007305D0">
        <w:rPr>
          <w:noProof/>
        </w:rPr>
        <w:t xml:space="preserve">and aligned with the objective of </w:t>
      </w:r>
      <w:r w:rsidR="00EF6BD6" w:rsidRPr="007305D0">
        <w:rPr>
          <w:noProof/>
        </w:rPr>
        <w:t>EU law</w:t>
      </w:r>
      <w:r w:rsidR="00914368" w:rsidRPr="007305D0">
        <w:rPr>
          <w:noProof/>
        </w:rPr>
        <w:t xml:space="preserve"> on </w:t>
      </w:r>
      <w:r w:rsidR="00FF421A">
        <w:rPr>
          <w:noProof/>
        </w:rPr>
        <w:t xml:space="preserve">prevention, </w:t>
      </w:r>
      <w:r w:rsidR="00914368" w:rsidRPr="007305D0">
        <w:rPr>
          <w:noProof/>
        </w:rPr>
        <w:t>preparedness and response to serious cross-border threats to health</w:t>
      </w:r>
      <w:r w:rsidR="00D03F64" w:rsidRPr="007305D0">
        <w:rPr>
          <w:noProof/>
        </w:rPr>
        <w:t>.</w:t>
      </w:r>
    </w:p>
    <w:p w:rsidR="004A7A70" w:rsidRPr="007305D0" w:rsidRDefault="004A7A70" w:rsidP="00C86D8B">
      <w:pPr>
        <w:rPr>
          <w:noProof/>
          <w:lang w:eastAsia="en-GB"/>
        </w:rPr>
      </w:pPr>
      <w:r>
        <w:rPr>
          <w:noProof/>
        </w:rPr>
        <w:t xml:space="preserve">In </w:t>
      </w:r>
      <w:r w:rsidRPr="004A7A70">
        <w:rPr>
          <w:noProof/>
        </w:rPr>
        <w:t xml:space="preserve">addition, </w:t>
      </w:r>
      <w:r w:rsidRPr="00616F9C">
        <w:rPr>
          <w:noProof/>
        </w:rPr>
        <w:t>in accordance with Article 168(7) TFEU, the Member States are responsible for the definition of their health policy and for the organisation and delivery of health services and medical care, including the management of health services and medical care and the allocation of the resources assigned to them.</w:t>
      </w:r>
      <w:r w:rsidRPr="004A7A70">
        <w:rPr>
          <w:noProof/>
        </w:rPr>
        <w:t xml:space="preserve"> </w:t>
      </w:r>
      <w:r w:rsidR="00F3032A" w:rsidRPr="00616F9C">
        <w:rPr>
          <w:noProof/>
        </w:rPr>
        <w:t>T</w:t>
      </w:r>
      <w:r w:rsidRPr="00616F9C">
        <w:rPr>
          <w:noProof/>
        </w:rPr>
        <w:t xml:space="preserve">he amendments to Article </w:t>
      </w:r>
      <w:r w:rsidR="007C4273" w:rsidRPr="00616F9C">
        <w:rPr>
          <w:noProof/>
        </w:rPr>
        <w:t>4,</w:t>
      </w:r>
      <w:r w:rsidR="00067580" w:rsidRPr="00616F9C">
        <w:rPr>
          <w:noProof/>
        </w:rPr>
        <w:t xml:space="preserve"> </w:t>
      </w:r>
      <w:r w:rsidR="00F3032A" w:rsidRPr="00616F9C">
        <w:rPr>
          <w:noProof/>
        </w:rPr>
        <w:t xml:space="preserve">for the part </w:t>
      </w:r>
      <w:r w:rsidR="00067580" w:rsidRPr="00616F9C">
        <w:rPr>
          <w:noProof/>
        </w:rPr>
        <w:t>leaving to IHR States Parties the flexibility to establish the national IHR authority as a separate or join entity with the national IHR focal point</w:t>
      </w:r>
      <w:r w:rsidR="00FD0A05" w:rsidRPr="00616F9C">
        <w:rPr>
          <w:noProof/>
        </w:rPr>
        <w:t>;</w:t>
      </w:r>
      <w:r w:rsidR="007C4273" w:rsidRPr="00616F9C">
        <w:rPr>
          <w:noProof/>
        </w:rPr>
        <w:t xml:space="preserve"> </w:t>
      </w:r>
      <w:r w:rsidR="00F3032A" w:rsidRPr="00616F9C">
        <w:rPr>
          <w:noProof/>
        </w:rPr>
        <w:t xml:space="preserve">the amendments to </w:t>
      </w:r>
      <w:r w:rsidR="00067580" w:rsidRPr="00616F9C">
        <w:rPr>
          <w:noProof/>
        </w:rPr>
        <w:t xml:space="preserve">Article </w:t>
      </w:r>
      <w:r w:rsidR="007C4273" w:rsidRPr="00616F9C">
        <w:rPr>
          <w:noProof/>
        </w:rPr>
        <w:t>43</w:t>
      </w:r>
      <w:r w:rsidR="00067580" w:rsidRPr="00616F9C">
        <w:rPr>
          <w:noProof/>
        </w:rPr>
        <w:t>,</w:t>
      </w:r>
      <w:r w:rsidR="00F3032A" w:rsidRPr="00616F9C">
        <w:rPr>
          <w:noProof/>
        </w:rPr>
        <w:t xml:space="preserve"> which leave</w:t>
      </w:r>
      <w:r w:rsidR="00FD0A05" w:rsidRPr="00616F9C">
        <w:rPr>
          <w:noProof/>
        </w:rPr>
        <w:t xml:space="preserve"> the possibility </w:t>
      </w:r>
      <w:r w:rsidR="00F3032A" w:rsidRPr="00616F9C">
        <w:rPr>
          <w:noProof/>
        </w:rPr>
        <w:t xml:space="preserve">to IHR States Parties to decide </w:t>
      </w:r>
      <w:r w:rsidR="00FD0A05" w:rsidRPr="00616F9C">
        <w:rPr>
          <w:noProof/>
        </w:rPr>
        <w:t>whether to engage or not in the consultation mechanism; as well as</w:t>
      </w:r>
      <w:r w:rsidR="007C4273" w:rsidRPr="00616F9C">
        <w:rPr>
          <w:noProof/>
        </w:rPr>
        <w:t xml:space="preserve"> </w:t>
      </w:r>
      <w:r w:rsidR="00FD0A05" w:rsidRPr="00616F9C">
        <w:rPr>
          <w:noProof/>
        </w:rPr>
        <w:t xml:space="preserve">the amendment to Article </w:t>
      </w:r>
      <w:r w:rsidR="007C4273" w:rsidRPr="00616F9C">
        <w:rPr>
          <w:noProof/>
        </w:rPr>
        <w:t>44(2) bis</w:t>
      </w:r>
      <w:r w:rsidR="00F3032A" w:rsidRPr="00616F9C">
        <w:rPr>
          <w:noProof/>
        </w:rPr>
        <w:t xml:space="preserve"> on domestic funding</w:t>
      </w:r>
      <w:r w:rsidRPr="00616F9C">
        <w:rPr>
          <w:noProof/>
        </w:rPr>
        <w:t xml:space="preserve"> concern matters falling within the sole Member State competence.</w:t>
      </w:r>
    </w:p>
    <w:p w:rsidR="00914368" w:rsidRPr="007305D0" w:rsidRDefault="00914368" w:rsidP="00FB0DDE">
      <w:pPr>
        <w:pStyle w:val="ManualHeading2"/>
        <w:spacing w:before="240"/>
        <w:rPr>
          <w:noProof/>
          <w:lang w:eastAsia="en-GB"/>
        </w:rPr>
      </w:pPr>
      <w:r w:rsidRPr="007305D0">
        <w:rPr>
          <w:noProof/>
          <w:u w:color="000000"/>
          <w:bdr w:val="nil"/>
          <w:lang w:val="en-US" w:eastAsia="en-GB"/>
        </w:rPr>
        <w:t>•</w:t>
      </w:r>
      <w:r w:rsidRPr="007305D0">
        <w:rPr>
          <w:noProof/>
          <w:u w:color="000000"/>
          <w:bdr w:val="nil"/>
          <w:lang w:val="en-US" w:eastAsia="en-GB"/>
        </w:rPr>
        <w:tab/>
      </w:r>
      <w:r w:rsidR="00F87F2C" w:rsidRPr="007305D0">
        <w:rPr>
          <w:noProof/>
          <w:u w:color="000000"/>
          <w:bdr w:val="nil"/>
          <w:lang w:val="en-US" w:eastAsia="en-GB"/>
        </w:rPr>
        <w:t>Consistency with other Union policies</w:t>
      </w:r>
    </w:p>
    <w:p w:rsidR="00BF57DA" w:rsidRPr="007305D0" w:rsidRDefault="00EE632F" w:rsidP="00C86D8B">
      <w:pPr>
        <w:rPr>
          <w:noProof/>
        </w:rPr>
      </w:pPr>
      <w:r w:rsidRPr="007305D0">
        <w:rPr>
          <w:noProof/>
        </w:rPr>
        <w:t>Several other policy areas for which the U</w:t>
      </w:r>
      <w:r w:rsidR="000E0A9B">
        <w:rPr>
          <w:noProof/>
        </w:rPr>
        <w:t>nion</w:t>
      </w:r>
      <w:r w:rsidRPr="007305D0">
        <w:rPr>
          <w:noProof/>
        </w:rPr>
        <w:t xml:space="preserve"> is competent are also covered by the International Health Regulations (2005), as amended through Resolution WHA77.17</w:t>
      </w:r>
      <w:r w:rsidR="00BF57DA" w:rsidRPr="007305D0">
        <w:rPr>
          <w:noProof/>
        </w:rPr>
        <w:t>.</w:t>
      </w:r>
    </w:p>
    <w:p w:rsidR="009548C1" w:rsidRPr="007305D0" w:rsidRDefault="00BF57DA" w:rsidP="00C86D8B">
      <w:pPr>
        <w:rPr>
          <w:noProof/>
          <w:lang w:eastAsia="en-GB"/>
        </w:rPr>
      </w:pPr>
      <w:r w:rsidRPr="007305D0">
        <w:rPr>
          <w:noProof/>
        </w:rPr>
        <w:t xml:space="preserve">The amendments to Article 13 of the International Health Regulations (2005) </w:t>
      </w:r>
      <w:r w:rsidR="00104007">
        <w:rPr>
          <w:noProof/>
        </w:rPr>
        <w:t xml:space="preserve">are in line with the </w:t>
      </w:r>
      <w:r w:rsidRPr="007305D0">
        <w:rPr>
          <w:noProof/>
        </w:rPr>
        <w:t xml:space="preserve">Union </w:t>
      </w:r>
      <w:r w:rsidR="00104007">
        <w:rPr>
          <w:noProof/>
        </w:rPr>
        <w:t xml:space="preserve">policy </w:t>
      </w:r>
      <w:r w:rsidR="00686AE4" w:rsidRPr="007305D0">
        <w:rPr>
          <w:noProof/>
        </w:rPr>
        <w:t>aimed at ensuring a sufficient and timely availability and supply of crisis-relevant medical countermeasures</w:t>
      </w:r>
      <w:r w:rsidR="00A8244D">
        <w:rPr>
          <w:noProof/>
        </w:rPr>
        <w:t>, including through emergency measures</w:t>
      </w:r>
      <w:r w:rsidR="000B64D9" w:rsidRPr="007305D0">
        <w:rPr>
          <w:noProof/>
        </w:rPr>
        <w:t>.</w:t>
      </w:r>
      <w:r w:rsidR="00686AE4" w:rsidRPr="007305D0">
        <w:rPr>
          <w:noProof/>
        </w:rPr>
        <w:t xml:space="preserve"> In particular, </w:t>
      </w:r>
      <w:r w:rsidR="009548C1" w:rsidRPr="007305D0">
        <w:rPr>
          <w:noProof/>
          <w:lang w:eastAsia="en-GB"/>
        </w:rPr>
        <w:t>Regulation (EU) 2022/123 of the European Parliament and of the Council of 25 January 2022 on a reinforced role for the European Medicines Agency in crisis preparedness and management for medicinal products and medical devices</w:t>
      </w:r>
      <w:r w:rsidR="007235C9" w:rsidRPr="007305D0">
        <w:rPr>
          <w:rStyle w:val="FootnoteReference"/>
          <w:rFonts w:eastAsia="Calibri"/>
          <w:bCs/>
          <w:noProof/>
          <w:szCs w:val="24"/>
          <w:lang w:eastAsia="en-GB"/>
        </w:rPr>
        <w:footnoteReference w:id="15"/>
      </w:r>
      <w:r w:rsidR="000B64D9" w:rsidRPr="007305D0">
        <w:rPr>
          <w:noProof/>
          <w:lang w:eastAsia="en-GB"/>
        </w:rPr>
        <w:t xml:space="preserve"> includes provisions related to the monitoring of medicine shortages that might lead to a crisis situation</w:t>
      </w:r>
      <w:r w:rsidR="00686AE4" w:rsidRPr="007305D0">
        <w:rPr>
          <w:noProof/>
          <w:lang w:eastAsia="en-GB"/>
        </w:rPr>
        <w:t xml:space="preserve"> and </w:t>
      </w:r>
      <w:r w:rsidR="00F17E13" w:rsidRPr="007305D0">
        <w:rPr>
          <w:noProof/>
          <w:lang w:eastAsia="en-GB"/>
        </w:rPr>
        <w:t>Council Regulation (EU) 2022/2372 of 24 October 2022</w:t>
      </w:r>
      <w:r w:rsidR="00686AE4" w:rsidRPr="007305D0">
        <w:rPr>
          <w:rStyle w:val="FootnoteReference"/>
          <w:noProof/>
          <w:lang w:eastAsia="en-GB"/>
        </w:rPr>
        <w:footnoteReference w:id="16"/>
      </w:r>
      <w:r w:rsidR="00F17E13" w:rsidRPr="007305D0">
        <w:rPr>
          <w:noProof/>
          <w:lang w:eastAsia="en-GB"/>
        </w:rPr>
        <w:t xml:space="preserve"> </w:t>
      </w:r>
      <w:r w:rsidR="00686AE4" w:rsidRPr="007305D0">
        <w:rPr>
          <w:noProof/>
          <w:lang w:eastAsia="en-GB"/>
        </w:rPr>
        <w:t xml:space="preserve">establishes </w:t>
      </w:r>
      <w:r w:rsidR="00F17E13" w:rsidRPr="007305D0">
        <w:rPr>
          <w:noProof/>
          <w:lang w:eastAsia="en-GB"/>
        </w:rPr>
        <w:t>a framework of measures for ensuring the supply of crisis-relevant medical countermeasures in the event of a public health emergency at Union level</w:t>
      </w:r>
      <w:r w:rsidR="00686AE4" w:rsidRPr="007305D0">
        <w:rPr>
          <w:noProof/>
          <w:lang w:eastAsia="en-GB"/>
        </w:rPr>
        <w:t>. The amendments to Article 13 of the International Health Regulations (2005) are fully consistent with the objective of EU law in this field.</w:t>
      </w:r>
    </w:p>
    <w:p w:rsidR="0004712D" w:rsidRDefault="0004712D" w:rsidP="00C86D8B">
      <w:pPr>
        <w:rPr>
          <w:noProof/>
        </w:rPr>
      </w:pPr>
      <w:r>
        <w:rPr>
          <w:noProof/>
        </w:rPr>
        <w:t>The amendments to Article 18 of the International Health Regulations (2005) are in line with the U</w:t>
      </w:r>
      <w:r w:rsidR="00766F19">
        <w:rPr>
          <w:noProof/>
        </w:rPr>
        <w:t>nion</w:t>
      </w:r>
      <w:r>
        <w:rPr>
          <w:noProof/>
        </w:rPr>
        <w:t xml:space="preserve"> policy adopted in the context of the COVID-19 pandemic</w:t>
      </w:r>
      <w:r w:rsidR="00F2153A">
        <w:rPr>
          <w:noProof/>
        </w:rPr>
        <w:t>, including with the objective</w:t>
      </w:r>
      <w:r>
        <w:rPr>
          <w:noProof/>
        </w:rPr>
        <w:t xml:space="preserve"> to preserve the operation of supply chains and free movement of transport workers, particularly as set out in the Communication from the Commission</w:t>
      </w:r>
      <w:r>
        <w:rPr>
          <w:rStyle w:val="FootnoteReference"/>
          <w:noProof/>
        </w:rPr>
        <w:footnoteReference w:id="17"/>
      </w:r>
      <w:r>
        <w:rPr>
          <w:noProof/>
        </w:rPr>
        <w:t xml:space="preserve"> on the implementation of the Green Lanes under the Guidelines for border management measures to protect health and ensure the availability of goods and essential services of 24 March 2020.</w:t>
      </w:r>
    </w:p>
    <w:p w:rsidR="00B87EE3" w:rsidRPr="007305D0" w:rsidRDefault="0066361D" w:rsidP="00C86D8B">
      <w:pPr>
        <w:rPr>
          <w:rFonts w:eastAsia="Arial Unicode MS"/>
          <w:noProof/>
        </w:rPr>
      </w:pPr>
      <w:r w:rsidRPr="007305D0">
        <w:rPr>
          <w:noProof/>
        </w:rPr>
        <w:t xml:space="preserve">The amendments to Article 35 and Annex 6 of the International Health Regulations (2005) </w:t>
      </w:r>
      <w:r w:rsidR="000E0A9B">
        <w:rPr>
          <w:noProof/>
        </w:rPr>
        <w:t>relate to</w:t>
      </w:r>
      <w:r w:rsidRPr="007305D0">
        <w:rPr>
          <w:noProof/>
        </w:rPr>
        <w:t xml:space="preserve"> areas covered by Union law </w:t>
      </w:r>
      <w:r w:rsidR="001A754A">
        <w:rPr>
          <w:noProof/>
        </w:rPr>
        <w:t>on the</w:t>
      </w:r>
      <w:r w:rsidRPr="007305D0">
        <w:rPr>
          <w:noProof/>
        </w:rPr>
        <w:t xml:space="preserve"> </w:t>
      </w:r>
      <w:r w:rsidR="000B64D9" w:rsidRPr="007305D0">
        <w:rPr>
          <w:noProof/>
        </w:rPr>
        <w:t>free movement</w:t>
      </w:r>
      <w:r w:rsidR="001A754A">
        <w:rPr>
          <w:noProof/>
        </w:rPr>
        <w:t xml:space="preserve"> of persons</w:t>
      </w:r>
      <w:r w:rsidRPr="007305D0">
        <w:rPr>
          <w:noProof/>
        </w:rPr>
        <w:t xml:space="preserve">, </w:t>
      </w:r>
      <w:r w:rsidR="001A754A">
        <w:rPr>
          <w:noProof/>
        </w:rPr>
        <w:t xml:space="preserve">including the conditions for the exercise of the right to free movement laid own in </w:t>
      </w:r>
      <w:r w:rsidR="00B87EE3" w:rsidRPr="007305D0">
        <w:rPr>
          <w:noProof/>
          <w:lang w:eastAsia="en-GB"/>
        </w:rPr>
        <w:t xml:space="preserve">Directive 2004/38/EC </w:t>
      </w:r>
      <w:r w:rsidR="00B0060C">
        <w:rPr>
          <w:noProof/>
          <w:lang w:eastAsia="en-GB"/>
        </w:rPr>
        <w:t>of the European Parliament and of the Council</w:t>
      </w:r>
      <w:r w:rsidR="00B0060C" w:rsidRPr="007305D0">
        <w:rPr>
          <w:noProof/>
          <w:lang w:eastAsia="en-GB"/>
        </w:rPr>
        <w:t xml:space="preserve"> </w:t>
      </w:r>
      <w:r w:rsidR="00B87EE3" w:rsidRPr="007305D0">
        <w:rPr>
          <w:noProof/>
          <w:lang w:eastAsia="en-GB"/>
        </w:rPr>
        <w:t>of 29 April 2004 on the right of citizens of the Union and their family members to move and reside freely within the territory of the Member States</w:t>
      </w:r>
      <w:r w:rsidR="007235C9" w:rsidRPr="007305D0">
        <w:rPr>
          <w:rStyle w:val="FootnoteReference"/>
          <w:rFonts w:eastAsia="Calibri"/>
          <w:bCs/>
          <w:noProof/>
          <w:szCs w:val="24"/>
          <w:lang w:eastAsia="en-GB"/>
        </w:rPr>
        <w:footnoteReference w:id="18"/>
      </w:r>
      <w:r w:rsidR="000E0A9B">
        <w:rPr>
          <w:noProof/>
          <w:lang w:eastAsia="en-GB"/>
        </w:rPr>
        <w:t>. These amendments also relate to areas covered</w:t>
      </w:r>
      <w:r w:rsidRPr="007305D0">
        <w:rPr>
          <w:noProof/>
          <w:lang w:eastAsia="en-GB"/>
        </w:rPr>
        <w:t xml:space="preserve"> under </w:t>
      </w:r>
      <w:r w:rsidR="00B87EE3" w:rsidRPr="007305D0">
        <w:rPr>
          <w:noProof/>
          <w:lang w:eastAsia="en-GB"/>
        </w:rPr>
        <w:t xml:space="preserve">Regulation (EU) 2016/399 </w:t>
      </w:r>
      <w:r w:rsidR="00B0060C">
        <w:rPr>
          <w:noProof/>
          <w:lang w:eastAsia="en-GB"/>
        </w:rPr>
        <w:t xml:space="preserve">of the European Parliament and of the Council </w:t>
      </w:r>
      <w:r w:rsidR="00B87EE3" w:rsidRPr="007305D0">
        <w:rPr>
          <w:noProof/>
          <w:lang w:eastAsia="en-GB"/>
        </w:rPr>
        <w:t>of 9 March 2016 on a Union Code on the rules governing the movement of persons across borders</w:t>
      </w:r>
      <w:r w:rsidR="00213DDF">
        <w:rPr>
          <w:noProof/>
          <w:lang w:eastAsia="en-GB"/>
        </w:rPr>
        <w:t xml:space="preserve"> </w:t>
      </w:r>
      <w:r w:rsidR="00B87EE3" w:rsidRPr="007305D0">
        <w:rPr>
          <w:noProof/>
          <w:lang w:eastAsia="en-GB"/>
        </w:rPr>
        <w:t>(Schengen Borders Code)</w:t>
      </w:r>
      <w:r w:rsidR="00F83A08" w:rsidRPr="007305D0">
        <w:rPr>
          <w:rStyle w:val="FootnoteReference"/>
          <w:rFonts w:eastAsia="Calibri"/>
          <w:bCs/>
          <w:noProof/>
          <w:szCs w:val="24"/>
          <w:lang w:eastAsia="en-GB"/>
        </w:rPr>
        <w:footnoteReference w:id="19"/>
      </w:r>
      <w:r w:rsidR="00236FE4" w:rsidRPr="007305D0">
        <w:rPr>
          <w:noProof/>
          <w:lang w:eastAsia="en-GB"/>
        </w:rPr>
        <w:t>.</w:t>
      </w:r>
      <w:r w:rsidR="00686AE4" w:rsidRPr="007305D0">
        <w:rPr>
          <w:noProof/>
          <w:lang w:eastAsia="en-GB"/>
        </w:rPr>
        <w:t xml:space="preserve"> </w:t>
      </w:r>
      <w:r w:rsidR="00702937" w:rsidRPr="007305D0">
        <w:rPr>
          <w:noProof/>
          <w:lang w:eastAsia="en-GB"/>
        </w:rPr>
        <w:t xml:space="preserve">The amendments to Article 35 and Annex 6 of the International Health Regulations (2005) are fully consistent and aligned with </w:t>
      </w:r>
      <w:r w:rsidR="000E0A9B">
        <w:rPr>
          <w:noProof/>
          <w:lang w:eastAsia="en-GB"/>
        </w:rPr>
        <w:t>these fields of Union</w:t>
      </w:r>
      <w:r w:rsidR="00702937" w:rsidRPr="007305D0">
        <w:rPr>
          <w:noProof/>
          <w:lang w:eastAsia="en-GB"/>
        </w:rPr>
        <w:t xml:space="preserve"> law. </w:t>
      </w:r>
    </w:p>
    <w:p w:rsidR="00236FE4" w:rsidRDefault="00702937" w:rsidP="00C86D8B">
      <w:pPr>
        <w:rPr>
          <w:noProof/>
        </w:rPr>
      </w:pPr>
      <w:r w:rsidRPr="007305D0">
        <w:rPr>
          <w:noProof/>
        </w:rPr>
        <w:t>The amendments to Article</w:t>
      </w:r>
      <w:r w:rsidR="0004712D">
        <w:rPr>
          <w:noProof/>
        </w:rPr>
        <w:t>s</w:t>
      </w:r>
      <w:r w:rsidRPr="007305D0">
        <w:rPr>
          <w:noProof/>
        </w:rPr>
        <w:t xml:space="preserve"> 44 </w:t>
      </w:r>
      <w:r w:rsidR="0004712D">
        <w:rPr>
          <w:noProof/>
        </w:rPr>
        <w:t xml:space="preserve">and 44 bis </w:t>
      </w:r>
      <w:r w:rsidRPr="007305D0">
        <w:rPr>
          <w:noProof/>
        </w:rPr>
        <w:t xml:space="preserve">involve areas covered by Union law related to civil protection, as set out under </w:t>
      </w:r>
      <w:r w:rsidR="00236FE4" w:rsidRPr="007305D0">
        <w:rPr>
          <w:noProof/>
        </w:rPr>
        <w:t xml:space="preserve">Decision No 1313/2013/EU </w:t>
      </w:r>
      <w:r w:rsidR="00B0060C">
        <w:rPr>
          <w:noProof/>
        </w:rPr>
        <w:t xml:space="preserve">of the European Parliament and of the Council </w:t>
      </w:r>
      <w:r w:rsidR="00236FE4" w:rsidRPr="007305D0">
        <w:rPr>
          <w:noProof/>
        </w:rPr>
        <w:t>of 17 December 2013 on a Union Civil Protection Mechanism</w:t>
      </w:r>
      <w:r w:rsidR="00F83A08" w:rsidRPr="007305D0">
        <w:rPr>
          <w:rStyle w:val="FootnoteReference"/>
          <w:rFonts w:eastAsia="Arial Unicode MS"/>
          <w:noProof/>
        </w:rPr>
        <w:footnoteReference w:id="20"/>
      </w:r>
      <w:r w:rsidRPr="007305D0">
        <w:rPr>
          <w:noProof/>
        </w:rPr>
        <w:t xml:space="preserve"> and </w:t>
      </w:r>
      <w:r w:rsidR="0004712D">
        <w:rPr>
          <w:noProof/>
        </w:rPr>
        <w:t xml:space="preserve">to the Union multiannual financial framework to pursue the objectives and principles of the Union’s external action, as set out under Regulations (EU) 2021/947 </w:t>
      </w:r>
      <w:r w:rsidR="00B0060C">
        <w:rPr>
          <w:noProof/>
        </w:rPr>
        <w:t xml:space="preserve">of the European Parliament and of the Council of 9 June 2021 </w:t>
      </w:r>
      <w:r w:rsidR="0004712D">
        <w:rPr>
          <w:noProof/>
        </w:rPr>
        <w:t>on Neighbourhood, Development and International Cooperation Instrument (NDICI) – Global Europe</w:t>
      </w:r>
      <w:r w:rsidR="0004712D">
        <w:rPr>
          <w:rStyle w:val="FootnoteReference"/>
          <w:noProof/>
        </w:rPr>
        <w:footnoteReference w:id="21"/>
      </w:r>
      <w:r w:rsidR="0004712D">
        <w:rPr>
          <w:noProof/>
        </w:rPr>
        <w:t xml:space="preserve">. The amendments to these articles </w:t>
      </w:r>
      <w:r w:rsidRPr="007305D0">
        <w:rPr>
          <w:noProof/>
        </w:rPr>
        <w:t>are fully consistent and aligned with EU law in th</w:t>
      </w:r>
      <w:r w:rsidR="0004712D">
        <w:rPr>
          <w:noProof/>
        </w:rPr>
        <w:t>o</w:t>
      </w:r>
      <w:r w:rsidRPr="007305D0">
        <w:rPr>
          <w:noProof/>
        </w:rPr>
        <w:t>s</w:t>
      </w:r>
      <w:r w:rsidR="0004712D">
        <w:rPr>
          <w:noProof/>
        </w:rPr>
        <w:t>e</w:t>
      </w:r>
      <w:r w:rsidRPr="007305D0">
        <w:rPr>
          <w:noProof/>
        </w:rPr>
        <w:t xml:space="preserve"> field</w:t>
      </w:r>
      <w:r w:rsidR="0004712D">
        <w:rPr>
          <w:noProof/>
        </w:rPr>
        <w:t>s</w:t>
      </w:r>
      <w:r w:rsidR="00236FE4" w:rsidRPr="007305D0">
        <w:rPr>
          <w:noProof/>
        </w:rPr>
        <w:t>.</w:t>
      </w:r>
    </w:p>
    <w:p w:rsidR="00593383" w:rsidRPr="007305D0" w:rsidRDefault="00593383" w:rsidP="00FB0DDE">
      <w:pPr>
        <w:pStyle w:val="ManualHeading2"/>
        <w:spacing w:before="240"/>
        <w:rPr>
          <w:noProof/>
          <w:u w:color="000000"/>
          <w:bdr w:val="nil"/>
          <w:lang w:val="en-US" w:eastAsia="en-GB"/>
        </w:rPr>
      </w:pPr>
      <w:r w:rsidRPr="007305D0">
        <w:rPr>
          <w:noProof/>
          <w:u w:color="000000"/>
          <w:bdr w:val="nil"/>
          <w:lang w:val="en-US" w:eastAsia="en-GB"/>
        </w:rPr>
        <w:t>•</w:t>
      </w:r>
      <w:r w:rsidRPr="007305D0">
        <w:rPr>
          <w:noProof/>
          <w:u w:color="000000"/>
          <w:bdr w:val="nil"/>
          <w:lang w:val="en-US" w:eastAsia="en-GB"/>
        </w:rPr>
        <w:tab/>
      </w:r>
      <w:r w:rsidR="001408FC" w:rsidRPr="007305D0">
        <w:rPr>
          <w:noProof/>
          <w:u w:color="000000"/>
          <w:bdr w:val="nil"/>
          <w:lang w:val="en-US" w:eastAsia="en-GB"/>
        </w:rPr>
        <w:t>Acceptance of amendments to the International Health Regulations (2005)</w:t>
      </w:r>
    </w:p>
    <w:p w:rsidR="00D82DF7" w:rsidRPr="007305D0" w:rsidRDefault="001408FC" w:rsidP="00AB309D">
      <w:pPr>
        <w:pBdr>
          <w:top w:val="nil"/>
          <w:left w:val="nil"/>
          <w:bottom w:val="nil"/>
          <w:right w:val="nil"/>
          <w:between w:val="nil"/>
          <w:bar w:val="nil"/>
        </w:pBdr>
        <w:spacing w:before="0"/>
        <w:rPr>
          <w:rFonts w:eastAsia="Arial Unicode MS"/>
          <w:noProof/>
          <w:color w:val="000000"/>
          <w:u w:color="000000"/>
          <w:bdr w:val="nil"/>
          <w:lang w:val="en-US" w:eastAsia="en-GB"/>
        </w:rPr>
      </w:pPr>
      <w:r w:rsidRPr="007305D0">
        <w:rPr>
          <w:rFonts w:eastAsia="Arial Unicode MS"/>
          <w:noProof/>
          <w:color w:val="000000"/>
          <w:u w:color="000000"/>
          <w:bdr w:val="nil"/>
          <w:lang w:val="en-US" w:eastAsia="en-GB"/>
        </w:rPr>
        <w:t xml:space="preserve">Consent to be bound by WHO regulations (as provided for in Article 21 of the WHO Constitution) is subject to a simplified procedure based on tacit acceptance. The matter is regulated by Article 22 of the Constitution, which provides for a simplified entry into force regime whereby any State that intends to become party to a regulation will </w:t>
      </w:r>
      <w:r w:rsidR="00B36710" w:rsidRPr="007305D0">
        <w:rPr>
          <w:rFonts w:eastAsia="Arial Unicode MS"/>
          <w:noProof/>
          <w:color w:val="000000"/>
          <w:u w:color="000000"/>
          <w:bdr w:val="nil"/>
          <w:lang w:val="en-US" w:eastAsia="en-GB"/>
        </w:rPr>
        <w:t>do</w:t>
      </w:r>
      <w:r w:rsidRPr="007305D0">
        <w:rPr>
          <w:rFonts w:eastAsia="Arial Unicode MS"/>
          <w:noProof/>
          <w:color w:val="000000"/>
          <w:u w:color="000000"/>
          <w:bdr w:val="nil"/>
          <w:lang w:val="en-US" w:eastAsia="en-GB"/>
        </w:rPr>
        <w:t xml:space="preserve"> so, provided that it does not notify to the Director General of the WHO a rejection or reservation to the said regulation, or amendment thereto, within the time frame notified by the Director General for that purpose.</w:t>
      </w:r>
    </w:p>
    <w:p w:rsidR="001408FC" w:rsidRPr="007305D0" w:rsidRDefault="001408FC" w:rsidP="00AB309D">
      <w:pPr>
        <w:pBdr>
          <w:top w:val="nil"/>
          <w:left w:val="nil"/>
          <w:bottom w:val="nil"/>
          <w:right w:val="nil"/>
          <w:between w:val="nil"/>
          <w:bar w:val="nil"/>
        </w:pBdr>
        <w:spacing w:before="0"/>
        <w:rPr>
          <w:rFonts w:eastAsia="Arial Unicode MS"/>
          <w:noProof/>
          <w:color w:val="000000"/>
          <w:u w:color="000000"/>
          <w:bdr w:val="nil"/>
          <w:lang w:val="en-US" w:eastAsia="en-GB"/>
        </w:rPr>
      </w:pPr>
      <w:r w:rsidRPr="007305D0">
        <w:rPr>
          <w:rFonts w:eastAsia="Arial Unicode MS"/>
          <w:noProof/>
          <w:color w:val="000000"/>
          <w:u w:color="000000"/>
          <w:bdr w:val="nil"/>
          <w:lang w:val="en-US" w:eastAsia="en-GB"/>
        </w:rPr>
        <w:t xml:space="preserve">In the </w:t>
      </w:r>
      <w:r w:rsidR="00D82DF7" w:rsidRPr="007305D0">
        <w:rPr>
          <w:rFonts w:eastAsia="Arial Unicode MS"/>
          <w:noProof/>
          <w:color w:val="000000"/>
          <w:u w:color="000000"/>
          <w:bdr w:val="nil"/>
          <w:lang w:val="en-US" w:eastAsia="en-GB"/>
        </w:rPr>
        <w:t>c</w:t>
      </w:r>
      <w:r w:rsidRPr="007305D0">
        <w:rPr>
          <w:rFonts w:eastAsia="Arial Unicode MS"/>
          <w:noProof/>
          <w:color w:val="000000"/>
          <w:u w:color="000000"/>
          <w:bdr w:val="nil"/>
          <w:lang w:val="en-US" w:eastAsia="en-GB"/>
        </w:rPr>
        <w:t>ase of the Amendments to the International Health Regulations (2005)</w:t>
      </w:r>
      <w:r w:rsidR="0052422A" w:rsidRPr="007305D0">
        <w:rPr>
          <w:rFonts w:eastAsia="Arial Unicode MS"/>
          <w:noProof/>
          <w:color w:val="000000"/>
          <w:u w:color="000000"/>
          <w:bdr w:val="nil"/>
          <w:lang w:val="en-US" w:eastAsia="en-GB"/>
        </w:rPr>
        <w:t xml:space="preserve"> adopted through Resolution WHA77.17</w:t>
      </w:r>
      <w:r w:rsidRPr="007305D0">
        <w:rPr>
          <w:rFonts w:eastAsia="Arial Unicode MS"/>
          <w:noProof/>
          <w:color w:val="000000"/>
          <w:u w:color="000000"/>
          <w:bdr w:val="nil"/>
          <w:lang w:val="en-US" w:eastAsia="en-GB"/>
        </w:rPr>
        <w:t xml:space="preserve">, the time frame </w:t>
      </w:r>
      <w:r w:rsidR="00D82DF7" w:rsidRPr="007305D0">
        <w:rPr>
          <w:rFonts w:eastAsia="Arial Unicode MS"/>
          <w:noProof/>
          <w:color w:val="000000"/>
          <w:u w:color="000000"/>
          <w:bdr w:val="nil"/>
          <w:lang w:val="en-US" w:eastAsia="en-GB"/>
        </w:rPr>
        <w:t xml:space="preserve">for their entry into force, as well as the period for rejections or reservations, </w:t>
      </w:r>
      <w:r w:rsidRPr="007305D0">
        <w:rPr>
          <w:rFonts w:eastAsia="Arial Unicode MS"/>
          <w:noProof/>
          <w:color w:val="000000"/>
          <w:u w:color="000000"/>
          <w:bdr w:val="nil"/>
          <w:lang w:val="en-US" w:eastAsia="en-GB"/>
        </w:rPr>
        <w:t>is stipulated in Article 59 of the International Health Regulations (2005)</w:t>
      </w:r>
      <w:r w:rsidR="00507D97" w:rsidRPr="007305D0">
        <w:rPr>
          <w:rFonts w:eastAsia="Arial Unicode MS"/>
          <w:noProof/>
          <w:color w:val="000000"/>
          <w:u w:color="000000"/>
          <w:bdr w:val="nil"/>
          <w:lang w:val="en-US" w:eastAsia="en-GB"/>
        </w:rPr>
        <w:t xml:space="preserve">. Article 59 </w:t>
      </w:r>
      <w:r w:rsidRPr="007305D0">
        <w:rPr>
          <w:rFonts w:eastAsia="Arial Unicode MS"/>
          <w:noProof/>
          <w:color w:val="000000"/>
          <w:u w:color="000000"/>
          <w:bdr w:val="nil"/>
          <w:lang w:val="en-US" w:eastAsia="en-GB"/>
        </w:rPr>
        <w:t xml:space="preserve">was itself subject to </w:t>
      </w:r>
      <w:r w:rsidR="00845000" w:rsidRPr="007305D0">
        <w:rPr>
          <w:rFonts w:eastAsia="Arial Unicode MS"/>
          <w:noProof/>
          <w:color w:val="000000"/>
          <w:u w:color="000000"/>
          <w:bdr w:val="nil"/>
          <w:lang w:val="en-US" w:eastAsia="en-GB"/>
        </w:rPr>
        <w:t xml:space="preserve">several </w:t>
      </w:r>
      <w:r w:rsidRPr="007305D0">
        <w:rPr>
          <w:rFonts w:eastAsia="Arial Unicode MS"/>
          <w:noProof/>
          <w:color w:val="000000"/>
          <w:u w:color="000000"/>
          <w:bdr w:val="nil"/>
          <w:lang w:val="en-US" w:eastAsia="en-GB"/>
        </w:rPr>
        <w:t>amendment</w:t>
      </w:r>
      <w:r w:rsidR="00845000" w:rsidRPr="007305D0">
        <w:rPr>
          <w:rFonts w:eastAsia="Arial Unicode MS"/>
          <w:noProof/>
          <w:color w:val="000000"/>
          <w:u w:color="000000"/>
          <w:bdr w:val="nil"/>
          <w:lang w:val="en-US" w:eastAsia="en-GB"/>
        </w:rPr>
        <w:t>s</w:t>
      </w:r>
      <w:r w:rsidRPr="007305D0">
        <w:rPr>
          <w:rFonts w:eastAsia="Arial Unicode MS"/>
          <w:noProof/>
          <w:color w:val="000000"/>
          <w:u w:color="000000"/>
          <w:bdr w:val="nil"/>
          <w:lang w:val="en-US" w:eastAsia="en-GB"/>
        </w:rPr>
        <w:t xml:space="preserve"> </w:t>
      </w:r>
      <w:r w:rsidR="005370A9" w:rsidRPr="007305D0">
        <w:rPr>
          <w:rFonts w:eastAsia="Arial Unicode MS"/>
          <w:noProof/>
          <w:color w:val="000000"/>
          <w:u w:color="000000"/>
          <w:bdr w:val="nil"/>
          <w:lang w:val="en-US" w:eastAsia="en-GB"/>
        </w:rPr>
        <w:t xml:space="preserve">adopted at the Seventy-fifth World Health Assembly </w:t>
      </w:r>
      <w:r w:rsidRPr="007305D0">
        <w:rPr>
          <w:rFonts w:eastAsia="Arial Unicode MS"/>
          <w:noProof/>
          <w:color w:val="000000"/>
          <w:u w:color="000000"/>
          <w:bdr w:val="nil"/>
          <w:lang w:val="en-US" w:eastAsia="en-GB"/>
        </w:rPr>
        <w:t>in 2022</w:t>
      </w:r>
      <w:r w:rsidR="00F83A08" w:rsidRPr="007305D0">
        <w:rPr>
          <w:rStyle w:val="FootnoteReference"/>
          <w:rFonts w:eastAsia="Arial Unicode MS"/>
          <w:noProof/>
          <w:color w:val="000000"/>
          <w:u w:color="000000"/>
          <w:bdr w:val="nil"/>
          <w:lang w:val="en-US" w:eastAsia="en-GB"/>
        </w:rPr>
        <w:footnoteReference w:id="22"/>
      </w:r>
      <w:r w:rsidR="00507D97" w:rsidRPr="007305D0">
        <w:rPr>
          <w:rFonts w:eastAsia="Arial Unicode MS"/>
          <w:noProof/>
          <w:color w:val="000000"/>
          <w:u w:color="000000"/>
          <w:bdr w:val="nil"/>
          <w:lang w:val="en-US" w:eastAsia="en-GB"/>
        </w:rPr>
        <w:t>,</w:t>
      </w:r>
      <w:r w:rsidRPr="007305D0">
        <w:rPr>
          <w:rFonts w:eastAsia="Arial Unicode MS"/>
          <w:noProof/>
          <w:color w:val="000000"/>
          <w:u w:color="000000"/>
          <w:bdr w:val="nil"/>
          <w:lang w:val="en-US" w:eastAsia="en-GB"/>
        </w:rPr>
        <w:t xml:space="preserve"> </w:t>
      </w:r>
      <w:r w:rsidR="005370A9" w:rsidRPr="007305D0">
        <w:rPr>
          <w:rFonts w:eastAsia="Arial Unicode MS"/>
          <w:noProof/>
          <w:color w:val="000000"/>
          <w:u w:color="000000"/>
          <w:bdr w:val="nil"/>
          <w:lang w:val="en-US" w:eastAsia="en-GB"/>
        </w:rPr>
        <w:t xml:space="preserve">which </w:t>
      </w:r>
      <w:r w:rsidRPr="007305D0">
        <w:rPr>
          <w:rFonts w:eastAsia="Arial Unicode MS"/>
          <w:noProof/>
          <w:color w:val="000000"/>
          <w:u w:color="000000"/>
          <w:bdr w:val="nil"/>
          <w:lang w:val="en-US" w:eastAsia="en-GB"/>
        </w:rPr>
        <w:t xml:space="preserve">shorten the period for rejection of, or reservation to </w:t>
      </w:r>
      <w:r w:rsidR="005370A9" w:rsidRPr="007305D0">
        <w:rPr>
          <w:rFonts w:eastAsia="Arial Unicode MS"/>
          <w:noProof/>
          <w:color w:val="000000"/>
          <w:u w:color="000000"/>
          <w:bdr w:val="nil"/>
          <w:lang w:val="en-US" w:eastAsia="en-GB"/>
        </w:rPr>
        <w:t xml:space="preserve">a new amendment </w:t>
      </w:r>
      <w:r w:rsidRPr="007305D0">
        <w:rPr>
          <w:rFonts w:eastAsia="Arial Unicode MS"/>
          <w:noProof/>
          <w:color w:val="000000"/>
          <w:u w:color="000000"/>
          <w:bdr w:val="nil"/>
          <w:lang w:val="en-US" w:eastAsia="en-GB"/>
        </w:rPr>
        <w:t xml:space="preserve">from 18 to 10 months from the date of the Director-General’s notification of adoption of </w:t>
      </w:r>
      <w:r w:rsidR="005370A9" w:rsidRPr="007305D0">
        <w:rPr>
          <w:rFonts w:eastAsia="Arial Unicode MS"/>
          <w:noProof/>
          <w:color w:val="000000"/>
          <w:u w:color="000000"/>
          <w:bdr w:val="nil"/>
          <w:lang w:val="en-US" w:eastAsia="en-GB"/>
        </w:rPr>
        <w:t>the</w:t>
      </w:r>
      <w:r w:rsidRPr="007305D0">
        <w:rPr>
          <w:rFonts w:eastAsia="Arial Unicode MS"/>
          <w:noProof/>
          <w:color w:val="000000"/>
          <w:u w:color="000000"/>
          <w:bdr w:val="nil"/>
          <w:lang w:val="en-US" w:eastAsia="en-GB"/>
        </w:rPr>
        <w:t xml:space="preserve"> amendment </w:t>
      </w:r>
      <w:r w:rsidR="00BF71CF" w:rsidRPr="007305D0">
        <w:rPr>
          <w:rFonts w:eastAsia="Arial Unicode MS"/>
          <w:noProof/>
          <w:color w:val="000000"/>
          <w:u w:color="000000"/>
          <w:bdr w:val="nil"/>
          <w:lang w:val="en-US" w:eastAsia="en-GB"/>
        </w:rPr>
        <w:t>and</w:t>
      </w:r>
      <w:r w:rsidRPr="007305D0">
        <w:rPr>
          <w:rFonts w:eastAsia="Arial Unicode MS"/>
          <w:noProof/>
          <w:color w:val="000000"/>
          <w:u w:color="000000"/>
          <w:bdr w:val="nil"/>
          <w:lang w:val="en-US" w:eastAsia="en-GB"/>
        </w:rPr>
        <w:t xml:space="preserve"> reduc</w:t>
      </w:r>
      <w:r w:rsidR="005370A9" w:rsidRPr="007305D0">
        <w:rPr>
          <w:rFonts w:eastAsia="Arial Unicode MS"/>
          <w:noProof/>
          <w:color w:val="000000"/>
          <w:u w:color="000000"/>
          <w:bdr w:val="nil"/>
          <w:lang w:val="en-US" w:eastAsia="en-GB"/>
        </w:rPr>
        <w:t>e</w:t>
      </w:r>
      <w:r w:rsidRPr="007305D0">
        <w:rPr>
          <w:rFonts w:eastAsia="Arial Unicode MS"/>
          <w:noProof/>
          <w:color w:val="000000"/>
          <w:u w:color="000000"/>
          <w:bdr w:val="nil"/>
          <w:lang w:val="en-US" w:eastAsia="en-GB"/>
        </w:rPr>
        <w:t xml:space="preserve"> the entry into force date from 24 to 12 months from the same date. The amendment</w:t>
      </w:r>
      <w:r w:rsidR="0052422A" w:rsidRPr="007305D0">
        <w:rPr>
          <w:rFonts w:eastAsia="Arial Unicode MS"/>
          <w:noProof/>
          <w:color w:val="000000"/>
          <w:u w:color="000000"/>
          <w:bdr w:val="nil"/>
          <w:lang w:val="en-US" w:eastAsia="en-GB"/>
        </w:rPr>
        <w:t>s</w:t>
      </w:r>
      <w:r w:rsidRPr="007305D0">
        <w:rPr>
          <w:rFonts w:eastAsia="Arial Unicode MS"/>
          <w:noProof/>
          <w:color w:val="000000"/>
          <w:u w:color="000000"/>
          <w:bdr w:val="nil"/>
          <w:lang w:val="en-US" w:eastAsia="en-GB"/>
        </w:rPr>
        <w:t xml:space="preserve"> in question entered into force on 31 May 2024, thus the new amendments covered by this proposal and adopted </w:t>
      </w:r>
      <w:r w:rsidR="0052422A" w:rsidRPr="007305D0">
        <w:rPr>
          <w:rFonts w:eastAsia="Arial Unicode MS"/>
          <w:noProof/>
          <w:color w:val="000000"/>
          <w:u w:color="000000"/>
          <w:bdr w:val="nil"/>
          <w:lang w:val="en-US" w:eastAsia="en-GB"/>
        </w:rPr>
        <w:t xml:space="preserve">through Resolution WHA77.17 </w:t>
      </w:r>
      <w:r w:rsidRPr="007305D0">
        <w:rPr>
          <w:rFonts w:eastAsia="Arial Unicode MS"/>
          <w:noProof/>
          <w:color w:val="000000"/>
          <w:u w:color="000000"/>
          <w:bdr w:val="nil"/>
          <w:lang w:val="en-US" w:eastAsia="en-GB"/>
        </w:rPr>
        <w:t xml:space="preserve">on 1 June </w:t>
      </w:r>
      <w:r w:rsidR="0052422A" w:rsidRPr="007305D0">
        <w:rPr>
          <w:rFonts w:eastAsia="Arial Unicode MS"/>
          <w:noProof/>
          <w:color w:val="000000"/>
          <w:u w:color="000000"/>
          <w:bdr w:val="nil"/>
          <w:lang w:val="en-US" w:eastAsia="en-GB"/>
        </w:rPr>
        <w:t xml:space="preserve">2024 </w:t>
      </w:r>
      <w:r w:rsidRPr="007305D0">
        <w:rPr>
          <w:rFonts w:eastAsia="Arial Unicode MS"/>
          <w:noProof/>
          <w:color w:val="000000"/>
          <w:u w:color="000000"/>
          <w:bdr w:val="nil"/>
          <w:lang w:val="en-US" w:eastAsia="en-GB"/>
        </w:rPr>
        <w:t>by the Seventy-seventh World Health Assembly fall under the new provisions.</w:t>
      </w:r>
    </w:p>
    <w:p w:rsidR="001408FC" w:rsidRPr="007305D0" w:rsidRDefault="00AB309D" w:rsidP="00C40D0B">
      <w:pPr>
        <w:pBdr>
          <w:top w:val="nil"/>
          <w:left w:val="nil"/>
          <w:bottom w:val="nil"/>
          <w:right w:val="nil"/>
          <w:between w:val="nil"/>
          <w:bar w:val="nil"/>
        </w:pBdr>
        <w:spacing w:before="0"/>
        <w:rPr>
          <w:rFonts w:eastAsia="Arial Unicode MS"/>
          <w:noProof/>
        </w:rPr>
      </w:pPr>
      <w:r w:rsidRPr="007305D0">
        <w:rPr>
          <w:rFonts w:eastAsia="Arial Unicode MS"/>
          <w:noProof/>
        </w:rPr>
        <w:t>However, four State</w:t>
      </w:r>
      <w:r w:rsidR="00B36710" w:rsidRPr="007305D0">
        <w:rPr>
          <w:rFonts w:eastAsia="Arial Unicode MS"/>
          <w:noProof/>
        </w:rPr>
        <w:t>s</w:t>
      </w:r>
      <w:r w:rsidRPr="007305D0">
        <w:rPr>
          <w:rFonts w:eastAsia="Arial Unicode MS"/>
          <w:noProof/>
        </w:rPr>
        <w:t xml:space="preserve"> Parties, including two EU Member States (the Netherlands and Slovakia) have rejected the amendment</w:t>
      </w:r>
      <w:r w:rsidR="0052422A" w:rsidRPr="007305D0">
        <w:rPr>
          <w:rFonts w:eastAsia="Arial Unicode MS"/>
          <w:noProof/>
        </w:rPr>
        <w:t>s</w:t>
      </w:r>
      <w:r w:rsidR="005370A9" w:rsidRPr="007305D0">
        <w:rPr>
          <w:rFonts w:eastAsia="Arial Unicode MS"/>
          <w:noProof/>
        </w:rPr>
        <w:t xml:space="preserve"> to Article 59 adopted in 2022</w:t>
      </w:r>
      <w:r w:rsidRPr="007305D0">
        <w:rPr>
          <w:rFonts w:eastAsia="Arial Unicode MS"/>
          <w:noProof/>
        </w:rPr>
        <w:t>. Unless they withdraw their rejection, they will remain subject</w:t>
      </w:r>
      <w:r w:rsidR="00DE2EC7">
        <w:rPr>
          <w:rFonts w:eastAsia="Arial Unicode MS"/>
          <w:noProof/>
        </w:rPr>
        <w:t>, with respect to</w:t>
      </w:r>
      <w:r w:rsidRPr="007305D0">
        <w:rPr>
          <w:rFonts w:eastAsia="Arial Unicode MS"/>
          <w:noProof/>
        </w:rPr>
        <w:t xml:space="preserve"> </w:t>
      </w:r>
      <w:r w:rsidR="00DE2EC7">
        <w:rPr>
          <w:rFonts w:eastAsia="Arial Unicode MS"/>
          <w:noProof/>
        </w:rPr>
        <w:t>the new amendments covered by this proposal,</w:t>
      </w:r>
      <w:r w:rsidR="00DE2EC7" w:rsidRPr="007305D0">
        <w:rPr>
          <w:rFonts w:eastAsia="Arial Unicode MS"/>
          <w:noProof/>
        </w:rPr>
        <w:t xml:space="preserve"> </w:t>
      </w:r>
      <w:r w:rsidRPr="007305D0">
        <w:rPr>
          <w:rFonts w:eastAsia="Arial Unicode MS"/>
          <w:noProof/>
        </w:rPr>
        <w:t xml:space="preserve">to the original </w:t>
      </w:r>
      <w:r w:rsidR="00104007">
        <w:rPr>
          <w:rFonts w:eastAsia="Arial Unicode MS"/>
          <w:noProof/>
        </w:rPr>
        <w:t>text of Article 59 as set out in</w:t>
      </w:r>
      <w:r w:rsidRPr="007305D0">
        <w:rPr>
          <w:rFonts w:eastAsia="Arial Unicode MS"/>
          <w:noProof/>
        </w:rPr>
        <w:t xml:space="preserve"> the International Health Regulations (2005)</w:t>
      </w:r>
      <w:r w:rsidR="007B1181">
        <w:rPr>
          <w:rFonts w:eastAsia="Arial Unicode MS"/>
          <w:noProof/>
        </w:rPr>
        <w:t xml:space="preserve">, with a period of 18 months for rejection or reservation </w:t>
      </w:r>
      <w:r w:rsidR="00B0060C">
        <w:rPr>
          <w:rFonts w:eastAsia="Arial Unicode MS"/>
          <w:noProof/>
        </w:rPr>
        <w:t>of these amendments from the date of their notification</w:t>
      </w:r>
      <w:r w:rsidR="007B1181">
        <w:rPr>
          <w:rFonts w:eastAsia="Arial Unicode MS"/>
          <w:noProof/>
        </w:rPr>
        <w:t xml:space="preserve"> and a period of </w:t>
      </w:r>
      <w:r w:rsidRPr="007305D0">
        <w:rPr>
          <w:rFonts w:eastAsia="Arial Unicode MS"/>
          <w:noProof/>
        </w:rPr>
        <w:t xml:space="preserve">24 months from the </w:t>
      </w:r>
      <w:r w:rsidR="00B0060C">
        <w:rPr>
          <w:rFonts w:eastAsia="Arial Unicode MS"/>
          <w:noProof/>
        </w:rPr>
        <w:t xml:space="preserve">same </w:t>
      </w:r>
      <w:r w:rsidRPr="007305D0">
        <w:rPr>
          <w:rFonts w:eastAsia="Arial Unicode MS"/>
          <w:noProof/>
        </w:rPr>
        <w:t>date</w:t>
      </w:r>
      <w:r w:rsidR="007B1181">
        <w:rPr>
          <w:rFonts w:eastAsia="Arial Unicode MS"/>
          <w:noProof/>
        </w:rPr>
        <w:t xml:space="preserve"> for their ent</w:t>
      </w:r>
      <w:r w:rsidR="00DE2EC7">
        <w:rPr>
          <w:rFonts w:eastAsia="Arial Unicode MS"/>
          <w:noProof/>
        </w:rPr>
        <w:t>ry</w:t>
      </w:r>
      <w:r w:rsidR="007B1181">
        <w:rPr>
          <w:rFonts w:eastAsia="Arial Unicode MS"/>
          <w:noProof/>
        </w:rPr>
        <w:t xml:space="preserve"> into force</w:t>
      </w:r>
      <w:r w:rsidRPr="007305D0">
        <w:rPr>
          <w:rFonts w:eastAsia="Arial Unicode MS"/>
          <w:noProof/>
        </w:rPr>
        <w:t xml:space="preserve">. </w:t>
      </w:r>
    </w:p>
    <w:p w:rsidR="00AB309D" w:rsidRPr="007305D0" w:rsidRDefault="000253D1" w:rsidP="00A8031D">
      <w:pPr>
        <w:pBdr>
          <w:top w:val="nil"/>
          <w:left w:val="nil"/>
          <w:bottom w:val="nil"/>
          <w:right w:val="nil"/>
          <w:between w:val="nil"/>
          <w:bar w:val="nil"/>
        </w:pBdr>
        <w:spacing w:before="0" w:after="240"/>
        <w:rPr>
          <w:rFonts w:eastAsia="Arial Unicode MS"/>
          <w:noProof/>
        </w:rPr>
      </w:pPr>
      <w:r w:rsidRPr="00616F9C">
        <w:rPr>
          <w:rFonts w:eastAsia="Arial Unicode MS"/>
          <w:noProof/>
        </w:rPr>
        <w:t>The amendments to the International Health Regulations (2005) as adopted through Resolution WHA77.17 were notified by the WHO Director-General to all States Parties on 19 September 2024. Consequently, the amendments shall enter into force on 19 September 2025 for all States Parties to the International Health Regulations (2005) to which the 2022 amendments apply and on 19 September 2026 for the four States Parties to which the 2022 amendments do not apply.</w:t>
      </w:r>
    </w:p>
    <w:p w:rsidR="00EA4AB4" w:rsidRPr="007305D0" w:rsidRDefault="00EA4AB4" w:rsidP="00550536">
      <w:pPr>
        <w:pStyle w:val="ManualHeading1"/>
        <w:rPr>
          <w:noProof/>
        </w:rPr>
      </w:pPr>
      <w:r w:rsidRPr="007305D0">
        <w:rPr>
          <w:noProof/>
        </w:rPr>
        <w:t>2.</w:t>
      </w:r>
      <w:r w:rsidRPr="007305D0">
        <w:rPr>
          <w:noProof/>
        </w:rPr>
        <w:tab/>
        <w:t>LEGAL BASIS</w:t>
      </w:r>
    </w:p>
    <w:p w:rsidR="00EA4AB4" w:rsidRPr="007305D0" w:rsidRDefault="00EA4AB4" w:rsidP="00A4693B">
      <w:pPr>
        <w:pStyle w:val="ManualHeading2"/>
        <w:rPr>
          <w:rFonts w:eastAsia="Arial Unicode MS"/>
          <w:noProof/>
          <w:u w:color="000000"/>
          <w:bdr w:val="nil"/>
          <w:lang w:val="en-US" w:eastAsia="en-GB"/>
        </w:rPr>
      </w:pPr>
      <w:bookmarkStart w:id="10" w:name="_Hlk172038029"/>
      <w:r w:rsidRPr="007305D0">
        <w:rPr>
          <w:rFonts w:eastAsia="Arial Unicode MS"/>
          <w:noProof/>
          <w:u w:color="000000"/>
          <w:bdr w:val="nil"/>
          <w:lang w:val="en-US" w:eastAsia="en-GB"/>
        </w:rPr>
        <w:t>•</w:t>
      </w:r>
      <w:r w:rsidRPr="007305D0">
        <w:rPr>
          <w:rFonts w:eastAsia="Arial Unicode MS"/>
          <w:noProof/>
          <w:u w:color="000000"/>
          <w:bdr w:val="nil"/>
          <w:lang w:val="en-US" w:eastAsia="en-GB"/>
        </w:rPr>
        <w:tab/>
      </w:r>
      <w:bookmarkEnd w:id="10"/>
      <w:r w:rsidR="001E3D59" w:rsidRPr="007305D0">
        <w:rPr>
          <w:noProof/>
        </w:rPr>
        <w:t>Procedural legal basis</w:t>
      </w:r>
    </w:p>
    <w:p w:rsidR="00EA4AB4" w:rsidRPr="007305D0" w:rsidRDefault="0014316C" w:rsidP="001E3D59">
      <w:pPr>
        <w:pBdr>
          <w:top w:val="nil"/>
          <w:left w:val="nil"/>
          <w:bottom w:val="nil"/>
          <w:right w:val="nil"/>
          <w:between w:val="nil"/>
          <w:bar w:val="nil"/>
        </w:pBdr>
        <w:spacing w:before="0" w:after="240"/>
        <w:rPr>
          <w:noProof/>
        </w:rPr>
      </w:pPr>
      <w:r w:rsidRPr="007305D0">
        <w:rPr>
          <w:noProof/>
        </w:rPr>
        <w:t xml:space="preserve">The procedural legal basis for this proposal for a Council Decision is </w:t>
      </w:r>
      <w:r w:rsidR="000B3C64" w:rsidRPr="007305D0">
        <w:rPr>
          <w:noProof/>
        </w:rPr>
        <w:t>Article 218(6)</w:t>
      </w:r>
      <w:r w:rsidRPr="007305D0">
        <w:rPr>
          <w:noProof/>
        </w:rPr>
        <w:t>(a)</w:t>
      </w:r>
      <w:r w:rsidR="00B36710" w:rsidRPr="007305D0">
        <w:rPr>
          <w:noProof/>
        </w:rPr>
        <w:t>(iii) and (v)</w:t>
      </w:r>
      <w:r w:rsidR="000B3C64" w:rsidRPr="007305D0">
        <w:rPr>
          <w:noProof/>
        </w:rPr>
        <w:t xml:space="preserve"> of the TFEU</w:t>
      </w:r>
      <w:r w:rsidRPr="007305D0">
        <w:rPr>
          <w:noProof/>
        </w:rPr>
        <w:t>, which</w:t>
      </w:r>
      <w:r w:rsidR="000B3C64" w:rsidRPr="007305D0">
        <w:rPr>
          <w:noProof/>
        </w:rPr>
        <w:t xml:space="preserve"> applies regardless of whether the Union is a member of the organisation, which adopted the international agreement</w:t>
      </w:r>
      <w:r w:rsidR="00F83A08" w:rsidRPr="007305D0">
        <w:rPr>
          <w:rStyle w:val="FootnoteReference"/>
          <w:noProof/>
        </w:rPr>
        <w:footnoteReference w:id="23"/>
      </w:r>
      <w:r w:rsidR="001E3D59" w:rsidRPr="007305D0">
        <w:rPr>
          <w:noProof/>
        </w:rPr>
        <w:t>.</w:t>
      </w:r>
    </w:p>
    <w:p w:rsidR="001E3D59" w:rsidRPr="007305D0" w:rsidRDefault="001E3D59" w:rsidP="001E3D59">
      <w:pPr>
        <w:pStyle w:val="ManualHeading2"/>
        <w:rPr>
          <w:noProof/>
        </w:rPr>
      </w:pPr>
      <w:r w:rsidRPr="007305D0">
        <w:rPr>
          <w:rFonts w:eastAsia="Arial Unicode MS"/>
          <w:noProof/>
          <w:u w:color="000000"/>
          <w:bdr w:val="nil"/>
          <w:lang w:val="en-US" w:eastAsia="en-GB"/>
        </w:rPr>
        <w:t>•</w:t>
      </w:r>
      <w:r w:rsidRPr="007305D0">
        <w:rPr>
          <w:rFonts w:eastAsia="Arial Unicode MS"/>
          <w:noProof/>
          <w:u w:color="000000"/>
          <w:bdr w:val="nil"/>
          <w:lang w:val="en-US" w:eastAsia="en-GB"/>
        </w:rPr>
        <w:tab/>
      </w:r>
      <w:r w:rsidRPr="007305D0">
        <w:rPr>
          <w:noProof/>
        </w:rPr>
        <w:t>Substantive legal basis</w:t>
      </w:r>
    </w:p>
    <w:p w:rsidR="001E3D59" w:rsidRPr="007305D0" w:rsidRDefault="001E3D59" w:rsidP="005D7129">
      <w:pPr>
        <w:rPr>
          <w:noProof/>
        </w:rPr>
      </w:pPr>
      <w:r w:rsidRPr="007305D0">
        <w:rPr>
          <w:noProof/>
        </w:rPr>
        <w:t xml:space="preserve">The substantive legal basis for a decision under Article 218(6) TFEU depends primarily on the objective and content of the international agreement </w:t>
      </w:r>
      <w:r w:rsidR="00036E6D" w:rsidRPr="007305D0">
        <w:rPr>
          <w:noProof/>
        </w:rPr>
        <w:t>for</w:t>
      </w:r>
      <w:r w:rsidRPr="007305D0">
        <w:rPr>
          <w:noProof/>
        </w:rPr>
        <w:t xml:space="preserve"> which </w:t>
      </w:r>
      <w:r w:rsidR="00036E6D" w:rsidRPr="007305D0">
        <w:rPr>
          <w:noProof/>
        </w:rPr>
        <w:t xml:space="preserve">conclusion is sought </w:t>
      </w:r>
      <w:r w:rsidRPr="007305D0">
        <w:rPr>
          <w:noProof/>
        </w:rPr>
        <w:t>in the Union’s interest. If the agreement pursue</w:t>
      </w:r>
      <w:r w:rsidR="00180215" w:rsidRPr="007305D0">
        <w:rPr>
          <w:noProof/>
        </w:rPr>
        <w:t>s</w:t>
      </w:r>
      <w:r w:rsidRPr="007305D0">
        <w:rPr>
          <w:noProof/>
        </w:rPr>
        <w:t xml:space="preserve"> two aims or has two components and if one of those components is identifiable as the main one, whereas the other is merely incidental, the decision under Article 218(6) TFEU must be founded on a single substantive legal basis, namely that </w:t>
      </w:r>
      <w:r w:rsidR="00750085" w:rsidRPr="007305D0">
        <w:rPr>
          <w:noProof/>
        </w:rPr>
        <w:t>associated with</w:t>
      </w:r>
      <w:r w:rsidRPr="007305D0">
        <w:rPr>
          <w:noProof/>
        </w:rPr>
        <w:t xml:space="preserve"> the main or predominant aim or component. With regar</w:t>
      </w:r>
      <w:r w:rsidR="0014316C" w:rsidRPr="007305D0">
        <w:rPr>
          <w:noProof/>
        </w:rPr>
        <w:t>d</w:t>
      </w:r>
      <w:r w:rsidRPr="007305D0">
        <w:rPr>
          <w:noProof/>
        </w:rPr>
        <w:t xml:space="preserve"> to an agreement that simultaneously pursue a number of objectives, or that has several components, which are inseparably linked without one being incidental to the other, the substantive legal basis of a decision under Article 218(6) TFEU will have to include, exceptionally, the various corresponding legal bases. </w:t>
      </w:r>
    </w:p>
    <w:p w:rsidR="007417AD" w:rsidRPr="007305D0" w:rsidRDefault="0087581D" w:rsidP="00C86D8B">
      <w:pPr>
        <w:rPr>
          <w:noProof/>
        </w:rPr>
      </w:pPr>
      <w:bookmarkStart w:id="11" w:name="_Hlk173705462"/>
      <w:r w:rsidRPr="007305D0">
        <w:rPr>
          <w:noProof/>
        </w:rPr>
        <w:t>The purpose and scope of the International Health Regulations (2005), as amended through Resolution WHA77.17, are “</w:t>
      </w:r>
      <w:r w:rsidRPr="00213DDF">
        <w:rPr>
          <w:i/>
          <w:iCs/>
          <w:noProof/>
        </w:rPr>
        <w:t>to prevent, prepare for, protect against, control and provide a public health response to the international spread of disease in ways that are commensurate and restricted to public health r</w:t>
      </w:r>
      <w:r w:rsidR="00A83492" w:rsidRPr="00213DDF">
        <w:rPr>
          <w:i/>
          <w:iCs/>
          <w:noProof/>
        </w:rPr>
        <w:t>i</w:t>
      </w:r>
      <w:r w:rsidRPr="00213DDF">
        <w:rPr>
          <w:i/>
          <w:iCs/>
          <w:noProof/>
        </w:rPr>
        <w:t>sks</w:t>
      </w:r>
      <w:r w:rsidR="00A83492" w:rsidRPr="00213DDF">
        <w:rPr>
          <w:i/>
          <w:iCs/>
          <w:noProof/>
        </w:rPr>
        <w:t>, and which avoid unnecessary interference with international traffic and trade</w:t>
      </w:r>
      <w:r w:rsidR="00A83492" w:rsidRPr="007305D0">
        <w:rPr>
          <w:noProof/>
        </w:rPr>
        <w:t>.”</w:t>
      </w:r>
      <w:r w:rsidRPr="007305D0">
        <w:rPr>
          <w:noProof/>
        </w:rPr>
        <w:t xml:space="preserve"> </w:t>
      </w:r>
      <w:bookmarkEnd w:id="11"/>
      <w:r w:rsidR="00EF5746" w:rsidRPr="007305D0">
        <w:rPr>
          <w:noProof/>
          <w:lang w:val="en-US" w:eastAsia="en-GB"/>
        </w:rPr>
        <w:t xml:space="preserve">The amendments to the International Health Regulations (2005) adopted through Resolution WHA77.17 </w:t>
      </w:r>
      <w:r w:rsidR="00EF5746">
        <w:rPr>
          <w:noProof/>
          <w:lang w:val="en-US" w:eastAsia="en-GB"/>
        </w:rPr>
        <w:t xml:space="preserve">aim at </w:t>
      </w:r>
      <w:r w:rsidR="00EF5746" w:rsidRPr="007305D0">
        <w:rPr>
          <w:noProof/>
          <w:lang w:val="en-US" w:eastAsia="en-GB"/>
        </w:rPr>
        <w:t xml:space="preserve">strengthening </w:t>
      </w:r>
      <w:r w:rsidR="00EF5746">
        <w:rPr>
          <w:noProof/>
          <w:lang w:val="en-US" w:eastAsia="en-GB"/>
        </w:rPr>
        <w:t xml:space="preserve">further </w:t>
      </w:r>
      <w:r w:rsidR="00EF5746" w:rsidRPr="007305D0">
        <w:rPr>
          <w:noProof/>
          <w:lang w:val="en-US" w:eastAsia="en-GB"/>
        </w:rPr>
        <w:t>global preparedness, surveillance and response to public health emergencies</w:t>
      </w:r>
      <w:r w:rsidR="00EF5746">
        <w:rPr>
          <w:noProof/>
          <w:lang w:val="en-US" w:eastAsia="en-GB"/>
        </w:rPr>
        <w:t>.</w:t>
      </w:r>
    </w:p>
    <w:p w:rsidR="007417AD" w:rsidRPr="007305D0" w:rsidRDefault="007417AD" w:rsidP="00D63FDF">
      <w:pPr>
        <w:rPr>
          <w:noProof/>
        </w:rPr>
      </w:pPr>
      <w:r w:rsidRPr="007305D0">
        <w:rPr>
          <w:noProof/>
        </w:rPr>
        <w:t xml:space="preserve">The Union has competence in health matters as per Articles 4(2)(k) and 6(a) TFEU. Article 168(1) TFEU provides that the Union is competent to adopt measures, which complement the national policies of its Member States, directed towards improving public health, preventing human illness and diseases and obviating sources of danger to human health. Article 168(1) TFEU further lays down that Union </w:t>
      </w:r>
      <w:r w:rsidRPr="007305D0">
        <w:rPr>
          <w:i/>
          <w:iCs/>
          <w:noProof/>
        </w:rPr>
        <w:t>“action shall</w:t>
      </w:r>
      <w:r w:rsidRPr="007305D0">
        <w:rPr>
          <w:noProof/>
        </w:rPr>
        <w:t xml:space="preserve"> </w:t>
      </w:r>
      <w:r w:rsidRPr="007305D0">
        <w:rPr>
          <w:i/>
          <w:iCs/>
          <w:noProof/>
        </w:rPr>
        <w:t xml:space="preserve">cover the fight against the major health scourges, by promoting research into their causes, their transmission and their prevention, as well as </w:t>
      </w:r>
      <w:r w:rsidRPr="007305D0">
        <w:rPr>
          <w:noProof/>
        </w:rPr>
        <w:t>[…]</w:t>
      </w:r>
      <w:r w:rsidRPr="007305D0">
        <w:rPr>
          <w:i/>
          <w:iCs/>
          <w:noProof/>
        </w:rPr>
        <w:t>, early warning of and combating serious cross-border threats to health</w:t>
      </w:r>
      <w:r w:rsidRPr="007305D0">
        <w:rPr>
          <w:noProof/>
        </w:rPr>
        <w:t>.” To that effect, according to Article 168(5) TFEU, “</w:t>
      </w:r>
      <w:r w:rsidRPr="007305D0">
        <w:rPr>
          <w:i/>
          <w:iCs/>
          <w:noProof/>
        </w:rPr>
        <w:t xml:space="preserve">the European Parliament and the Council, acting in accordance with the ordinary legislative procedure, may also adopt incentive measures designed to protect and improve human health and in particular to combat the major cross-border health scourges, measures concerning monitoring, early warning of and combating serious cross-border threats to </w:t>
      </w:r>
      <w:r w:rsidRPr="00616F9C">
        <w:rPr>
          <w:i/>
          <w:iCs/>
          <w:noProof/>
        </w:rPr>
        <w:t>health</w:t>
      </w:r>
      <w:r w:rsidRPr="00616F9C">
        <w:rPr>
          <w:noProof/>
        </w:rPr>
        <w:t>”.</w:t>
      </w:r>
      <w:r w:rsidR="000253D1" w:rsidRPr="00616F9C">
        <w:rPr>
          <w:noProof/>
        </w:rPr>
        <w:t xml:space="preserve"> In addition, Article 168(3) calls on the Union and the Member States to “</w:t>
      </w:r>
      <w:r w:rsidR="000253D1" w:rsidRPr="00213DDF">
        <w:rPr>
          <w:i/>
          <w:iCs/>
          <w:noProof/>
        </w:rPr>
        <w:t>foster cooperation with third countries and the competent international organisations in the sphere of public health</w:t>
      </w:r>
      <w:r w:rsidR="000253D1" w:rsidRPr="00616F9C">
        <w:rPr>
          <w:noProof/>
        </w:rPr>
        <w:t>”.</w:t>
      </w:r>
    </w:p>
    <w:p w:rsidR="00D45E24" w:rsidRPr="007305D0" w:rsidRDefault="009A797A" w:rsidP="005D7129">
      <w:pPr>
        <w:rPr>
          <w:noProof/>
        </w:rPr>
      </w:pPr>
      <w:r w:rsidRPr="007305D0">
        <w:rPr>
          <w:noProof/>
        </w:rPr>
        <w:t>Most</w:t>
      </w:r>
      <w:r w:rsidR="0052422A" w:rsidRPr="007305D0">
        <w:rPr>
          <w:noProof/>
        </w:rPr>
        <w:t xml:space="preserve"> amendments to the International Health Regulations </w:t>
      </w:r>
      <w:r w:rsidR="00B84225" w:rsidRPr="007305D0">
        <w:rPr>
          <w:noProof/>
        </w:rPr>
        <w:t xml:space="preserve">(2005) </w:t>
      </w:r>
      <w:r w:rsidR="0052422A" w:rsidRPr="007305D0">
        <w:rPr>
          <w:noProof/>
        </w:rPr>
        <w:t xml:space="preserve">adopted through Resolution WHA77.17 </w:t>
      </w:r>
      <w:r w:rsidR="00180215" w:rsidRPr="007305D0">
        <w:rPr>
          <w:noProof/>
        </w:rPr>
        <w:t xml:space="preserve">concern </w:t>
      </w:r>
      <w:r w:rsidR="00FD0F63">
        <w:rPr>
          <w:noProof/>
        </w:rPr>
        <w:t>matters</w:t>
      </w:r>
      <w:r w:rsidR="00FD0F63" w:rsidRPr="007305D0">
        <w:rPr>
          <w:noProof/>
        </w:rPr>
        <w:t xml:space="preserve"> </w:t>
      </w:r>
      <w:r w:rsidR="00180215" w:rsidRPr="007305D0">
        <w:rPr>
          <w:noProof/>
        </w:rPr>
        <w:t>for which the Union is competent on the basis of Article 168</w:t>
      </w:r>
      <w:r w:rsidR="00B36710" w:rsidRPr="007305D0">
        <w:rPr>
          <w:noProof/>
        </w:rPr>
        <w:t>(5)</w:t>
      </w:r>
      <w:r w:rsidR="00180215" w:rsidRPr="007305D0">
        <w:rPr>
          <w:noProof/>
        </w:rPr>
        <w:t xml:space="preserve"> TFEU and that have been regulated </w:t>
      </w:r>
      <w:r w:rsidR="00D45E24" w:rsidRPr="007305D0">
        <w:rPr>
          <w:noProof/>
        </w:rPr>
        <w:t xml:space="preserve">in particular </w:t>
      </w:r>
      <w:r w:rsidR="00BF71CF" w:rsidRPr="007305D0">
        <w:rPr>
          <w:noProof/>
        </w:rPr>
        <w:t>through</w:t>
      </w:r>
      <w:r w:rsidR="00180215" w:rsidRPr="007305D0">
        <w:rPr>
          <w:noProof/>
        </w:rPr>
        <w:t xml:space="preserve"> Regulation </w:t>
      </w:r>
      <w:bookmarkStart w:id="12" w:name="_Hlk172046492"/>
      <w:r w:rsidR="00180215" w:rsidRPr="007305D0">
        <w:rPr>
          <w:noProof/>
        </w:rPr>
        <w:t>(EU) 2022/2371</w:t>
      </w:r>
      <w:bookmarkEnd w:id="12"/>
      <w:r w:rsidR="007417AD" w:rsidRPr="007305D0">
        <w:rPr>
          <w:noProof/>
        </w:rPr>
        <w:t xml:space="preserve">, </w:t>
      </w:r>
      <w:hyperlink r:id="rId12" w:tgtFrame="_blank" w:history="1">
        <w:r w:rsidR="007417AD" w:rsidRPr="007305D0">
          <w:rPr>
            <w:rStyle w:val="Hyperlink"/>
            <w:rFonts w:eastAsia="Calibri"/>
            <w:bCs/>
            <w:noProof/>
            <w:color w:val="000000"/>
            <w:szCs w:val="24"/>
            <w:u w:val="none"/>
            <w:lang w:eastAsia="en-GB"/>
          </w:rPr>
          <w:t>Commission Implementing Decision (EU) 2018/945</w:t>
        </w:r>
      </w:hyperlink>
      <w:r w:rsidR="007417AD" w:rsidRPr="007305D0">
        <w:rPr>
          <w:noProof/>
          <w:lang w:eastAsia="en-GB"/>
        </w:rPr>
        <w:t xml:space="preserve"> of 22 June 2018, Commission Implementing Decision (EU)</w:t>
      </w:r>
      <w:r w:rsidR="007417AD" w:rsidRPr="007305D0">
        <w:rPr>
          <w:b/>
          <w:noProof/>
          <w:lang w:eastAsia="en-GB"/>
        </w:rPr>
        <w:t xml:space="preserve"> </w:t>
      </w:r>
      <w:r w:rsidR="007417AD" w:rsidRPr="007305D0">
        <w:rPr>
          <w:noProof/>
          <w:lang w:val="en-IE" w:eastAsia="en-GB"/>
        </w:rPr>
        <w:t>2017/253 and</w:t>
      </w:r>
      <w:r w:rsidR="007417AD" w:rsidRPr="007305D0">
        <w:rPr>
          <w:noProof/>
          <w:szCs w:val="24"/>
        </w:rPr>
        <w:t xml:space="preserve"> </w:t>
      </w:r>
      <w:r w:rsidR="007417AD" w:rsidRPr="007305D0">
        <w:rPr>
          <w:rStyle w:val="cf01"/>
          <w:rFonts w:ascii="Times New Roman" w:hAnsi="Times New Roman" w:cs="Times New Roman"/>
          <w:noProof/>
          <w:sz w:val="24"/>
          <w:szCs w:val="24"/>
        </w:rPr>
        <w:t>Commission Implementing Regulation (EU) 2023/1808</w:t>
      </w:r>
      <w:r w:rsidR="00180215" w:rsidRPr="007305D0">
        <w:rPr>
          <w:noProof/>
        </w:rPr>
        <w:t>.</w:t>
      </w:r>
    </w:p>
    <w:p w:rsidR="00236FE4" w:rsidRPr="007305D0" w:rsidRDefault="00236FE4" w:rsidP="00C40D0B">
      <w:pPr>
        <w:pBdr>
          <w:top w:val="nil"/>
          <w:left w:val="nil"/>
          <w:bottom w:val="nil"/>
          <w:right w:val="nil"/>
          <w:between w:val="nil"/>
          <w:bar w:val="nil"/>
        </w:pBdr>
        <w:spacing w:before="0"/>
        <w:rPr>
          <w:noProof/>
        </w:rPr>
      </w:pPr>
      <w:r w:rsidRPr="007305D0">
        <w:rPr>
          <w:noProof/>
        </w:rPr>
        <w:t xml:space="preserve">In addition, </w:t>
      </w:r>
      <w:r w:rsidR="009A797A" w:rsidRPr="007305D0">
        <w:rPr>
          <w:noProof/>
        </w:rPr>
        <w:t xml:space="preserve">some amendments </w:t>
      </w:r>
      <w:r w:rsidR="0011762B">
        <w:rPr>
          <w:noProof/>
        </w:rPr>
        <w:t>correspond</w:t>
      </w:r>
      <w:r w:rsidR="009A797A" w:rsidRPr="007305D0">
        <w:rPr>
          <w:noProof/>
        </w:rPr>
        <w:t xml:space="preserve"> to areas </w:t>
      </w:r>
      <w:bookmarkStart w:id="13" w:name="_Hlk173717382"/>
      <w:r w:rsidR="009A797A" w:rsidRPr="007305D0">
        <w:rPr>
          <w:noProof/>
        </w:rPr>
        <w:t xml:space="preserve">covered by Union law in </w:t>
      </w:r>
      <w:r w:rsidR="00396CFF" w:rsidRPr="007305D0">
        <w:rPr>
          <w:noProof/>
        </w:rPr>
        <w:t xml:space="preserve">relation to </w:t>
      </w:r>
      <w:r w:rsidR="007417AD" w:rsidRPr="007305D0">
        <w:rPr>
          <w:noProof/>
        </w:rPr>
        <w:t xml:space="preserve">the </w:t>
      </w:r>
      <w:r w:rsidR="007B1181">
        <w:rPr>
          <w:noProof/>
        </w:rPr>
        <w:t xml:space="preserve">supply of crisis-relevant medical countermeasures, </w:t>
      </w:r>
      <w:r w:rsidR="005D1A6E" w:rsidRPr="007305D0">
        <w:rPr>
          <w:noProof/>
          <w:lang w:val="en-US" w:eastAsia="en-GB"/>
        </w:rPr>
        <w:t>protection of public health in the event of a public health emergency</w:t>
      </w:r>
      <w:r w:rsidR="00213DDF">
        <w:rPr>
          <w:noProof/>
          <w:lang w:val="en-US" w:eastAsia="en-GB"/>
        </w:rPr>
        <w:t>,</w:t>
      </w:r>
      <w:r w:rsidR="005D1A6E" w:rsidRPr="007305D0" w:rsidDel="007B1181">
        <w:rPr>
          <w:noProof/>
        </w:rPr>
        <w:t xml:space="preserve"> </w:t>
      </w:r>
      <w:r w:rsidR="00396CFF" w:rsidRPr="007305D0">
        <w:rPr>
          <w:noProof/>
        </w:rPr>
        <w:t xml:space="preserve">free movement </w:t>
      </w:r>
      <w:r w:rsidR="007B1181">
        <w:rPr>
          <w:noProof/>
        </w:rPr>
        <w:t xml:space="preserve">of persons, </w:t>
      </w:r>
      <w:r w:rsidR="00396CFF" w:rsidRPr="007305D0">
        <w:rPr>
          <w:noProof/>
        </w:rPr>
        <w:t>civil protection</w:t>
      </w:r>
      <w:r w:rsidR="00BA78E1">
        <w:rPr>
          <w:noProof/>
        </w:rPr>
        <w:t xml:space="preserve"> or development cooperation</w:t>
      </w:r>
      <w:r w:rsidR="00396CFF" w:rsidRPr="007305D0">
        <w:rPr>
          <w:noProof/>
        </w:rPr>
        <w:t>.</w:t>
      </w:r>
      <w:bookmarkEnd w:id="13"/>
      <w:r w:rsidR="00396CFF" w:rsidRPr="007305D0">
        <w:rPr>
          <w:noProof/>
        </w:rPr>
        <w:t xml:space="preserve"> </w:t>
      </w:r>
      <w:r w:rsidR="007417AD" w:rsidRPr="007305D0">
        <w:rPr>
          <w:noProof/>
        </w:rPr>
        <w:t xml:space="preserve">These areas are however incidental to the main policy area and </w:t>
      </w:r>
      <w:r w:rsidR="006E0790">
        <w:rPr>
          <w:noProof/>
        </w:rPr>
        <w:t xml:space="preserve">therefore, the decision must be founded on a single substantive </w:t>
      </w:r>
      <w:r w:rsidR="007417AD" w:rsidRPr="007305D0">
        <w:rPr>
          <w:noProof/>
        </w:rPr>
        <w:t>legal basis.</w:t>
      </w:r>
    </w:p>
    <w:p w:rsidR="001E3D59" w:rsidRDefault="00D45E24" w:rsidP="005D7129">
      <w:pPr>
        <w:rPr>
          <w:noProof/>
        </w:rPr>
      </w:pPr>
      <w:r w:rsidRPr="007305D0">
        <w:rPr>
          <w:noProof/>
        </w:rPr>
        <w:t>Therefore, the substantive legal basis of the proposed decision is A</w:t>
      </w:r>
      <w:r w:rsidR="005A0798" w:rsidRPr="007305D0">
        <w:rPr>
          <w:noProof/>
        </w:rPr>
        <w:t>rticle 168</w:t>
      </w:r>
      <w:r w:rsidR="00A83492" w:rsidRPr="007305D0">
        <w:rPr>
          <w:noProof/>
        </w:rPr>
        <w:t>(5)</w:t>
      </w:r>
      <w:r w:rsidRPr="007305D0">
        <w:rPr>
          <w:noProof/>
        </w:rPr>
        <w:t xml:space="preserve"> TFEU</w:t>
      </w:r>
      <w:r w:rsidR="006E0790">
        <w:rPr>
          <w:noProof/>
        </w:rPr>
        <w:t xml:space="preserve">. </w:t>
      </w:r>
    </w:p>
    <w:p w:rsidR="00D2205B" w:rsidRDefault="00AE7F62" w:rsidP="00FB0DDE">
      <w:pPr>
        <w:pStyle w:val="ManualHeading2"/>
        <w:spacing w:before="240"/>
        <w:rPr>
          <w:rFonts w:eastAsia="Arial Unicode MS"/>
          <w:noProof/>
          <w:u w:color="000000"/>
          <w:bdr w:val="nil"/>
          <w:lang w:val="en-US" w:eastAsia="en-GB"/>
        </w:rPr>
      </w:pPr>
      <w:bookmarkStart w:id="14" w:name="_Hlk175920046"/>
      <w:r w:rsidRPr="007305D0">
        <w:rPr>
          <w:rFonts w:eastAsia="Arial Unicode MS"/>
          <w:noProof/>
          <w:u w:color="000000"/>
          <w:bdr w:val="nil"/>
          <w:lang w:val="en-US" w:eastAsia="en-GB"/>
        </w:rPr>
        <w:t>•</w:t>
      </w:r>
      <w:r w:rsidRPr="007305D0">
        <w:rPr>
          <w:rFonts w:eastAsia="Arial Unicode MS"/>
          <w:noProof/>
          <w:u w:color="000000"/>
          <w:bdr w:val="nil"/>
          <w:lang w:val="en-US" w:eastAsia="en-GB"/>
        </w:rPr>
        <w:tab/>
      </w:r>
      <w:bookmarkEnd w:id="14"/>
      <w:r w:rsidR="00D2205B">
        <w:rPr>
          <w:rFonts w:eastAsia="Arial Unicode MS"/>
          <w:noProof/>
          <w:u w:color="000000"/>
          <w:bdr w:val="nil"/>
          <w:lang w:val="en-US" w:eastAsia="en-GB"/>
        </w:rPr>
        <w:t>Proportionality</w:t>
      </w:r>
    </w:p>
    <w:p w:rsidR="00D2205B" w:rsidRPr="00CB6673" w:rsidRDefault="0078797E" w:rsidP="00CB6673">
      <w:pPr>
        <w:rPr>
          <w:noProof/>
          <w:lang w:val="en-US" w:eastAsia="en-GB"/>
        </w:rPr>
      </w:pPr>
      <w:r>
        <w:rPr>
          <w:noProof/>
        </w:rPr>
        <w:t xml:space="preserve">The amendments to the International Health Regulations (2005) as adopted through Resolution WHA77.17 do not go beyond what is necessary to achieve the overall policy objective, which is to strengthen </w:t>
      </w:r>
      <w:r w:rsidRPr="0078797E">
        <w:rPr>
          <w:noProof/>
        </w:rPr>
        <w:t>global preparedness, surveillance and response to public health emergencies</w:t>
      </w:r>
      <w:r>
        <w:rPr>
          <w:noProof/>
        </w:rPr>
        <w:t>.</w:t>
      </w:r>
    </w:p>
    <w:p w:rsidR="00AE7F62" w:rsidRPr="007305D0" w:rsidRDefault="00D2205B" w:rsidP="00FB0DDE">
      <w:pPr>
        <w:pStyle w:val="ManualHeading2"/>
        <w:spacing w:before="240"/>
        <w:rPr>
          <w:rFonts w:eastAsia="Arial Unicode MS"/>
          <w:noProof/>
          <w:u w:color="000000"/>
          <w:bdr w:val="nil"/>
          <w:lang w:val="en-US" w:eastAsia="en-GB"/>
        </w:rPr>
      </w:pPr>
      <w:r w:rsidRPr="007305D0">
        <w:rPr>
          <w:rFonts w:eastAsia="Arial Unicode MS"/>
          <w:noProof/>
          <w:u w:color="000000"/>
          <w:bdr w:val="nil"/>
          <w:lang w:val="en-US" w:eastAsia="en-GB"/>
        </w:rPr>
        <w:t>•</w:t>
      </w:r>
      <w:r w:rsidRPr="007305D0">
        <w:rPr>
          <w:rFonts w:eastAsia="Arial Unicode MS"/>
          <w:noProof/>
          <w:u w:color="000000"/>
          <w:bdr w:val="nil"/>
          <w:lang w:val="en-US" w:eastAsia="en-GB"/>
        </w:rPr>
        <w:tab/>
      </w:r>
      <w:r w:rsidR="00AE7F62" w:rsidRPr="007305D0">
        <w:rPr>
          <w:rFonts w:eastAsia="Arial Unicode MS"/>
          <w:noProof/>
          <w:u w:color="000000"/>
          <w:bdr w:val="nil"/>
          <w:lang w:val="en-US" w:eastAsia="en-GB"/>
        </w:rPr>
        <w:t>Choice of the instrument</w:t>
      </w:r>
    </w:p>
    <w:p w:rsidR="00AE7F62" w:rsidRPr="007305D0" w:rsidRDefault="00AE7F62" w:rsidP="00EA074B">
      <w:pPr>
        <w:rPr>
          <w:noProof/>
        </w:rPr>
      </w:pPr>
      <w:r w:rsidRPr="007305D0">
        <w:rPr>
          <w:noProof/>
        </w:rPr>
        <w:t>The instrument is</w:t>
      </w:r>
      <w:r w:rsidR="00180215" w:rsidRPr="007305D0">
        <w:rPr>
          <w:noProof/>
        </w:rPr>
        <w:t xml:space="preserve"> </w:t>
      </w:r>
      <w:r w:rsidR="00D2205B">
        <w:rPr>
          <w:noProof/>
        </w:rPr>
        <w:t xml:space="preserve">a proposal for a Council </w:t>
      </w:r>
      <w:r w:rsidR="00CD52A1">
        <w:rPr>
          <w:noProof/>
        </w:rPr>
        <w:t>D</w:t>
      </w:r>
      <w:r w:rsidR="00D2205B">
        <w:rPr>
          <w:noProof/>
        </w:rPr>
        <w:t>ecision pursuant to</w:t>
      </w:r>
      <w:r w:rsidR="00180215" w:rsidRPr="007305D0">
        <w:rPr>
          <w:noProof/>
        </w:rPr>
        <w:t xml:space="preserve"> Article 218(6) TFEU.</w:t>
      </w:r>
    </w:p>
    <w:p w:rsidR="00EA4AB4" w:rsidRPr="007305D0" w:rsidRDefault="00EA4AB4" w:rsidP="00A103A0">
      <w:pPr>
        <w:pStyle w:val="ManualHeading1"/>
        <w:rPr>
          <w:noProof/>
        </w:rPr>
      </w:pPr>
      <w:r w:rsidRPr="007305D0">
        <w:rPr>
          <w:noProof/>
        </w:rPr>
        <w:t>3.</w:t>
      </w:r>
      <w:r w:rsidRPr="007305D0">
        <w:rPr>
          <w:noProof/>
        </w:rPr>
        <w:tab/>
        <w:t>RESULTS OF EX-POST EVALUATIONS, STAKEHOLDER CONSULTATIONS AND IMPACT ASSESSMENTS</w:t>
      </w:r>
    </w:p>
    <w:p w:rsidR="00A103A0" w:rsidRPr="007305D0" w:rsidRDefault="00A103A0" w:rsidP="00A103A0">
      <w:pPr>
        <w:pStyle w:val="ManualHeading2"/>
        <w:rPr>
          <w:rFonts w:eastAsia="Arial Unicode MS"/>
          <w:noProof/>
          <w:u w:color="000000"/>
          <w:bdr w:val="nil"/>
          <w:lang w:val="en-US" w:eastAsia="en-GB"/>
        </w:rPr>
      </w:pPr>
      <w:r w:rsidRPr="007305D0">
        <w:rPr>
          <w:rFonts w:eastAsia="Arial Unicode MS"/>
          <w:noProof/>
          <w:u w:color="000000"/>
          <w:bdr w:val="nil"/>
          <w:lang w:val="en-US" w:eastAsia="en-GB"/>
        </w:rPr>
        <w:t>•</w:t>
      </w:r>
      <w:r w:rsidRPr="007305D0">
        <w:rPr>
          <w:rFonts w:eastAsia="Arial Unicode MS"/>
          <w:noProof/>
          <w:u w:color="000000"/>
          <w:bdr w:val="nil"/>
          <w:lang w:val="en-US" w:eastAsia="en-GB"/>
        </w:rPr>
        <w:tab/>
        <w:t>Ex-post evaluations/ fitness checks of existing legislation</w:t>
      </w:r>
    </w:p>
    <w:p w:rsidR="00A103A0" w:rsidRPr="007305D0" w:rsidRDefault="00A103A0" w:rsidP="00EA074B">
      <w:pPr>
        <w:rPr>
          <w:noProof/>
          <w:lang w:val="en-US" w:eastAsia="en-GB"/>
        </w:rPr>
      </w:pPr>
      <w:r w:rsidRPr="007305D0">
        <w:rPr>
          <w:noProof/>
          <w:lang w:val="en-US" w:eastAsia="en-GB"/>
        </w:rPr>
        <w:t>Non applicable</w:t>
      </w:r>
    </w:p>
    <w:p w:rsidR="00A103A0" w:rsidRPr="007305D0" w:rsidRDefault="00A103A0" w:rsidP="00A103A0">
      <w:pPr>
        <w:pStyle w:val="ManualHeading2"/>
        <w:rPr>
          <w:rFonts w:eastAsia="Arial Unicode MS"/>
          <w:noProof/>
          <w:u w:color="000000"/>
          <w:bdr w:val="nil"/>
          <w:lang w:val="en-US" w:eastAsia="en-GB"/>
        </w:rPr>
      </w:pPr>
      <w:r w:rsidRPr="007305D0">
        <w:rPr>
          <w:rFonts w:eastAsia="Arial Unicode MS"/>
          <w:noProof/>
          <w:u w:color="000000"/>
          <w:bdr w:val="nil"/>
          <w:lang w:val="en-US" w:eastAsia="en-GB"/>
        </w:rPr>
        <w:t>•</w:t>
      </w:r>
      <w:r w:rsidRPr="007305D0">
        <w:rPr>
          <w:rFonts w:eastAsia="Arial Unicode MS"/>
          <w:noProof/>
          <w:u w:color="000000"/>
          <w:bdr w:val="nil"/>
          <w:lang w:val="en-US" w:eastAsia="en-GB"/>
        </w:rPr>
        <w:tab/>
        <w:t>Stakeholder consultations</w:t>
      </w:r>
    </w:p>
    <w:p w:rsidR="00A103A0" w:rsidRPr="007305D0" w:rsidRDefault="00A103A0" w:rsidP="00FB0DDE">
      <w:pPr>
        <w:pStyle w:val="ManualHeading2"/>
        <w:spacing w:after="240"/>
        <w:rPr>
          <w:rFonts w:eastAsia="Arial Unicode MS"/>
          <w:b w:val="0"/>
          <w:bCs/>
          <w:noProof/>
          <w:u w:color="000000"/>
          <w:bdr w:val="nil"/>
          <w:lang w:val="en-US" w:eastAsia="en-GB"/>
        </w:rPr>
      </w:pPr>
      <w:r w:rsidRPr="007305D0">
        <w:rPr>
          <w:rFonts w:eastAsia="Arial Unicode MS"/>
          <w:b w:val="0"/>
          <w:bCs/>
          <w:noProof/>
          <w:u w:color="000000"/>
          <w:bdr w:val="nil"/>
          <w:lang w:val="en-US" w:eastAsia="en-GB"/>
        </w:rPr>
        <w:t>Non applicable</w:t>
      </w:r>
    </w:p>
    <w:p w:rsidR="00A103A0" w:rsidRPr="007305D0" w:rsidRDefault="00A103A0" w:rsidP="00A103A0">
      <w:pPr>
        <w:pStyle w:val="ManualHeading2"/>
        <w:rPr>
          <w:rFonts w:eastAsia="Arial Unicode MS"/>
          <w:noProof/>
          <w:u w:color="000000"/>
          <w:bdr w:val="nil"/>
          <w:lang w:val="en-US" w:eastAsia="en-GB"/>
        </w:rPr>
      </w:pPr>
      <w:r w:rsidRPr="007305D0">
        <w:rPr>
          <w:rFonts w:eastAsia="Arial Unicode MS"/>
          <w:noProof/>
          <w:u w:color="000000"/>
          <w:bdr w:val="nil"/>
          <w:lang w:val="en-US" w:eastAsia="en-GB"/>
        </w:rPr>
        <w:t>•</w:t>
      </w:r>
      <w:r w:rsidRPr="007305D0">
        <w:rPr>
          <w:rFonts w:eastAsia="Arial Unicode MS"/>
          <w:noProof/>
          <w:u w:color="000000"/>
          <w:bdr w:val="nil"/>
          <w:lang w:val="en-US" w:eastAsia="en-GB"/>
        </w:rPr>
        <w:tab/>
        <w:t>Collection and use of expertise</w:t>
      </w:r>
    </w:p>
    <w:p w:rsidR="00A914BE" w:rsidRPr="007305D0" w:rsidRDefault="00281D4C" w:rsidP="00A914BE">
      <w:pPr>
        <w:rPr>
          <w:noProof/>
          <w:szCs w:val="24"/>
          <w:lang w:val="en-IE"/>
        </w:rPr>
      </w:pPr>
      <w:r w:rsidRPr="007305D0">
        <w:rPr>
          <w:noProof/>
          <w:szCs w:val="24"/>
          <w:lang w:val="en-IE"/>
        </w:rPr>
        <w:t>From October 2022 to February 2023, the amendments proposed by State</w:t>
      </w:r>
      <w:r w:rsidR="00B36710" w:rsidRPr="007305D0">
        <w:rPr>
          <w:noProof/>
          <w:szCs w:val="24"/>
          <w:lang w:val="en-IE"/>
        </w:rPr>
        <w:t>s</w:t>
      </w:r>
      <w:r w:rsidRPr="007305D0">
        <w:rPr>
          <w:noProof/>
          <w:szCs w:val="24"/>
          <w:lang w:val="en-IE"/>
        </w:rPr>
        <w:t xml:space="preserve"> Parties to the International Health Regulations (2005) were examined by a Review Committee</w:t>
      </w:r>
      <w:r w:rsidR="00432931" w:rsidRPr="007305D0">
        <w:rPr>
          <w:noProof/>
          <w:szCs w:val="24"/>
          <w:lang w:val="en-IE"/>
        </w:rPr>
        <w:t xml:space="preserve"> convened by the WHO Director-General pursuant to Articles </w:t>
      </w:r>
      <w:r w:rsidR="00BA78E1">
        <w:rPr>
          <w:noProof/>
          <w:szCs w:val="24"/>
          <w:lang w:val="en-IE"/>
        </w:rPr>
        <w:t xml:space="preserve">47 and </w:t>
      </w:r>
      <w:r w:rsidR="00432931" w:rsidRPr="007305D0">
        <w:rPr>
          <w:noProof/>
          <w:szCs w:val="24"/>
          <w:lang w:val="en-IE"/>
        </w:rPr>
        <w:t>50 paragraph 1(a) of the International Health Regulations (2005), as well as Decision WHA75(9).</w:t>
      </w:r>
      <w:r w:rsidRPr="007305D0">
        <w:rPr>
          <w:noProof/>
          <w:szCs w:val="24"/>
          <w:lang w:val="en-IE"/>
        </w:rPr>
        <w:t xml:space="preserve"> </w:t>
      </w:r>
      <w:r w:rsidR="00A914BE" w:rsidRPr="007305D0">
        <w:rPr>
          <w:noProof/>
          <w:szCs w:val="24"/>
          <w:lang w:val="en-IE"/>
        </w:rPr>
        <w:t>The Committee functioned in accordance with the WHO Regulations for Expert Advisory Panels and Committees</w:t>
      </w:r>
      <w:r w:rsidR="00F83A08" w:rsidRPr="007305D0">
        <w:rPr>
          <w:rStyle w:val="FootnoteReference"/>
          <w:noProof/>
          <w:szCs w:val="24"/>
          <w:lang w:val="en-IE"/>
        </w:rPr>
        <w:footnoteReference w:id="24"/>
      </w:r>
      <w:r w:rsidR="00A914BE" w:rsidRPr="007305D0">
        <w:rPr>
          <w:noProof/>
          <w:szCs w:val="24"/>
          <w:lang w:val="en-IE"/>
        </w:rPr>
        <w:t>. It was composed of 20 members, selected and nominated by the Director-General from the International Health Regulations (2005) Roster of Experts, covering a wide range of expertise and reflecting gender and geographical representation.</w:t>
      </w:r>
    </w:p>
    <w:p w:rsidR="00281D4C" w:rsidRPr="007305D0" w:rsidRDefault="00432931" w:rsidP="00281D4C">
      <w:pPr>
        <w:rPr>
          <w:noProof/>
          <w:szCs w:val="24"/>
          <w:lang w:val="en-IE"/>
        </w:rPr>
      </w:pPr>
      <w:r w:rsidRPr="007305D0">
        <w:rPr>
          <w:noProof/>
          <w:szCs w:val="24"/>
          <w:lang w:val="en-IE"/>
        </w:rPr>
        <w:t>The Review Committee</w:t>
      </w:r>
      <w:r w:rsidR="00281D4C" w:rsidRPr="007305D0">
        <w:rPr>
          <w:noProof/>
          <w:szCs w:val="24"/>
          <w:lang w:val="en-IE"/>
        </w:rPr>
        <w:t>, in accordance with its mandate, issued technical recommendations on the proposed amendments</w:t>
      </w:r>
      <w:r w:rsidRPr="007305D0">
        <w:rPr>
          <w:noProof/>
          <w:szCs w:val="24"/>
          <w:lang w:val="en-IE"/>
        </w:rPr>
        <w:t>, which informed the work of the WGIHR</w:t>
      </w:r>
      <w:r w:rsidR="00F83A08" w:rsidRPr="007305D0">
        <w:rPr>
          <w:rStyle w:val="FootnoteReference"/>
          <w:noProof/>
          <w:szCs w:val="24"/>
          <w:lang w:val="en-IE"/>
        </w:rPr>
        <w:footnoteReference w:id="25"/>
      </w:r>
      <w:r w:rsidR="00281D4C" w:rsidRPr="007305D0">
        <w:rPr>
          <w:noProof/>
          <w:szCs w:val="24"/>
          <w:lang w:val="en-IE"/>
        </w:rPr>
        <w:t>. According to the Review Committee experts, the 'extreme diversity of the proposed amendments' ranged from limited technical changes to substantial additions and revisions, reflecting overall the willingness to strengthen the instrument.</w:t>
      </w:r>
    </w:p>
    <w:p w:rsidR="00A103A0" w:rsidRPr="007305D0" w:rsidRDefault="00A103A0" w:rsidP="00FB0DDE">
      <w:pPr>
        <w:pStyle w:val="ManualHeading2"/>
        <w:spacing w:before="240"/>
        <w:rPr>
          <w:rFonts w:eastAsia="Arial Unicode MS"/>
          <w:noProof/>
          <w:u w:color="000000"/>
          <w:bdr w:val="nil"/>
          <w:lang w:val="en-US" w:eastAsia="en-GB"/>
        </w:rPr>
      </w:pPr>
      <w:r w:rsidRPr="007305D0">
        <w:rPr>
          <w:rFonts w:eastAsia="Arial Unicode MS"/>
          <w:noProof/>
          <w:u w:color="000000"/>
          <w:bdr w:val="nil"/>
          <w:lang w:val="en-US" w:eastAsia="en-GB"/>
        </w:rPr>
        <w:t>•</w:t>
      </w:r>
      <w:r w:rsidRPr="007305D0">
        <w:rPr>
          <w:rFonts w:eastAsia="Arial Unicode MS"/>
          <w:noProof/>
          <w:u w:color="000000"/>
          <w:bdr w:val="nil"/>
          <w:lang w:val="en-US" w:eastAsia="en-GB"/>
        </w:rPr>
        <w:tab/>
        <w:t>Impact assessment</w:t>
      </w:r>
    </w:p>
    <w:p w:rsidR="00A103A0" w:rsidRPr="007305D0" w:rsidRDefault="00A103A0" w:rsidP="005D7129">
      <w:pPr>
        <w:rPr>
          <w:noProof/>
          <w:lang w:val="en-US" w:eastAsia="en-GB"/>
        </w:rPr>
      </w:pPr>
      <w:r w:rsidRPr="007305D0">
        <w:rPr>
          <w:noProof/>
          <w:lang w:val="en-US" w:eastAsia="en-GB"/>
        </w:rPr>
        <w:t>Non applicable</w:t>
      </w:r>
    </w:p>
    <w:p w:rsidR="00A103A0" w:rsidRPr="007305D0" w:rsidRDefault="00A103A0" w:rsidP="00FB0DDE">
      <w:pPr>
        <w:pStyle w:val="ManualHeading2"/>
        <w:spacing w:before="240"/>
        <w:rPr>
          <w:rFonts w:eastAsia="Arial Unicode MS"/>
          <w:noProof/>
          <w:u w:color="000000"/>
          <w:bdr w:val="nil"/>
          <w:lang w:val="en-US" w:eastAsia="en-GB"/>
        </w:rPr>
      </w:pPr>
      <w:r w:rsidRPr="007305D0">
        <w:rPr>
          <w:rFonts w:eastAsia="Arial Unicode MS"/>
          <w:noProof/>
          <w:u w:color="000000"/>
          <w:bdr w:val="nil"/>
          <w:lang w:val="en-US" w:eastAsia="en-GB"/>
        </w:rPr>
        <w:t>•</w:t>
      </w:r>
      <w:r w:rsidRPr="007305D0">
        <w:rPr>
          <w:rFonts w:eastAsia="Arial Unicode MS"/>
          <w:noProof/>
          <w:u w:color="000000"/>
          <w:bdr w:val="nil"/>
          <w:lang w:val="en-US" w:eastAsia="en-GB"/>
        </w:rPr>
        <w:tab/>
        <w:t>Regulatory fitness and simplification</w:t>
      </w:r>
    </w:p>
    <w:p w:rsidR="00A103A0" w:rsidRPr="007305D0" w:rsidRDefault="00A103A0" w:rsidP="005D7129">
      <w:pPr>
        <w:rPr>
          <w:noProof/>
          <w:lang w:val="en-US" w:eastAsia="en-GB"/>
        </w:rPr>
      </w:pPr>
      <w:r w:rsidRPr="007305D0">
        <w:rPr>
          <w:noProof/>
          <w:lang w:val="en-US" w:eastAsia="en-GB"/>
        </w:rPr>
        <w:t>Non applicable</w:t>
      </w:r>
    </w:p>
    <w:p w:rsidR="00A103A0" w:rsidRPr="007305D0" w:rsidRDefault="00A103A0" w:rsidP="00FB0DDE">
      <w:pPr>
        <w:pStyle w:val="ManualHeading2"/>
        <w:spacing w:before="240"/>
        <w:rPr>
          <w:rFonts w:eastAsia="Arial Unicode MS"/>
          <w:noProof/>
          <w:u w:color="000000"/>
          <w:bdr w:val="nil"/>
          <w:lang w:val="en-US" w:eastAsia="en-GB"/>
        </w:rPr>
      </w:pPr>
      <w:r w:rsidRPr="007305D0">
        <w:rPr>
          <w:rFonts w:eastAsia="Arial Unicode MS"/>
          <w:noProof/>
          <w:u w:color="000000"/>
          <w:bdr w:val="nil"/>
          <w:lang w:val="en-US" w:eastAsia="en-GB"/>
        </w:rPr>
        <w:t>•</w:t>
      </w:r>
      <w:r w:rsidRPr="007305D0">
        <w:rPr>
          <w:rFonts w:eastAsia="Arial Unicode MS"/>
          <w:noProof/>
          <w:u w:color="000000"/>
          <w:bdr w:val="nil"/>
          <w:lang w:val="en-US" w:eastAsia="en-GB"/>
        </w:rPr>
        <w:tab/>
        <w:t>Fundamental rights</w:t>
      </w:r>
    </w:p>
    <w:p w:rsidR="00276FEB" w:rsidRPr="007305D0" w:rsidRDefault="00276FEB" w:rsidP="00276FEB">
      <w:pPr>
        <w:rPr>
          <w:noProof/>
        </w:rPr>
      </w:pPr>
      <w:r w:rsidRPr="007305D0">
        <w:rPr>
          <w:noProof/>
        </w:rPr>
        <w:t xml:space="preserve">Article 3(1) of the </w:t>
      </w:r>
      <w:r w:rsidR="00B84225" w:rsidRPr="007305D0">
        <w:rPr>
          <w:noProof/>
        </w:rPr>
        <w:t>I</w:t>
      </w:r>
      <w:r w:rsidRPr="007305D0">
        <w:rPr>
          <w:noProof/>
        </w:rPr>
        <w:t xml:space="preserve">nternational Health Regulations </w:t>
      </w:r>
      <w:r w:rsidR="00B84225" w:rsidRPr="007305D0">
        <w:rPr>
          <w:noProof/>
        </w:rPr>
        <w:t xml:space="preserve">(2005) </w:t>
      </w:r>
      <w:r w:rsidRPr="007305D0">
        <w:rPr>
          <w:noProof/>
        </w:rPr>
        <w:t xml:space="preserve">lays down that the implementation of the Regulations shall be with full respect for the dignity, human rights and fundamental freedoms of persons. None of the amendments to the International Health Regulations </w:t>
      </w:r>
      <w:r w:rsidR="00B84225" w:rsidRPr="007305D0">
        <w:rPr>
          <w:noProof/>
        </w:rPr>
        <w:t xml:space="preserve">(2005) </w:t>
      </w:r>
      <w:r w:rsidRPr="007305D0">
        <w:rPr>
          <w:noProof/>
        </w:rPr>
        <w:t xml:space="preserve">adopted through Resolution WHA77.17 </w:t>
      </w:r>
      <w:r w:rsidR="00D60A06" w:rsidRPr="007305D0">
        <w:rPr>
          <w:noProof/>
        </w:rPr>
        <w:t>is altering or undermining</w:t>
      </w:r>
      <w:r w:rsidRPr="007305D0">
        <w:rPr>
          <w:noProof/>
        </w:rPr>
        <w:t xml:space="preserve"> this provision. </w:t>
      </w:r>
    </w:p>
    <w:p w:rsidR="00EA4AB4" w:rsidRPr="007305D0" w:rsidRDefault="00EA4AB4" w:rsidP="00550536">
      <w:pPr>
        <w:pStyle w:val="ManualHeading1"/>
        <w:rPr>
          <w:noProof/>
        </w:rPr>
      </w:pPr>
      <w:r w:rsidRPr="007305D0">
        <w:rPr>
          <w:noProof/>
        </w:rPr>
        <w:t>4.</w:t>
      </w:r>
      <w:r w:rsidRPr="007305D0">
        <w:rPr>
          <w:noProof/>
        </w:rPr>
        <w:tab/>
        <w:t>BUDGETARY IMPLICATIONS</w:t>
      </w:r>
    </w:p>
    <w:p w:rsidR="00EA4AB4" w:rsidRPr="007305D0" w:rsidRDefault="00C84BB8" w:rsidP="00C40D0B">
      <w:pPr>
        <w:pBdr>
          <w:top w:val="nil"/>
          <w:left w:val="nil"/>
          <w:bottom w:val="nil"/>
          <w:right w:val="nil"/>
          <w:between w:val="nil"/>
          <w:bar w:val="nil"/>
        </w:pBdr>
        <w:spacing w:before="0"/>
        <w:rPr>
          <w:rFonts w:eastAsia="Arial Unicode MS"/>
          <w:noProof/>
        </w:rPr>
      </w:pPr>
      <w:r w:rsidRPr="007305D0">
        <w:rPr>
          <w:noProof/>
        </w:rPr>
        <w:t xml:space="preserve">The </w:t>
      </w:r>
      <w:r w:rsidR="00B36710" w:rsidRPr="007305D0">
        <w:rPr>
          <w:noProof/>
        </w:rPr>
        <w:t xml:space="preserve">proposed </w:t>
      </w:r>
      <w:r w:rsidRPr="007305D0">
        <w:rPr>
          <w:noProof/>
        </w:rPr>
        <w:t>Council Decision is not expected to have any budgetary implications for the Union, as the Union is not Party to the International Health Regulations</w:t>
      </w:r>
      <w:r w:rsidR="0014316C" w:rsidRPr="007305D0">
        <w:rPr>
          <w:noProof/>
        </w:rPr>
        <w:t xml:space="preserve"> (2005)</w:t>
      </w:r>
      <w:r w:rsidRPr="007305D0">
        <w:rPr>
          <w:noProof/>
        </w:rPr>
        <w:t>.</w:t>
      </w:r>
    </w:p>
    <w:p w:rsidR="00EA4AB4" w:rsidRPr="007305D0" w:rsidRDefault="00C84BB8" w:rsidP="00616F9C">
      <w:pPr>
        <w:pBdr>
          <w:top w:val="nil"/>
          <w:left w:val="nil"/>
          <w:bottom w:val="nil"/>
          <w:right w:val="nil"/>
          <w:between w:val="nil"/>
          <w:bar w:val="nil"/>
        </w:pBdr>
        <w:spacing w:before="0" w:after="240"/>
        <w:rPr>
          <w:rFonts w:eastAsia="Arial Unicode MS"/>
          <w:noProof/>
        </w:rPr>
      </w:pPr>
      <w:r w:rsidRPr="007305D0">
        <w:rPr>
          <w:noProof/>
        </w:rPr>
        <w:t xml:space="preserve">In addition, the amendments, adopted at the </w:t>
      </w:r>
      <w:r w:rsidR="00C37550" w:rsidRPr="007305D0">
        <w:rPr>
          <w:noProof/>
        </w:rPr>
        <w:t>Seventy-seventh</w:t>
      </w:r>
      <w:r w:rsidRPr="007305D0">
        <w:rPr>
          <w:noProof/>
        </w:rPr>
        <w:t xml:space="preserve"> W</w:t>
      </w:r>
      <w:r w:rsidR="008D3222" w:rsidRPr="007305D0">
        <w:rPr>
          <w:noProof/>
        </w:rPr>
        <w:t xml:space="preserve">orld </w:t>
      </w:r>
      <w:r w:rsidRPr="007305D0">
        <w:rPr>
          <w:noProof/>
        </w:rPr>
        <w:t>H</w:t>
      </w:r>
      <w:r w:rsidR="008D3222" w:rsidRPr="007305D0">
        <w:rPr>
          <w:noProof/>
        </w:rPr>
        <w:t xml:space="preserve">ealth </w:t>
      </w:r>
      <w:r w:rsidRPr="007305D0">
        <w:rPr>
          <w:noProof/>
        </w:rPr>
        <w:t>A</w:t>
      </w:r>
      <w:r w:rsidR="008D3222" w:rsidRPr="007305D0">
        <w:rPr>
          <w:noProof/>
        </w:rPr>
        <w:t>ssembly</w:t>
      </w:r>
      <w:r w:rsidRPr="007305D0">
        <w:rPr>
          <w:noProof/>
        </w:rPr>
        <w:t xml:space="preserve">, do not create </w:t>
      </w:r>
      <w:r w:rsidR="00A97DBF">
        <w:rPr>
          <w:noProof/>
        </w:rPr>
        <w:t>specific</w:t>
      </w:r>
      <w:r w:rsidRPr="007305D0">
        <w:rPr>
          <w:noProof/>
        </w:rPr>
        <w:t xml:space="preserve"> financial obligations for the State</w:t>
      </w:r>
      <w:r w:rsidR="00C37550" w:rsidRPr="007305D0">
        <w:rPr>
          <w:noProof/>
        </w:rPr>
        <w:t>s</w:t>
      </w:r>
      <w:r w:rsidRPr="007305D0">
        <w:rPr>
          <w:noProof/>
        </w:rPr>
        <w:t xml:space="preserve"> Parties. Instead, </w:t>
      </w:r>
      <w:r w:rsidR="00B9432B" w:rsidRPr="007305D0">
        <w:rPr>
          <w:noProof/>
        </w:rPr>
        <w:t xml:space="preserve">the amendments provide for the establishment of </w:t>
      </w:r>
      <w:r w:rsidRPr="007305D0">
        <w:rPr>
          <w:noProof/>
        </w:rPr>
        <w:t>a new Coordinating Financial Mechanism</w:t>
      </w:r>
      <w:r w:rsidR="00B9432B" w:rsidRPr="007305D0">
        <w:rPr>
          <w:noProof/>
        </w:rPr>
        <w:t>, to ensure a more effective use of existing financing instruments for the implementation of the International Health Regulations</w:t>
      </w:r>
      <w:r w:rsidR="00C37550" w:rsidRPr="007305D0">
        <w:rPr>
          <w:noProof/>
        </w:rPr>
        <w:t xml:space="preserve"> (2005)</w:t>
      </w:r>
      <w:r w:rsidR="00B9432B" w:rsidRPr="007305D0">
        <w:rPr>
          <w:noProof/>
        </w:rPr>
        <w:t>.</w:t>
      </w:r>
    </w:p>
    <w:p w:rsidR="00EA4AB4" w:rsidRPr="007305D0" w:rsidRDefault="00EA4AB4" w:rsidP="00FD40BA">
      <w:pPr>
        <w:rPr>
          <w:noProof/>
        </w:rPr>
        <w:sectPr w:rsidR="00EA4AB4" w:rsidRPr="007305D0" w:rsidSect="0042404C">
          <w:headerReference w:type="even" r:id="rId13"/>
          <w:footerReference w:type="even" r:id="rId14"/>
          <w:footerReference w:type="default" r:id="rId15"/>
          <w:headerReference w:type="first" r:id="rId16"/>
          <w:footerReference w:type="first" r:id="rId17"/>
          <w:footnotePr>
            <w:numRestart w:val="eachSect"/>
          </w:footnotePr>
          <w:pgSz w:w="11907" w:h="16839"/>
          <w:pgMar w:top="1134" w:right="1417" w:bottom="1134" w:left="1417" w:header="709" w:footer="709" w:gutter="0"/>
          <w:cols w:space="708"/>
          <w:docGrid w:linePitch="360"/>
        </w:sectPr>
      </w:pPr>
    </w:p>
    <w:p w:rsidR="00983C90" w:rsidRDefault="00EE5724">
      <w:pPr>
        <w:pStyle w:val="Rfrenceinterinstitutionnelle"/>
        <w:rPr>
          <w:noProof/>
        </w:rPr>
      </w:pPr>
      <w:r>
        <w:rPr>
          <w:noProof/>
        </w:rPr>
        <w:t>2024/0299 (NLE)</w:t>
      </w:r>
    </w:p>
    <w:p w:rsidR="00EA4AB4" w:rsidRPr="007305D0" w:rsidRDefault="00AF2D7B" w:rsidP="00AF2D7B">
      <w:pPr>
        <w:pStyle w:val="Statut"/>
        <w:rPr>
          <w:noProof/>
        </w:rPr>
      </w:pPr>
      <w:r w:rsidRPr="00AF2D7B">
        <w:rPr>
          <w:noProof/>
        </w:rPr>
        <w:t>Proposal for a</w:t>
      </w:r>
    </w:p>
    <w:p w:rsidR="00EA4AB4" w:rsidRPr="007305D0" w:rsidRDefault="00AF2D7B" w:rsidP="00AF2D7B">
      <w:pPr>
        <w:pStyle w:val="Typedudocument"/>
        <w:rPr>
          <w:noProof/>
        </w:rPr>
      </w:pPr>
      <w:r w:rsidRPr="00AF2D7B">
        <w:rPr>
          <w:noProof/>
        </w:rPr>
        <w:t>COUNCIL DECISION</w:t>
      </w:r>
    </w:p>
    <w:p w:rsidR="00EA4AB4" w:rsidRPr="007305D0" w:rsidRDefault="00AF2D7B" w:rsidP="00AF2D7B">
      <w:pPr>
        <w:pStyle w:val="Titreobjet"/>
        <w:rPr>
          <w:noProof/>
        </w:rPr>
      </w:pPr>
      <w:r w:rsidRPr="00AF2D7B">
        <w:rPr>
          <w:noProof/>
        </w:rPr>
        <w:t>authorising Member States to accept, in the interest of the European Union, the amendments to the International Health Regulations contained in the Annex to Resolution WHA77.17 and adopted on 1 June 2024</w:t>
      </w:r>
    </w:p>
    <w:p w:rsidR="00EA4AB4" w:rsidRPr="007305D0" w:rsidRDefault="00EA4AB4" w:rsidP="00197315">
      <w:pPr>
        <w:pStyle w:val="Institutionquiagit"/>
        <w:rPr>
          <w:noProof/>
        </w:rPr>
      </w:pPr>
      <w:r w:rsidRPr="007305D0">
        <w:rPr>
          <w:noProof/>
        </w:rPr>
        <w:t xml:space="preserve">THE COUNCIL OF THE EUROPEAN </w:t>
      </w:r>
      <w:smartTag w:uri="urn:schemas-microsoft-com:office:smarttags" w:element="place">
        <w:r w:rsidRPr="007305D0">
          <w:rPr>
            <w:noProof/>
          </w:rPr>
          <w:t>UNION</w:t>
        </w:r>
      </w:smartTag>
      <w:r w:rsidRPr="007305D0">
        <w:rPr>
          <w:noProof/>
        </w:rPr>
        <w:t>,</w:t>
      </w:r>
    </w:p>
    <w:p w:rsidR="00EA4AB4" w:rsidRPr="007305D0" w:rsidRDefault="00EA4AB4" w:rsidP="00197315">
      <w:pPr>
        <w:rPr>
          <w:noProof/>
        </w:rPr>
      </w:pPr>
      <w:r w:rsidRPr="007305D0">
        <w:rPr>
          <w:noProof/>
        </w:rPr>
        <w:t xml:space="preserve">Having regard to the Treaty on the Functioning of the European Union, and in particular Article </w:t>
      </w:r>
      <w:r w:rsidR="00D01CFD" w:rsidRPr="007305D0">
        <w:rPr>
          <w:noProof/>
        </w:rPr>
        <w:t>168</w:t>
      </w:r>
      <w:r w:rsidR="00B9754A" w:rsidRPr="007305D0">
        <w:rPr>
          <w:noProof/>
        </w:rPr>
        <w:t>(5)</w:t>
      </w:r>
      <w:r w:rsidR="00D01CFD" w:rsidRPr="007305D0">
        <w:rPr>
          <w:noProof/>
        </w:rPr>
        <w:t xml:space="preserve"> in conjunction with Article 218(6) (a) (iii) and (v)</w:t>
      </w:r>
      <w:r w:rsidRPr="007305D0">
        <w:rPr>
          <w:noProof/>
        </w:rPr>
        <w:t xml:space="preserve"> thereof,</w:t>
      </w:r>
    </w:p>
    <w:p w:rsidR="00EA4AB4" w:rsidRPr="007305D0" w:rsidRDefault="00EA4AB4" w:rsidP="00197315">
      <w:pPr>
        <w:rPr>
          <w:noProof/>
        </w:rPr>
      </w:pPr>
      <w:r w:rsidRPr="007305D0">
        <w:rPr>
          <w:noProof/>
        </w:rPr>
        <w:t>Having regard to the proposal from the European Commission,</w:t>
      </w:r>
    </w:p>
    <w:p w:rsidR="00EA4AB4" w:rsidRPr="007305D0" w:rsidRDefault="00EA4AB4" w:rsidP="00197315">
      <w:pPr>
        <w:rPr>
          <w:noProof/>
        </w:rPr>
      </w:pPr>
      <w:r w:rsidRPr="007305D0">
        <w:rPr>
          <w:noProof/>
        </w:rPr>
        <w:t xml:space="preserve">Having regard to the </w:t>
      </w:r>
      <w:r w:rsidR="00D01CFD" w:rsidRPr="007305D0">
        <w:rPr>
          <w:noProof/>
        </w:rPr>
        <w:t xml:space="preserve">consent </w:t>
      </w:r>
      <w:r w:rsidRPr="007305D0">
        <w:rPr>
          <w:noProof/>
        </w:rPr>
        <w:t>of the European Parliament,</w:t>
      </w:r>
    </w:p>
    <w:p w:rsidR="00EA4AB4" w:rsidRPr="007305D0" w:rsidRDefault="00EA4AB4" w:rsidP="00197315">
      <w:pPr>
        <w:rPr>
          <w:noProof/>
        </w:rPr>
      </w:pPr>
      <w:r w:rsidRPr="007305D0">
        <w:rPr>
          <w:noProof/>
        </w:rPr>
        <w:t>Whereas:</w:t>
      </w:r>
    </w:p>
    <w:p w:rsidR="00EA4AB4" w:rsidRPr="007305D0" w:rsidRDefault="006C4639" w:rsidP="006C4639">
      <w:pPr>
        <w:pStyle w:val="ManualConsidrant"/>
        <w:rPr>
          <w:noProof/>
        </w:rPr>
      </w:pPr>
      <w:r w:rsidRPr="006C4639">
        <w:rPr>
          <w:noProof/>
        </w:rPr>
        <w:t>(1)</w:t>
      </w:r>
      <w:r w:rsidRPr="006C4639">
        <w:rPr>
          <w:noProof/>
        </w:rPr>
        <w:tab/>
      </w:r>
      <w:r w:rsidR="00D01CFD" w:rsidRPr="007305D0">
        <w:rPr>
          <w:noProof/>
        </w:rPr>
        <w:t xml:space="preserve">On 1 June 2024, at </w:t>
      </w:r>
      <w:r w:rsidR="004262C8" w:rsidRPr="007305D0">
        <w:rPr>
          <w:noProof/>
        </w:rPr>
        <w:t>the</w:t>
      </w:r>
      <w:r w:rsidR="00D01CFD" w:rsidRPr="007305D0">
        <w:rPr>
          <w:noProof/>
        </w:rPr>
        <w:t xml:space="preserve"> </w:t>
      </w:r>
      <w:r w:rsidR="00C37550" w:rsidRPr="007305D0">
        <w:rPr>
          <w:noProof/>
        </w:rPr>
        <w:t>Seventy-seventh</w:t>
      </w:r>
      <w:r w:rsidR="00D01CFD" w:rsidRPr="007305D0">
        <w:rPr>
          <w:noProof/>
        </w:rPr>
        <w:t xml:space="preserve"> session</w:t>
      </w:r>
      <w:r w:rsidR="004262C8" w:rsidRPr="007305D0">
        <w:rPr>
          <w:noProof/>
        </w:rPr>
        <w:t xml:space="preserve"> of the World Health Assembly (WHA)</w:t>
      </w:r>
      <w:r w:rsidR="00D01CFD" w:rsidRPr="007305D0">
        <w:rPr>
          <w:noProof/>
        </w:rPr>
        <w:t xml:space="preserve">, the </w:t>
      </w:r>
      <w:r w:rsidR="00B84225" w:rsidRPr="007305D0">
        <w:rPr>
          <w:noProof/>
        </w:rPr>
        <w:t>M</w:t>
      </w:r>
      <w:r w:rsidR="004262C8" w:rsidRPr="007305D0">
        <w:rPr>
          <w:noProof/>
        </w:rPr>
        <w:t xml:space="preserve">ember </w:t>
      </w:r>
      <w:r w:rsidR="00B84225" w:rsidRPr="007305D0">
        <w:rPr>
          <w:noProof/>
        </w:rPr>
        <w:t>S</w:t>
      </w:r>
      <w:r w:rsidR="004262C8" w:rsidRPr="007305D0">
        <w:rPr>
          <w:noProof/>
        </w:rPr>
        <w:t xml:space="preserve">tates of the </w:t>
      </w:r>
      <w:r w:rsidR="00D01CFD" w:rsidRPr="007305D0">
        <w:rPr>
          <w:noProof/>
        </w:rPr>
        <w:t xml:space="preserve">World Health Organization (WHO) adopted by consensus the various amendments to the International Health Regulations of 2005 (hereinafter “amendments”) </w:t>
      </w:r>
      <w:r w:rsidR="00570179">
        <w:rPr>
          <w:noProof/>
        </w:rPr>
        <w:t>contained</w:t>
      </w:r>
      <w:r w:rsidR="00D01CFD" w:rsidRPr="007305D0">
        <w:rPr>
          <w:noProof/>
        </w:rPr>
        <w:t xml:space="preserve"> in </w:t>
      </w:r>
      <w:r w:rsidR="00E77DDA">
        <w:rPr>
          <w:noProof/>
        </w:rPr>
        <w:t xml:space="preserve">the Annex to </w:t>
      </w:r>
      <w:r w:rsidR="00C37550" w:rsidRPr="007305D0">
        <w:rPr>
          <w:noProof/>
        </w:rPr>
        <w:t>R</w:t>
      </w:r>
      <w:r w:rsidR="00D01CFD" w:rsidRPr="007305D0">
        <w:rPr>
          <w:noProof/>
        </w:rPr>
        <w:t xml:space="preserve">esolution </w:t>
      </w:r>
      <w:r w:rsidR="004262C8" w:rsidRPr="007305D0">
        <w:rPr>
          <w:noProof/>
        </w:rPr>
        <w:t>WHA77.17 and aimed at strengthening their effectiveness</w:t>
      </w:r>
      <w:r w:rsidR="00EA4AB4" w:rsidRPr="007305D0">
        <w:rPr>
          <w:noProof/>
        </w:rPr>
        <w:t>.</w:t>
      </w:r>
    </w:p>
    <w:p w:rsidR="00EA4AB4" w:rsidRPr="007305D0" w:rsidRDefault="006C4639" w:rsidP="006C4639">
      <w:pPr>
        <w:pStyle w:val="ManualConsidrant"/>
        <w:rPr>
          <w:noProof/>
        </w:rPr>
      </w:pPr>
      <w:r w:rsidRPr="006C4639">
        <w:rPr>
          <w:noProof/>
        </w:rPr>
        <w:t>(2)</w:t>
      </w:r>
      <w:r w:rsidRPr="006C4639">
        <w:rPr>
          <w:noProof/>
        </w:rPr>
        <w:tab/>
      </w:r>
      <w:r w:rsidR="004262C8" w:rsidRPr="007305D0">
        <w:rPr>
          <w:noProof/>
        </w:rPr>
        <w:t>The Union promotes the strengthening of the International Health Regulations (2005) and their effective implementation</w:t>
      </w:r>
      <w:r w:rsidR="009A11B1" w:rsidRPr="007305D0">
        <w:rPr>
          <w:noProof/>
        </w:rPr>
        <w:t>.</w:t>
      </w:r>
    </w:p>
    <w:p w:rsidR="004D2C04" w:rsidRPr="007305D0" w:rsidRDefault="006C4639" w:rsidP="006C4639">
      <w:pPr>
        <w:pStyle w:val="ManualConsidrant"/>
        <w:rPr>
          <w:noProof/>
        </w:rPr>
      </w:pPr>
      <w:r w:rsidRPr="006C4639">
        <w:rPr>
          <w:noProof/>
        </w:rPr>
        <w:t>(3)</w:t>
      </w:r>
      <w:r w:rsidRPr="006C4639">
        <w:rPr>
          <w:noProof/>
        </w:rPr>
        <w:tab/>
      </w:r>
      <w:r w:rsidR="004D2C04" w:rsidRPr="007305D0">
        <w:rPr>
          <w:noProof/>
        </w:rPr>
        <w:t xml:space="preserve">Over recent years, the Union significantly strengthened its health security framework through the adoption of several </w:t>
      </w:r>
      <w:r w:rsidR="00AE182B" w:rsidRPr="007305D0">
        <w:rPr>
          <w:noProof/>
        </w:rPr>
        <w:t>legal acts</w:t>
      </w:r>
      <w:r w:rsidR="004D2C04" w:rsidRPr="007305D0">
        <w:rPr>
          <w:noProof/>
        </w:rPr>
        <w:t>, in particular Regulation (EU) 2022/2371 of the European Parliament and of the Council of 23 November 2022 on serious cross-border threats to health and repealing Decision No 1082/2013/EU</w:t>
      </w:r>
      <w:r w:rsidR="005D1A6E">
        <w:rPr>
          <w:rStyle w:val="FootnoteReference"/>
          <w:noProof/>
        </w:rPr>
        <w:footnoteReference w:id="26"/>
      </w:r>
      <w:r w:rsidR="004D2C04" w:rsidRPr="007305D0">
        <w:rPr>
          <w:noProof/>
        </w:rPr>
        <w:t>,</w:t>
      </w:r>
      <w:r w:rsidR="00101459" w:rsidRPr="007305D0">
        <w:rPr>
          <w:noProof/>
        </w:rPr>
        <w:t xml:space="preserve"> and </w:t>
      </w:r>
      <w:bookmarkStart w:id="15" w:name="_Hlk173719047"/>
      <w:r w:rsidR="00101459" w:rsidRPr="007305D0">
        <w:rPr>
          <w:noProof/>
        </w:rPr>
        <w:t>Council Regulation (EU) 2022/2372 of 24 October 2022 on a framework of measures for ensuring the supply of crisis-relevant medical countermeasures in the event of a public health emergency at Union level</w:t>
      </w:r>
      <w:bookmarkEnd w:id="15"/>
      <w:r w:rsidR="005D1A6E">
        <w:rPr>
          <w:rStyle w:val="FootnoteReference"/>
          <w:noProof/>
        </w:rPr>
        <w:footnoteReference w:id="27"/>
      </w:r>
      <w:r w:rsidR="00101459" w:rsidRPr="007305D0">
        <w:rPr>
          <w:noProof/>
        </w:rPr>
        <w:t>.</w:t>
      </w:r>
    </w:p>
    <w:p w:rsidR="004D2C04" w:rsidRPr="007305D0" w:rsidRDefault="006C4639" w:rsidP="006C4639">
      <w:pPr>
        <w:pStyle w:val="ManualConsidrant"/>
        <w:rPr>
          <w:noProof/>
        </w:rPr>
      </w:pPr>
      <w:r w:rsidRPr="006C4639">
        <w:rPr>
          <w:noProof/>
        </w:rPr>
        <w:t>(4)</w:t>
      </w:r>
      <w:r w:rsidRPr="006C4639">
        <w:rPr>
          <w:noProof/>
        </w:rPr>
        <w:tab/>
      </w:r>
      <w:r w:rsidR="004D2C04" w:rsidRPr="007305D0">
        <w:rPr>
          <w:noProof/>
        </w:rPr>
        <w:t>On 3 March 2022,</w:t>
      </w:r>
      <w:r w:rsidR="00101459" w:rsidRPr="007305D0">
        <w:rPr>
          <w:noProof/>
        </w:rPr>
        <w:t xml:space="preserve"> with the adoption of Council Decision (EU) 2022/451</w:t>
      </w:r>
      <w:r w:rsidR="005D1A6E">
        <w:rPr>
          <w:rStyle w:val="FootnoteReference"/>
          <w:noProof/>
        </w:rPr>
        <w:footnoteReference w:id="28"/>
      </w:r>
      <w:r w:rsidR="00101459" w:rsidRPr="007305D0">
        <w:rPr>
          <w:noProof/>
        </w:rPr>
        <w:t xml:space="preserve">, the Council of the European Union authorised the Commission to negotiate on behalf of the Union, for matters falling within Union competence, an international agreement on pandemic prevention, preparedness and response, as well as complementary amendments to the International Health Regulations (2005). </w:t>
      </w:r>
    </w:p>
    <w:p w:rsidR="004262C8" w:rsidRPr="00117125" w:rsidRDefault="006C4639" w:rsidP="006C4639">
      <w:pPr>
        <w:pStyle w:val="ManualConsidrant"/>
        <w:rPr>
          <w:noProof/>
        </w:rPr>
      </w:pPr>
      <w:bookmarkStart w:id="16" w:name="_Hlk180076813"/>
      <w:r w:rsidRPr="006C4639">
        <w:rPr>
          <w:noProof/>
        </w:rPr>
        <w:t>(5)</w:t>
      </w:r>
      <w:r w:rsidRPr="006C4639">
        <w:rPr>
          <w:noProof/>
        </w:rPr>
        <w:tab/>
      </w:r>
      <w:r w:rsidR="00E72B80" w:rsidRPr="007305D0">
        <w:rPr>
          <w:noProof/>
        </w:rPr>
        <w:t xml:space="preserve">The </w:t>
      </w:r>
      <w:r w:rsidR="0094180C">
        <w:rPr>
          <w:noProof/>
        </w:rPr>
        <w:t xml:space="preserve">majority of </w:t>
      </w:r>
      <w:r w:rsidR="007F49F7">
        <w:rPr>
          <w:noProof/>
        </w:rPr>
        <w:t xml:space="preserve">amendments adopted </w:t>
      </w:r>
      <w:r w:rsidR="00E72B80" w:rsidRPr="007305D0">
        <w:rPr>
          <w:noProof/>
        </w:rPr>
        <w:t>on 1 June 2024</w:t>
      </w:r>
      <w:r w:rsidR="00714C79">
        <w:rPr>
          <w:noProof/>
        </w:rPr>
        <w:t xml:space="preserve"> </w:t>
      </w:r>
      <w:r w:rsidR="00DD5009" w:rsidRPr="00DD5009">
        <w:rPr>
          <w:noProof/>
        </w:rPr>
        <w:t xml:space="preserve">concern </w:t>
      </w:r>
      <w:r w:rsidR="00DD5009">
        <w:rPr>
          <w:noProof/>
        </w:rPr>
        <w:t>matters</w:t>
      </w:r>
      <w:r w:rsidR="00DD5009" w:rsidRPr="00DD5009">
        <w:rPr>
          <w:noProof/>
        </w:rPr>
        <w:t xml:space="preserve"> for which the Union is competent on the basis of Article 168(5) TFEU</w:t>
      </w:r>
      <w:r w:rsidR="00FD0F63">
        <w:rPr>
          <w:noProof/>
        </w:rPr>
        <w:t xml:space="preserve"> and </w:t>
      </w:r>
      <w:r w:rsidR="004A7A70">
        <w:rPr>
          <w:noProof/>
        </w:rPr>
        <w:t>in relation to which Union rules exist</w:t>
      </w:r>
      <w:r w:rsidR="00FD0F63">
        <w:rPr>
          <w:noProof/>
        </w:rPr>
        <w:t>,</w:t>
      </w:r>
      <w:r w:rsidR="00DD5009">
        <w:rPr>
          <w:noProof/>
        </w:rPr>
        <w:t xml:space="preserve"> </w:t>
      </w:r>
      <w:bookmarkEnd w:id="16"/>
      <w:r w:rsidR="004262C8" w:rsidRPr="007305D0">
        <w:rPr>
          <w:noProof/>
        </w:rPr>
        <w:t xml:space="preserve">in particular </w:t>
      </w:r>
      <w:r w:rsidR="001A6E84">
        <w:rPr>
          <w:noProof/>
        </w:rPr>
        <w:t xml:space="preserve">in the field of </w:t>
      </w:r>
      <w:r w:rsidR="004262C8" w:rsidRPr="007305D0">
        <w:rPr>
          <w:noProof/>
        </w:rPr>
        <w:t>s</w:t>
      </w:r>
      <w:r w:rsidR="009A11B1" w:rsidRPr="007305D0">
        <w:rPr>
          <w:noProof/>
        </w:rPr>
        <w:t>erious cross-</w:t>
      </w:r>
      <w:r w:rsidR="009A11B1" w:rsidRPr="00117125">
        <w:rPr>
          <w:noProof/>
        </w:rPr>
        <w:t>border threats to health.</w:t>
      </w:r>
      <w:r w:rsidR="0012440F" w:rsidRPr="00117125">
        <w:rPr>
          <w:noProof/>
        </w:rPr>
        <w:t xml:space="preserve"> </w:t>
      </w:r>
      <w:r w:rsidR="0011762B" w:rsidRPr="00117125">
        <w:rPr>
          <w:noProof/>
        </w:rPr>
        <w:t xml:space="preserve">In </w:t>
      </w:r>
      <w:r w:rsidR="00FD0F63" w:rsidRPr="00117125">
        <w:rPr>
          <w:noProof/>
        </w:rPr>
        <w:t xml:space="preserve">addition, some amendments </w:t>
      </w:r>
      <w:r w:rsidR="0011762B" w:rsidRPr="00117125">
        <w:rPr>
          <w:noProof/>
        </w:rPr>
        <w:t>correspond</w:t>
      </w:r>
      <w:r w:rsidR="00FD0F63" w:rsidRPr="00117125">
        <w:rPr>
          <w:noProof/>
        </w:rPr>
        <w:t xml:space="preserve"> to areas covered by Union law in relation to the supply of crisis-relevant medical countermeasures, protection of public health in the event of a public health emergency</w:t>
      </w:r>
      <w:r w:rsidR="001A6E84">
        <w:rPr>
          <w:noProof/>
        </w:rPr>
        <w:t>,</w:t>
      </w:r>
      <w:r w:rsidR="00FD0F63" w:rsidRPr="00117125">
        <w:rPr>
          <w:noProof/>
        </w:rPr>
        <w:t xml:space="preserve"> free movement of persons, civil </w:t>
      </w:r>
      <w:r w:rsidR="0011762B" w:rsidRPr="00117125">
        <w:rPr>
          <w:noProof/>
        </w:rPr>
        <w:t>protection,</w:t>
      </w:r>
      <w:r w:rsidR="00FD0F63" w:rsidRPr="00117125">
        <w:rPr>
          <w:noProof/>
        </w:rPr>
        <w:t xml:space="preserve"> or development cooperation. </w:t>
      </w:r>
    </w:p>
    <w:p w:rsidR="00EC4B24" w:rsidRPr="00117125" w:rsidRDefault="006C4639" w:rsidP="006C4639">
      <w:pPr>
        <w:pStyle w:val="ManualConsidrant"/>
        <w:rPr>
          <w:noProof/>
        </w:rPr>
      </w:pPr>
      <w:r w:rsidRPr="006C4639">
        <w:rPr>
          <w:noProof/>
        </w:rPr>
        <w:t>(6)</w:t>
      </w:r>
      <w:r w:rsidRPr="006C4639">
        <w:rPr>
          <w:noProof/>
        </w:rPr>
        <w:tab/>
      </w:r>
      <w:r w:rsidR="00EC4B24" w:rsidRPr="00117125">
        <w:rPr>
          <w:noProof/>
        </w:rPr>
        <w:t>The Member States remain competen</w:t>
      </w:r>
      <w:r w:rsidR="0094180C" w:rsidRPr="00F660A3">
        <w:rPr>
          <w:noProof/>
        </w:rPr>
        <w:t>t</w:t>
      </w:r>
      <w:r w:rsidR="00EC4B24" w:rsidRPr="00117125">
        <w:rPr>
          <w:noProof/>
        </w:rPr>
        <w:t xml:space="preserve"> for </w:t>
      </w:r>
      <w:r w:rsidR="007C4273" w:rsidRPr="00AF2D7B">
        <w:rPr>
          <w:noProof/>
        </w:rPr>
        <w:t xml:space="preserve">the definition of their health policy and for the organisation and delivery of health services and medical care </w:t>
      </w:r>
      <w:r w:rsidR="00EC4B24" w:rsidRPr="00117125">
        <w:rPr>
          <w:noProof/>
        </w:rPr>
        <w:t>in accordance with Article 168(7) TFEU.</w:t>
      </w:r>
    </w:p>
    <w:p w:rsidR="008521DA" w:rsidRPr="00117125" w:rsidRDefault="006C4639" w:rsidP="006C4639">
      <w:pPr>
        <w:pStyle w:val="ManualConsidrant"/>
        <w:rPr>
          <w:noProof/>
        </w:rPr>
      </w:pPr>
      <w:bookmarkStart w:id="17" w:name="_Hlk173715559"/>
      <w:r w:rsidRPr="006C4639">
        <w:rPr>
          <w:noProof/>
        </w:rPr>
        <w:t>(7)</w:t>
      </w:r>
      <w:r w:rsidRPr="006C4639">
        <w:rPr>
          <w:noProof/>
        </w:rPr>
        <w:tab/>
      </w:r>
      <w:r w:rsidR="008521DA" w:rsidRPr="00117125">
        <w:rPr>
          <w:noProof/>
        </w:rPr>
        <w:t>In accordance with the principle of sincere cooperation, Member States</w:t>
      </w:r>
      <w:r w:rsidR="006631F0" w:rsidRPr="00117125">
        <w:rPr>
          <w:noProof/>
        </w:rPr>
        <w:t>, acting in the interest of the Union,</w:t>
      </w:r>
      <w:r w:rsidR="008521DA" w:rsidRPr="00117125">
        <w:rPr>
          <w:noProof/>
        </w:rPr>
        <w:t xml:space="preserve"> should accept the amendments to the International Health Regulations (2005)</w:t>
      </w:r>
      <w:r w:rsidR="00E77DDA">
        <w:rPr>
          <w:noProof/>
        </w:rPr>
        <w:t xml:space="preserve"> contained in the Annex to Resolution WHA 77.17</w:t>
      </w:r>
      <w:r w:rsidR="006631F0" w:rsidRPr="00117125">
        <w:rPr>
          <w:noProof/>
        </w:rPr>
        <w:t>.</w:t>
      </w:r>
    </w:p>
    <w:p w:rsidR="008521DA" w:rsidRPr="00BF25A2" w:rsidRDefault="006C4639" w:rsidP="006C4639">
      <w:pPr>
        <w:pStyle w:val="ManualConsidrant"/>
        <w:rPr>
          <w:noProof/>
        </w:rPr>
      </w:pPr>
      <w:r w:rsidRPr="006C4639">
        <w:rPr>
          <w:noProof/>
        </w:rPr>
        <w:t>(8)</w:t>
      </w:r>
      <w:r w:rsidRPr="006C4639">
        <w:rPr>
          <w:noProof/>
        </w:rPr>
        <w:tab/>
      </w:r>
      <w:r w:rsidR="009A11B1" w:rsidRPr="00BF25A2">
        <w:rPr>
          <w:noProof/>
        </w:rPr>
        <w:t>No</w:t>
      </w:r>
      <w:r w:rsidR="00FC2055" w:rsidRPr="00BF25A2">
        <w:rPr>
          <w:noProof/>
        </w:rPr>
        <w:t xml:space="preserve">ne </w:t>
      </w:r>
      <w:r w:rsidR="009A11B1" w:rsidRPr="00117125">
        <w:rPr>
          <w:noProof/>
        </w:rPr>
        <w:t xml:space="preserve">of the amendments </w:t>
      </w:r>
      <w:r w:rsidR="00FC2055" w:rsidRPr="00117125">
        <w:rPr>
          <w:noProof/>
        </w:rPr>
        <w:t>are</w:t>
      </w:r>
      <w:r w:rsidR="009A11B1" w:rsidRPr="00117125">
        <w:rPr>
          <w:noProof/>
        </w:rPr>
        <w:t xml:space="preserve"> contrary to Union law and no reservation to the amendments</w:t>
      </w:r>
      <w:r w:rsidR="006631F0" w:rsidRPr="00117125">
        <w:rPr>
          <w:noProof/>
        </w:rPr>
        <w:t xml:space="preserve"> falling within the competence of the Union</w:t>
      </w:r>
      <w:r w:rsidR="009A11B1" w:rsidRPr="00117125">
        <w:rPr>
          <w:noProof/>
        </w:rPr>
        <w:t xml:space="preserve"> is thus req</w:t>
      </w:r>
      <w:r w:rsidR="009A11B1" w:rsidRPr="00BF25A2">
        <w:rPr>
          <w:noProof/>
        </w:rPr>
        <w:t>uired</w:t>
      </w:r>
      <w:bookmarkEnd w:id="17"/>
      <w:r w:rsidR="009A11B1" w:rsidRPr="00BF25A2">
        <w:rPr>
          <w:noProof/>
        </w:rPr>
        <w:t>.</w:t>
      </w:r>
    </w:p>
    <w:p w:rsidR="009A11B1" w:rsidRPr="00BF25A2" w:rsidRDefault="006C4639" w:rsidP="006C4639">
      <w:pPr>
        <w:pStyle w:val="ManualConsidrant"/>
        <w:rPr>
          <w:noProof/>
        </w:rPr>
      </w:pPr>
      <w:r w:rsidRPr="006C4639">
        <w:rPr>
          <w:noProof/>
        </w:rPr>
        <w:t>(9)</w:t>
      </w:r>
      <w:r w:rsidRPr="006C4639">
        <w:rPr>
          <w:noProof/>
        </w:rPr>
        <w:tab/>
      </w:r>
      <w:r w:rsidR="009A11B1" w:rsidRPr="00BF25A2">
        <w:rPr>
          <w:noProof/>
        </w:rPr>
        <w:t>The Union is not party to the International Health Regulations (2005), as only States can be Parties thereto.</w:t>
      </w:r>
      <w:r w:rsidR="00B9754A" w:rsidRPr="00BF25A2">
        <w:rPr>
          <w:noProof/>
        </w:rPr>
        <w:t xml:space="preserve"> All Member States are parties to the International Health Regulations (2005).</w:t>
      </w:r>
    </w:p>
    <w:p w:rsidR="009A11B1" w:rsidRPr="00BF25A2" w:rsidRDefault="006C4639" w:rsidP="006C4639">
      <w:pPr>
        <w:pStyle w:val="ManualConsidrant"/>
        <w:rPr>
          <w:noProof/>
        </w:rPr>
      </w:pPr>
      <w:r w:rsidRPr="006C4639">
        <w:rPr>
          <w:noProof/>
        </w:rPr>
        <w:t>(10)</w:t>
      </w:r>
      <w:r w:rsidRPr="006C4639">
        <w:rPr>
          <w:noProof/>
        </w:rPr>
        <w:tab/>
      </w:r>
      <w:r w:rsidR="009A11B1" w:rsidRPr="00BF25A2">
        <w:rPr>
          <w:noProof/>
        </w:rPr>
        <w:t>In th</w:t>
      </w:r>
      <w:r w:rsidR="0078797E" w:rsidRPr="00BF25A2">
        <w:rPr>
          <w:noProof/>
        </w:rPr>
        <w:t>ese circumstances</w:t>
      </w:r>
      <w:r w:rsidR="009A11B1" w:rsidRPr="00BF25A2">
        <w:rPr>
          <w:noProof/>
        </w:rPr>
        <w:t xml:space="preserve">, </w:t>
      </w:r>
      <w:r w:rsidR="00FC2055" w:rsidRPr="00BF25A2">
        <w:rPr>
          <w:noProof/>
        </w:rPr>
        <w:t>the Union’s external competence may be exercised through the Member States acting as intermediaries</w:t>
      </w:r>
      <w:r w:rsidR="009A11B1" w:rsidRPr="00BF25A2">
        <w:rPr>
          <w:noProof/>
        </w:rPr>
        <w:t xml:space="preserve">. </w:t>
      </w:r>
    </w:p>
    <w:p w:rsidR="00EA4AB4" w:rsidRPr="007305D0" w:rsidRDefault="00EA4AB4" w:rsidP="00197315">
      <w:pPr>
        <w:pStyle w:val="Formuledadoption"/>
        <w:rPr>
          <w:noProof/>
        </w:rPr>
      </w:pPr>
      <w:r w:rsidRPr="007305D0">
        <w:rPr>
          <w:noProof/>
        </w:rPr>
        <w:t xml:space="preserve">HAS ADOPTED THIS DECISION: </w:t>
      </w:r>
    </w:p>
    <w:p w:rsidR="00EA4AB4" w:rsidRPr="00117125" w:rsidRDefault="00EA4AB4" w:rsidP="00197315">
      <w:pPr>
        <w:pStyle w:val="Titrearticle"/>
        <w:rPr>
          <w:noProof/>
        </w:rPr>
      </w:pPr>
      <w:r w:rsidRPr="00117125">
        <w:rPr>
          <w:noProof/>
        </w:rPr>
        <w:t>Article 1</w:t>
      </w:r>
    </w:p>
    <w:p w:rsidR="00EA4AB4" w:rsidRDefault="009A11B1" w:rsidP="00197315">
      <w:pPr>
        <w:rPr>
          <w:noProof/>
        </w:rPr>
      </w:pPr>
      <w:r w:rsidRPr="00117125">
        <w:rPr>
          <w:noProof/>
        </w:rPr>
        <w:t>Member States are authorised to accept</w:t>
      </w:r>
      <w:r w:rsidR="004A7A70" w:rsidRPr="00117125">
        <w:rPr>
          <w:noProof/>
        </w:rPr>
        <w:t>, without reservations,</w:t>
      </w:r>
      <w:r w:rsidRPr="00117125">
        <w:rPr>
          <w:noProof/>
        </w:rPr>
        <w:t xml:space="preserve"> the amendments to the International Health Regulations (2005) </w:t>
      </w:r>
      <w:r w:rsidR="00E77DDA">
        <w:rPr>
          <w:noProof/>
        </w:rPr>
        <w:t>contained</w:t>
      </w:r>
      <w:r w:rsidR="00461EDB">
        <w:rPr>
          <w:noProof/>
        </w:rPr>
        <w:t xml:space="preserve"> </w:t>
      </w:r>
      <w:r w:rsidR="00AF2D7B">
        <w:rPr>
          <w:noProof/>
        </w:rPr>
        <w:t>i</w:t>
      </w:r>
      <w:r w:rsidR="00461EDB">
        <w:rPr>
          <w:noProof/>
        </w:rPr>
        <w:t xml:space="preserve">n the Annex </w:t>
      </w:r>
      <w:r w:rsidR="00AF2D7B">
        <w:rPr>
          <w:noProof/>
        </w:rPr>
        <w:t xml:space="preserve">to Resolution WHA 77.17 </w:t>
      </w:r>
      <w:r w:rsidR="00C37550" w:rsidRPr="00117125">
        <w:rPr>
          <w:noProof/>
        </w:rPr>
        <w:t>adopted on 1 June 2024</w:t>
      </w:r>
      <w:r w:rsidR="00FD0A05">
        <w:rPr>
          <w:rStyle w:val="FootnoteReference"/>
          <w:noProof/>
        </w:rPr>
        <w:footnoteReference w:id="29"/>
      </w:r>
      <w:r w:rsidRPr="00117125">
        <w:rPr>
          <w:noProof/>
        </w:rPr>
        <w:t>, in the interest of the Union</w:t>
      </w:r>
      <w:r w:rsidR="004A7A70" w:rsidRPr="00117125">
        <w:rPr>
          <w:noProof/>
        </w:rPr>
        <w:t xml:space="preserve">, </w:t>
      </w:r>
      <w:r w:rsidR="007F646C">
        <w:rPr>
          <w:noProof/>
        </w:rPr>
        <w:t>for the parts falling</w:t>
      </w:r>
      <w:r w:rsidR="004A7A70" w:rsidRPr="00117125">
        <w:rPr>
          <w:noProof/>
        </w:rPr>
        <w:t xml:space="preserve"> within the competence of the Union</w:t>
      </w:r>
      <w:r w:rsidRPr="00117125">
        <w:rPr>
          <w:noProof/>
        </w:rPr>
        <w:t>.</w:t>
      </w:r>
      <w:r w:rsidR="008521DA" w:rsidRPr="00117125">
        <w:rPr>
          <w:noProof/>
        </w:rPr>
        <w:t xml:space="preserve"> </w:t>
      </w:r>
    </w:p>
    <w:p w:rsidR="003E164E" w:rsidRPr="00117125" w:rsidRDefault="003E164E" w:rsidP="00197315">
      <w:pPr>
        <w:rPr>
          <w:noProof/>
        </w:rPr>
      </w:pPr>
      <w:r>
        <w:rPr>
          <w:noProof/>
        </w:rPr>
        <w:t xml:space="preserve">The </w:t>
      </w:r>
      <w:r w:rsidR="00ED45BA">
        <w:rPr>
          <w:noProof/>
        </w:rPr>
        <w:t xml:space="preserve">text of the </w:t>
      </w:r>
      <w:r>
        <w:rPr>
          <w:noProof/>
        </w:rPr>
        <w:t xml:space="preserve">amendments to the International Health Regulations (2005) </w:t>
      </w:r>
      <w:r w:rsidR="00ED45BA">
        <w:rPr>
          <w:noProof/>
        </w:rPr>
        <w:t>is attached to this Decision</w:t>
      </w:r>
      <w:r w:rsidR="00112AD0">
        <w:rPr>
          <w:rStyle w:val="FootnoteReference"/>
          <w:noProof/>
        </w:rPr>
        <w:footnoteReference w:id="30"/>
      </w:r>
      <w:r w:rsidR="00ED45BA">
        <w:rPr>
          <w:noProof/>
        </w:rPr>
        <w:t>.</w:t>
      </w:r>
    </w:p>
    <w:p w:rsidR="00EA4AB4" w:rsidRPr="00AF2D7B" w:rsidRDefault="00EA4AB4" w:rsidP="007D5915">
      <w:pPr>
        <w:pStyle w:val="Titrearticle"/>
        <w:rPr>
          <w:noProof/>
        </w:rPr>
      </w:pPr>
      <w:r w:rsidRPr="007305D0">
        <w:rPr>
          <w:noProof/>
        </w:rPr>
        <w:t xml:space="preserve">Article </w:t>
      </w:r>
      <w:r w:rsidR="009A11B1" w:rsidRPr="00AF2D7B">
        <w:rPr>
          <w:noProof/>
        </w:rPr>
        <w:t>2</w:t>
      </w:r>
    </w:p>
    <w:p w:rsidR="00EA4AB4" w:rsidRPr="007305D0" w:rsidRDefault="00EA4AB4" w:rsidP="00197315">
      <w:pPr>
        <w:rPr>
          <w:noProof/>
        </w:rPr>
      </w:pPr>
      <w:r w:rsidRPr="007305D0">
        <w:rPr>
          <w:noProof/>
        </w:rPr>
        <w:t>This Decision is addressed to the Member States.</w:t>
      </w:r>
    </w:p>
    <w:p w:rsidR="00EA4AB4" w:rsidRPr="007305D0" w:rsidRDefault="00AF2D7B" w:rsidP="007D5915">
      <w:pPr>
        <w:pStyle w:val="Fait"/>
        <w:rPr>
          <w:noProof/>
        </w:rPr>
      </w:pPr>
      <w:r>
        <w:rPr>
          <w:noProof/>
        </w:rPr>
        <w:t>Done at Brussels,</w:t>
      </w:r>
    </w:p>
    <w:p w:rsidR="00EA4AB4" w:rsidRPr="007305D0" w:rsidRDefault="00EA4AB4" w:rsidP="007D5915">
      <w:pPr>
        <w:pStyle w:val="Institutionquisigne"/>
        <w:rPr>
          <w:noProof/>
        </w:rPr>
      </w:pPr>
      <w:r w:rsidRPr="007305D0">
        <w:rPr>
          <w:noProof/>
        </w:rPr>
        <w:tab/>
        <w:t>For the Council</w:t>
      </w:r>
    </w:p>
    <w:p w:rsidR="00EA4AB4" w:rsidRPr="00EA4AB4" w:rsidRDefault="00EA4AB4" w:rsidP="00EA4AB4">
      <w:pPr>
        <w:pStyle w:val="Personnequisigne"/>
        <w:rPr>
          <w:noProof/>
        </w:rPr>
      </w:pPr>
      <w:r w:rsidRPr="007305D0">
        <w:rPr>
          <w:noProof/>
        </w:rPr>
        <w:tab/>
        <w:t>The President</w:t>
      </w:r>
    </w:p>
    <w:sectPr w:rsidR="00EA4AB4" w:rsidRPr="00EA4AB4" w:rsidSect="0042404C">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A30" w:rsidRDefault="00803A30" w:rsidP="00EA4AB4">
      <w:pPr>
        <w:spacing w:before="0" w:after="0"/>
      </w:pPr>
      <w:r>
        <w:separator/>
      </w:r>
    </w:p>
  </w:endnote>
  <w:endnote w:type="continuationSeparator" w:id="0">
    <w:p w:rsidR="00803A30" w:rsidRDefault="00803A30" w:rsidP="00EA4A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4C" w:rsidRPr="0042404C" w:rsidRDefault="0042404C" w:rsidP="0042404C">
    <w:pPr>
      <w:pStyle w:val="Footer"/>
      <w:rPr>
        <w:rFonts w:ascii="Arial" w:hAnsi="Arial" w:cs="Arial"/>
        <w:b/>
        <w:sz w:val="48"/>
      </w:rPr>
    </w:pPr>
    <w:r w:rsidRPr="0042404C">
      <w:rPr>
        <w:rFonts w:ascii="Arial" w:hAnsi="Arial" w:cs="Arial"/>
        <w:b/>
        <w:sz w:val="48"/>
      </w:rPr>
      <w:t>EN</w:t>
    </w:r>
    <w:r w:rsidRPr="0042404C">
      <w:rPr>
        <w:rFonts w:ascii="Arial" w:hAnsi="Arial" w:cs="Arial"/>
        <w:b/>
        <w:sz w:val="48"/>
      </w:rPr>
      <w:tab/>
    </w:r>
    <w:r w:rsidRPr="0042404C">
      <w:rPr>
        <w:rFonts w:ascii="Arial" w:hAnsi="Arial" w:cs="Arial"/>
        <w:b/>
        <w:sz w:val="48"/>
      </w:rPr>
      <w:tab/>
    </w:r>
    <w:r w:rsidRPr="0042404C">
      <w:tab/>
    </w:r>
    <w:r w:rsidRPr="0042404C">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4C" w:rsidRPr="0042404C" w:rsidRDefault="0042404C" w:rsidP="0042404C">
    <w:pPr>
      <w:pStyle w:val="Footer"/>
      <w:rPr>
        <w:rFonts w:ascii="Arial" w:hAnsi="Arial" w:cs="Arial"/>
        <w:b/>
        <w:sz w:val="48"/>
      </w:rPr>
    </w:pPr>
    <w:r w:rsidRPr="0042404C">
      <w:rPr>
        <w:rFonts w:ascii="Arial" w:hAnsi="Arial" w:cs="Arial"/>
        <w:b/>
        <w:sz w:val="48"/>
      </w:rPr>
      <w:t>EN</w:t>
    </w:r>
    <w:r w:rsidRPr="0042404C">
      <w:rPr>
        <w:rFonts w:ascii="Arial" w:hAnsi="Arial" w:cs="Arial"/>
        <w:b/>
        <w:sz w:val="48"/>
      </w:rPr>
      <w:tab/>
    </w:r>
    <w:r w:rsidRPr="0042404C">
      <w:rPr>
        <w:rFonts w:ascii="Arial" w:hAnsi="Arial" w:cs="Arial"/>
        <w:b/>
        <w:sz w:val="48"/>
      </w:rPr>
      <w:tab/>
    </w:r>
    <w:r w:rsidRPr="0042404C">
      <w:tab/>
    </w:r>
    <w:r w:rsidRPr="0042404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4C" w:rsidRDefault="00424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4C" w:rsidRPr="0042404C" w:rsidRDefault="0042404C" w:rsidP="0042404C">
    <w:pPr>
      <w:pStyle w:val="Footer"/>
      <w:rPr>
        <w:rFonts w:ascii="Arial" w:hAnsi="Arial" w:cs="Arial"/>
        <w:b/>
        <w:sz w:val="48"/>
      </w:rPr>
    </w:pPr>
    <w:r w:rsidRPr="0042404C">
      <w:rPr>
        <w:rFonts w:ascii="Arial" w:hAnsi="Arial" w:cs="Arial"/>
        <w:b/>
        <w:sz w:val="48"/>
      </w:rPr>
      <w:t>EN</w:t>
    </w:r>
    <w:r w:rsidRPr="0042404C">
      <w:rPr>
        <w:rFonts w:ascii="Arial" w:hAnsi="Arial" w:cs="Arial"/>
        <w:b/>
        <w:sz w:val="48"/>
      </w:rPr>
      <w:tab/>
    </w:r>
    <w:r>
      <w:fldChar w:fldCharType="begin"/>
    </w:r>
    <w:r>
      <w:instrText xml:space="preserve"> PAGE  \* MERGEFORMAT </w:instrText>
    </w:r>
    <w:r>
      <w:fldChar w:fldCharType="separate"/>
    </w:r>
    <w:r w:rsidR="007D5915">
      <w:rPr>
        <w:noProof/>
      </w:rPr>
      <w:t>11</w:t>
    </w:r>
    <w:r>
      <w:fldChar w:fldCharType="end"/>
    </w:r>
    <w:r>
      <w:tab/>
    </w:r>
    <w:r w:rsidRPr="0042404C">
      <w:tab/>
    </w:r>
    <w:r w:rsidRPr="0042404C">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4C" w:rsidRDefault="0042404C" w:rsidP="00424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A30" w:rsidRDefault="00803A30" w:rsidP="00EA4AB4">
      <w:pPr>
        <w:spacing w:before="0" w:after="0"/>
      </w:pPr>
      <w:r>
        <w:separator/>
      </w:r>
    </w:p>
  </w:footnote>
  <w:footnote w:type="continuationSeparator" w:id="0">
    <w:p w:rsidR="00803A30" w:rsidRDefault="00803A30" w:rsidP="00EA4AB4">
      <w:pPr>
        <w:spacing w:before="0" w:after="0"/>
      </w:pPr>
      <w:r>
        <w:continuationSeparator/>
      </w:r>
    </w:p>
  </w:footnote>
  <w:footnote w:id="1">
    <w:p w:rsidR="007235C9" w:rsidRPr="007235C9" w:rsidRDefault="007235C9">
      <w:pPr>
        <w:pStyle w:val="FootnoteText"/>
      </w:pPr>
      <w:r w:rsidRPr="00A67453">
        <w:rPr>
          <w:rStyle w:val="FootnoteReference"/>
        </w:rPr>
        <w:footnoteRef/>
      </w:r>
      <w:r w:rsidR="00A67453">
        <w:tab/>
      </w:r>
      <w:hyperlink r:id="rId1" w:history="1">
        <w:r w:rsidRPr="00D02399">
          <w:rPr>
            <w:rStyle w:val="Hyperlink"/>
            <w:lang w:val="en-IE"/>
          </w:rPr>
          <w:t>EB150(3) - Strengthening the International Health Regulations (2005): a process for their revision through potential amendment</w:t>
        </w:r>
      </w:hyperlink>
      <w:r>
        <w:rPr>
          <w:rStyle w:val="Hyperlink"/>
          <w:lang w:val="en-IE"/>
        </w:rPr>
        <w:t>.</w:t>
      </w:r>
    </w:p>
  </w:footnote>
  <w:footnote w:id="2">
    <w:p w:rsidR="007235C9" w:rsidRPr="007235C9" w:rsidRDefault="007235C9">
      <w:pPr>
        <w:pStyle w:val="FootnoteText"/>
      </w:pPr>
      <w:r w:rsidRPr="00A67453">
        <w:rPr>
          <w:rStyle w:val="FootnoteReference"/>
        </w:rPr>
        <w:footnoteRef/>
      </w:r>
      <w:r w:rsidR="00A67453">
        <w:tab/>
      </w:r>
      <w:hyperlink r:id="rId2" w:history="1">
        <w:r w:rsidRPr="008A2E31">
          <w:rPr>
            <w:rStyle w:val="Hyperlink"/>
            <w:lang w:val="en-IE"/>
          </w:rPr>
          <w:t xml:space="preserve">WHA75(9) </w:t>
        </w:r>
        <w:r>
          <w:rPr>
            <w:rStyle w:val="Hyperlink"/>
            <w:lang w:val="en-IE"/>
          </w:rPr>
          <w:t xml:space="preserve">- </w:t>
        </w:r>
        <w:r w:rsidRPr="008A2E31">
          <w:rPr>
            <w:rStyle w:val="Hyperlink"/>
            <w:lang w:val="en-IE"/>
          </w:rPr>
          <w:t>Strengthening WHO preparedness for and response to health emergencies</w:t>
        </w:r>
      </w:hyperlink>
      <w:r>
        <w:rPr>
          <w:rStyle w:val="Hyperlink"/>
          <w:lang w:val="en-IE"/>
        </w:rPr>
        <w:t>.</w:t>
      </w:r>
    </w:p>
  </w:footnote>
  <w:footnote w:id="3">
    <w:p w:rsidR="007235C9" w:rsidRPr="007235C9" w:rsidRDefault="007235C9">
      <w:pPr>
        <w:pStyle w:val="FootnoteText"/>
      </w:pPr>
      <w:r w:rsidRPr="00A67453">
        <w:rPr>
          <w:rStyle w:val="FootnoteReference"/>
        </w:rPr>
        <w:footnoteRef/>
      </w:r>
      <w:r w:rsidR="00A67453">
        <w:tab/>
      </w:r>
      <w:r w:rsidRPr="007B4CA4">
        <w:rPr>
          <w:lang w:val="en-IE"/>
        </w:rPr>
        <w:t>Armenia, Bangladesh, Czech Republic on behalf of the Member States of the European Union, Eswatini on behalf of the Member States of the WHO African Region, India, Indonesia, Japan, Malaysia, Namibia, New Zealand, Republic of Korea, Russian Federation on behalf of the Member States of the Eurasian Economic Union, Switzerland, United States of America, Uruguay on behalf of the Member States of the Southern Common Market (MERCOSUR)</w:t>
      </w:r>
      <w:r>
        <w:rPr>
          <w:lang w:val="en-IE"/>
        </w:rPr>
        <w:t>.</w:t>
      </w:r>
    </w:p>
  </w:footnote>
  <w:footnote w:id="4">
    <w:p w:rsidR="007235C9" w:rsidRPr="007235C9" w:rsidRDefault="007235C9">
      <w:pPr>
        <w:pStyle w:val="FootnoteText"/>
      </w:pPr>
      <w:r w:rsidRPr="00A67453">
        <w:rPr>
          <w:rStyle w:val="FootnoteReference"/>
        </w:rPr>
        <w:footnoteRef/>
      </w:r>
      <w:r w:rsidR="00A67453">
        <w:tab/>
      </w:r>
      <w:hyperlink r:id="rId3" w:history="1">
        <w:r w:rsidRPr="007B4CA4">
          <w:rPr>
            <w:rStyle w:val="Hyperlink"/>
            <w:lang w:val="en-IE"/>
          </w:rPr>
          <w:t>Proposed Amendments to the International Health Regulations (2005) submitted in accordance with decision WHA75(9) (2022)</w:t>
        </w:r>
      </w:hyperlink>
      <w:r>
        <w:rPr>
          <w:rStyle w:val="Hyperlink"/>
          <w:lang w:val="en-IE"/>
        </w:rPr>
        <w:t>.</w:t>
      </w:r>
    </w:p>
  </w:footnote>
  <w:footnote w:id="5">
    <w:p w:rsidR="007235C9" w:rsidRPr="007235C9" w:rsidRDefault="007235C9">
      <w:pPr>
        <w:pStyle w:val="FootnoteText"/>
      </w:pPr>
      <w:r w:rsidRPr="00A67453">
        <w:rPr>
          <w:rStyle w:val="FootnoteReference"/>
        </w:rPr>
        <w:footnoteRef/>
      </w:r>
      <w:r w:rsidR="00A67453">
        <w:tab/>
      </w:r>
      <w:hyperlink r:id="rId4" w:history="1">
        <w:r w:rsidRPr="00CC6FCB">
          <w:rPr>
            <w:rStyle w:val="Hyperlink"/>
            <w:lang w:val="en-IE"/>
          </w:rPr>
          <w:t>A77/9 – Working Group on Amendments to the International Health Regulations (2005) – Report by the Director-General</w:t>
        </w:r>
      </w:hyperlink>
      <w:r>
        <w:rPr>
          <w:rStyle w:val="Hyperlink"/>
          <w:lang w:val="en-IE"/>
        </w:rPr>
        <w:t>.</w:t>
      </w:r>
    </w:p>
  </w:footnote>
  <w:footnote w:id="6">
    <w:p w:rsidR="007235C9" w:rsidRPr="007235C9" w:rsidRDefault="007235C9">
      <w:pPr>
        <w:pStyle w:val="FootnoteText"/>
      </w:pPr>
      <w:r w:rsidRPr="00A67453">
        <w:rPr>
          <w:rStyle w:val="FootnoteReference"/>
        </w:rPr>
        <w:footnoteRef/>
      </w:r>
      <w:r w:rsidR="00A67453">
        <w:tab/>
      </w:r>
      <w:hyperlink r:id="rId5" w:history="1">
        <w:r w:rsidRPr="00713F70">
          <w:rPr>
            <w:rStyle w:val="Hyperlink"/>
          </w:rPr>
          <w:t>WHA77.17 - Strengthening preparedness for and response to public health emergencies through targeted amendments to the International Health Regulations (2005)</w:t>
        </w:r>
      </w:hyperlink>
      <w:r>
        <w:rPr>
          <w:rStyle w:val="Hyperlink"/>
        </w:rPr>
        <w:t>.</w:t>
      </w:r>
    </w:p>
  </w:footnote>
  <w:footnote w:id="7">
    <w:p w:rsidR="007235C9" w:rsidRPr="00342160" w:rsidRDefault="007235C9">
      <w:pPr>
        <w:pStyle w:val="FootnoteText"/>
        <w:rPr>
          <w:lang w:val="en-IE"/>
        </w:rPr>
      </w:pPr>
      <w:r w:rsidRPr="00A67453">
        <w:rPr>
          <w:rStyle w:val="FootnoteReference"/>
        </w:rPr>
        <w:footnoteRef/>
      </w:r>
      <w:r w:rsidR="00A67453" w:rsidRPr="00342160">
        <w:rPr>
          <w:lang w:val="en-IE"/>
        </w:rPr>
        <w:tab/>
      </w:r>
      <w:r w:rsidRPr="00342160">
        <w:rPr>
          <w:lang w:val="en-IE"/>
        </w:rPr>
        <w:t>OJ L 92, 21.3.2022, p. 1.</w:t>
      </w:r>
    </w:p>
  </w:footnote>
  <w:footnote w:id="8">
    <w:p w:rsidR="003745C0" w:rsidRPr="00342160" w:rsidRDefault="003745C0">
      <w:pPr>
        <w:pStyle w:val="FootnoteText"/>
        <w:rPr>
          <w:lang w:val="en-IE"/>
        </w:rPr>
      </w:pPr>
      <w:r w:rsidRPr="00D63FDF">
        <w:rPr>
          <w:rStyle w:val="FootnoteReference"/>
        </w:rPr>
        <w:footnoteRef/>
      </w:r>
      <w:r w:rsidR="00D63FDF">
        <w:rPr>
          <w:lang w:val="en-IE"/>
        </w:rPr>
        <w:tab/>
      </w:r>
      <w:r w:rsidRPr="00342160">
        <w:rPr>
          <w:lang w:val="en-IE"/>
        </w:rPr>
        <w:t>Council Document WK 7838/2024 INIT</w:t>
      </w:r>
    </w:p>
  </w:footnote>
  <w:footnote w:id="9">
    <w:p w:rsidR="007235C9" w:rsidRPr="007235C9" w:rsidRDefault="007235C9">
      <w:pPr>
        <w:pStyle w:val="FootnoteText"/>
      </w:pPr>
      <w:r w:rsidRPr="00A67453">
        <w:rPr>
          <w:rStyle w:val="FootnoteReference"/>
        </w:rPr>
        <w:footnoteRef/>
      </w:r>
      <w:r w:rsidR="00A67453">
        <w:tab/>
      </w:r>
      <w:r>
        <w:t>Council conclusions of 29 January 2024 on the ‘EU Global Health Strategy: Better health for all in a changing world’, document ST 5908/24 and related Commission Communication COM(2022)675 of 30 November 2022.</w:t>
      </w:r>
    </w:p>
  </w:footnote>
  <w:footnote w:id="10">
    <w:p w:rsidR="007235C9" w:rsidRPr="007235C9" w:rsidRDefault="007235C9">
      <w:pPr>
        <w:pStyle w:val="FootnoteText"/>
      </w:pPr>
      <w:r w:rsidRPr="00A67453">
        <w:rPr>
          <w:rStyle w:val="FootnoteReference"/>
        </w:rPr>
        <w:footnoteRef/>
      </w:r>
      <w:r w:rsidR="00A67453">
        <w:tab/>
      </w:r>
      <w:r>
        <w:t xml:space="preserve">It should be noted that the Commission had put forward a proposal to </w:t>
      </w:r>
      <w:r w:rsidR="00B36710">
        <w:t>amend A</w:t>
      </w:r>
      <w:r>
        <w:t xml:space="preserve">rticle 64 </w:t>
      </w:r>
      <w:r w:rsidR="0088730C">
        <w:t xml:space="preserve">to the International Health Regulations (2005) </w:t>
      </w:r>
      <w:r>
        <w:t xml:space="preserve">to allow regional economic integration organisation to become parties. Such proposal did not meet the agreement of some EU Member States and could not be finalised by the deadline of </w:t>
      </w:r>
      <w:r w:rsidR="00C40D0B">
        <w:t xml:space="preserve">30 </w:t>
      </w:r>
      <w:r>
        <w:t>September 2022.</w:t>
      </w:r>
      <w:r w:rsidRPr="00C363A2">
        <w:rPr>
          <w:sz w:val="24"/>
          <w:szCs w:val="24"/>
          <w:lang w:val="en-IE"/>
        </w:rPr>
        <w:t xml:space="preserve"> </w:t>
      </w:r>
      <w:r w:rsidRPr="002D41DC">
        <w:rPr>
          <w:lang w:val="en-IE"/>
        </w:rPr>
        <w:t>The proposal was therefore not included in the package of proposed amendments submitted by the Czech Republic on behalf of the EU and its Member States.</w:t>
      </w:r>
    </w:p>
  </w:footnote>
  <w:footnote w:id="11">
    <w:p w:rsidR="007235C9" w:rsidRPr="007235C9" w:rsidRDefault="007235C9">
      <w:pPr>
        <w:pStyle w:val="FootnoteText"/>
        <w:rPr>
          <w:lang w:val="nl-BE"/>
        </w:rPr>
      </w:pPr>
      <w:r w:rsidRPr="00A67453">
        <w:rPr>
          <w:rStyle w:val="FootnoteReference"/>
        </w:rPr>
        <w:footnoteRef/>
      </w:r>
      <w:r w:rsidR="00A67453">
        <w:rPr>
          <w:lang w:val="nl-BE"/>
        </w:rPr>
        <w:tab/>
      </w:r>
      <w:r w:rsidRPr="002D41DC">
        <w:rPr>
          <w:lang w:val="nl-BE"/>
        </w:rPr>
        <w:t>OJ L 314, 6.12.2022, p. 26.</w:t>
      </w:r>
    </w:p>
  </w:footnote>
  <w:footnote w:id="12">
    <w:p w:rsidR="007235C9" w:rsidRPr="007235C9" w:rsidRDefault="007235C9">
      <w:pPr>
        <w:pStyle w:val="FootnoteText"/>
        <w:rPr>
          <w:lang w:val="nl-BE"/>
        </w:rPr>
      </w:pPr>
      <w:r w:rsidRPr="00A67453">
        <w:rPr>
          <w:rStyle w:val="FootnoteReference"/>
        </w:rPr>
        <w:footnoteRef/>
      </w:r>
      <w:r w:rsidR="00A67453">
        <w:rPr>
          <w:lang w:val="nl-BE"/>
        </w:rPr>
        <w:tab/>
      </w:r>
      <w:r w:rsidRPr="002D41DC">
        <w:rPr>
          <w:lang w:val="nl-BE"/>
        </w:rPr>
        <w:t>OJ L 170, 6.7.2018, p</w:t>
      </w:r>
      <w:r>
        <w:rPr>
          <w:lang w:val="nl-BE"/>
        </w:rPr>
        <w:t>.</w:t>
      </w:r>
      <w:r w:rsidRPr="002D41DC">
        <w:rPr>
          <w:lang w:val="nl-BE"/>
        </w:rPr>
        <w:t xml:space="preserve"> 1.</w:t>
      </w:r>
    </w:p>
  </w:footnote>
  <w:footnote w:id="13">
    <w:p w:rsidR="007235C9" w:rsidRPr="007235C9" w:rsidRDefault="007235C9">
      <w:pPr>
        <w:pStyle w:val="FootnoteText"/>
        <w:rPr>
          <w:lang w:val="nl-BE"/>
        </w:rPr>
      </w:pPr>
      <w:r w:rsidRPr="00A67453">
        <w:rPr>
          <w:rStyle w:val="FootnoteReference"/>
        </w:rPr>
        <w:footnoteRef/>
      </w:r>
      <w:r w:rsidR="00A67453">
        <w:rPr>
          <w:lang w:val="nl-BE"/>
        </w:rPr>
        <w:tab/>
      </w:r>
      <w:r w:rsidRPr="002D41DC">
        <w:rPr>
          <w:lang w:val="nl-BE"/>
        </w:rPr>
        <w:t>OJ L 37, 14.2.2017, p. 23</w:t>
      </w:r>
      <w:r>
        <w:rPr>
          <w:lang w:val="nl-BE"/>
        </w:rPr>
        <w:t>.</w:t>
      </w:r>
    </w:p>
  </w:footnote>
  <w:footnote w:id="14">
    <w:p w:rsidR="00D03F64" w:rsidRPr="00D63FDF" w:rsidRDefault="00D03F64">
      <w:pPr>
        <w:pStyle w:val="FootnoteText"/>
        <w:rPr>
          <w:lang w:val="nl-BE"/>
        </w:rPr>
      </w:pPr>
      <w:r>
        <w:rPr>
          <w:rStyle w:val="FootnoteReference"/>
        </w:rPr>
        <w:footnoteRef/>
      </w:r>
      <w:r w:rsidRPr="00D63FDF">
        <w:rPr>
          <w:lang w:val="nl-BE"/>
        </w:rPr>
        <w:tab/>
        <w:t>OJ L 234, 22.9.2023, p. 105.</w:t>
      </w:r>
    </w:p>
  </w:footnote>
  <w:footnote w:id="15">
    <w:p w:rsidR="007235C9" w:rsidRPr="007235C9" w:rsidRDefault="007235C9">
      <w:pPr>
        <w:pStyle w:val="FootnoteText"/>
        <w:rPr>
          <w:lang w:val="nl-BE"/>
        </w:rPr>
      </w:pPr>
      <w:r w:rsidRPr="00A67453">
        <w:rPr>
          <w:rStyle w:val="FootnoteReference"/>
        </w:rPr>
        <w:footnoteRef/>
      </w:r>
      <w:r w:rsidR="00A67453">
        <w:rPr>
          <w:lang w:val="nl-BE"/>
        </w:rPr>
        <w:tab/>
      </w:r>
      <w:r w:rsidRPr="009548C1">
        <w:rPr>
          <w:lang w:val="nl-BE"/>
        </w:rPr>
        <w:t>OJ L 20, 31.1.2022, p. 1</w:t>
      </w:r>
      <w:r>
        <w:rPr>
          <w:lang w:val="nl-BE"/>
        </w:rPr>
        <w:t>.</w:t>
      </w:r>
    </w:p>
  </w:footnote>
  <w:footnote w:id="16">
    <w:p w:rsidR="00686AE4" w:rsidRPr="00D63FDF" w:rsidRDefault="00686AE4">
      <w:pPr>
        <w:pStyle w:val="FootnoteText"/>
        <w:rPr>
          <w:lang w:val="nl-BE"/>
        </w:rPr>
      </w:pPr>
      <w:r>
        <w:rPr>
          <w:rStyle w:val="FootnoteReference"/>
        </w:rPr>
        <w:footnoteRef/>
      </w:r>
      <w:r w:rsidRPr="00D63FDF">
        <w:rPr>
          <w:lang w:val="nl-BE"/>
        </w:rPr>
        <w:tab/>
        <w:t>OJ L 314, 6.12.2022, p. 64.</w:t>
      </w:r>
    </w:p>
  </w:footnote>
  <w:footnote w:id="17">
    <w:p w:rsidR="0004712D" w:rsidRPr="00AF2D7B" w:rsidRDefault="0004712D">
      <w:pPr>
        <w:pStyle w:val="FootnoteText"/>
        <w:rPr>
          <w:lang w:val="pl-PL"/>
        </w:rPr>
      </w:pPr>
      <w:r>
        <w:rPr>
          <w:rStyle w:val="FootnoteReference"/>
        </w:rPr>
        <w:footnoteRef/>
      </w:r>
      <w:r w:rsidRPr="00AF2D7B">
        <w:rPr>
          <w:lang w:val="pl-PL"/>
        </w:rPr>
        <w:tab/>
      </w:r>
      <w:r w:rsidR="00766F19" w:rsidRPr="00AF2D7B">
        <w:rPr>
          <w:lang w:val="pl-PL"/>
        </w:rPr>
        <w:t>OJ</w:t>
      </w:r>
      <w:r w:rsidR="00E906A4" w:rsidRPr="00AF2D7B">
        <w:rPr>
          <w:lang w:val="pl-PL"/>
        </w:rPr>
        <w:t xml:space="preserve"> C 96 I, 24.3.2020, p. 1.</w:t>
      </w:r>
    </w:p>
  </w:footnote>
  <w:footnote w:id="18">
    <w:p w:rsidR="007235C9" w:rsidRPr="00AF2D7B" w:rsidRDefault="007235C9">
      <w:pPr>
        <w:pStyle w:val="FootnoteText"/>
        <w:rPr>
          <w:lang w:val="pl-PL"/>
        </w:rPr>
      </w:pPr>
      <w:r w:rsidRPr="00A67453">
        <w:rPr>
          <w:rStyle w:val="FootnoteReference"/>
        </w:rPr>
        <w:footnoteRef/>
      </w:r>
      <w:r w:rsidR="00A67453" w:rsidRPr="00AF2D7B">
        <w:rPr>
          <w:lang w:val="pl-PL"/>
        </w:rPr>
        <w:tab/>
      </w:r>
      <w:r w:rsidRPr="00AF2D7B">
        <w:rPr>
          <w:lang w:val="pl-PL"/>
        </w:rPr>
        <w:t>OJ L 158, 30.4.2004, p. 77.</w:t>
      </w:r>
    </w:p>
  </w:footnote>
  <w:footnote w:id="19">
    <w:p w:rsidR="00F83A08" w:rsidRPr="00AF2D7B" w:rsidRDefault="00F83A08">
      <w:pPr>
        <w:pStyle w:val="FootnoteText"/>
        <w:rPr>
          <w:lang w:val="pl-PL"/>
        </w:rPr>
      </w:pPr>
      <w:r w:rsidRPr="00A67453">
        <w:rPr>
          <w:rStyle w:val="FootnoteReference"/>
        </w:rPr>
        <w:footnoteRef/>
      </w:r>
      <w:r w:rsidR="00A67453" w:rsidRPr="00AF2D7B">
        <w:rPr>
          <w:lang w:val="pl-PL"/>
        </w:rPr>
        <w:tab/>
      </w:r>
      <w:r w:rsidRPr="00AF2D7B">
        <w:rPr>
          <w:lang w:val="pl-PL"/>
        </w:rPr>
        <w:t>OJ L 77, 23.3.2016, p. 1.</w:t>
      </w:r>
    </w:p>
  </w:footnote>
  <w:footnote w:id="20">
    <w:p w:rsidR="00F83A08" w:rsidRPr="00AF2D7B" w:rsidRDefault="00F83A08">
      <w:pPr>
        <w:pStyle w:val="FootnoteText"/>
        <w:rPr>
          <w:lang w:val="pl-PL"/>
        </w:rPr>
      </w:pPr>
      <w:r w:rsidRPr="00A67453">
        <w:rPr>
          <w:rStyle w:val="FootnoteReference"/>
        </w:rPr>
        <w:footnoteRef/>
      </w:r>
      <w:r w:rsidR="00A67453" w:rsidRPr="00AF2D7B">
        <w:rPr>
          <w:lang w:val="pl-PL"/>
        </w:rPr>
        <w:tab/>
      </w:r>
      <w:r w:rsidRPr="00AF2D7B">
        <w:rPr>
          <w:lang w:val="pl-PL"/>
        </w:rPr>
        <w:t>OJ L 347, 20.12.2013, p. 924.</w:t>
      </w:r>
    </w:p>
  </w:footnote>
  <w:footnote w:id="21">
    <w:p w:rsidR="0004712D" w:rsidRPr="00AF2D7B" w:rsidRDefault="0004712D">
      <w:pPr>
        <w:pStyle w:val="FootnoteText"/>
        <w:rPr>
          <w:lang w:val="pl-PL"/>
        </w:rPr>
      </w:pPr>
      <w:r>
        <w:rPr>
          <w:rStyle w:val="FootnoteReference"/>
        </w:rPr>
        <w:footnoteRef/>
      </w:r>
      <w:r w:rsidRPr="00AF2D7B">
        <w:rPr>
          <w:lang w:val="pl-PL"/>
        </w:rPr>
        <w:tab/>
      </w:r>
      <w:r w:rsidR="00B0060C" w:rsidRPr="00AF2D7B">
        <w:rPr>
          <w:lang w:val="pl-PL"/>
        </w:rPr>
        <w:t>OJ L 209, 14.6.2021, p</w:t>
      </w:r>
      <w:r w:rsidR="0012440F" w:rsidRPr="00AF2D7B">
        <w:rPr>
          <w:lang w:val="pl-PL"/>
        </w:rPr>
        <w:t>.</w:t>
      </w:r>
      <w:r w:rsidR="00B0060C" w:rsidRPr="00AF2D7B">
        <w:rPr>
          <w:lang w:val="pl-PL"/>
        </w:rPr>
        <w:t xml:space="preserve"> 1.</w:t>
      </w:r>
    </w:p>
  </w:footnote>
  <w:footnote w:id="22">
    <w:p w:rsidR="00F83A08" w:rsidRPr="00F83A08" w:rsidRDefault="00F83A08">
      <w:pPr>
        <w:pStyle w:val="FootnoteText"/>
        <w:rPr>
          <w:lang w:val="en-IE"/>
        </w:rPr>
      </w:pPr>
      <w:r w:rsidRPr="00A67453">
        <w:rPr>
          <w:rStyle w:val="FootnoteReference"/>
        </w:rPr>
        <w:footnoteRef/>
      </w:r>
      <w:r w:rsidR="00A67453" w:rsidRPr="00AF2D7B">
        <w:rPr>
          <w:lang w:val="pl-PL"/>
        </w:rPr>
        <w:tab/>
      </w:r>
      <w:hyperlink r:id="rId6" w:history="1">
        <w:r w:rsidRPr="00616F9C">
          <w:rPr>
            <w:rStyle w:val="Hyperlink"/>
            <w:lang w:val="pl-PL"/>
          </w:rPr>
          <w:t xml:space="preserve">WHA75. </w:t>
        </w:r>
        <w:r w:rsidRPr="00845000">
          <w:rPr>
            <w:rStyle w:val="Hyperlink"/>
          </w:rPr>
          <w:t xml:space="preserve">12 </w:t>
        </w:r>
        <w:r>
          <w:rPr>
            <w:rStyle w:val="Hyperlink"/>
          </w:rPr>
          <w:t>-</w:t>
        </w:r>
        <w:r w:rsidRPr="00845000">
          <w:rPr>
            <w:rStyle w:val="Hyperlink"/>
          </w:rPr>
          <w:t xml:space="preserve"> Amendments to the International Health Regulations (2005)</w:t>
        </w:r>
      </w:hyperlink>
      <w:r>
        <w:rPr>
          <w:rStyle w:val="Hyperlink"/>
        </w:rPr>
        <w:t>.</w:t>
      </w:r>
    </w:p>
  </w:footnote>
  <w:footnote w:id="23">
    <w:p w:rsidR="00F83A08" w:rsidRPr="00F83A08" w:rsidRDefault="00F83A08">
      <w:pPr>
        <w:pStyle w:val="FootnoteText"/>
      </w:pPr>
      <w:r w:rsidRPr="00A67453">
        <w:rPr>
          <w:rStyle w:val="FootnoteReference"/>
        </w:rPr>
        <w:footnoteRef/>
      </w:r>
      <w:r w:rsidR="00A67453">
        <w:tab/>
      </w:r>
      <w:r>
        <w:t>Opinion 2/91 of the C</w:t>
      </w:r>
      <w:r w:rsidR="00EF6713">
        <w:t xml:space="preserve">ourt of </w:t>
      </w:r>
      <w:r>
        <w:t>J</w:t>
      </w:r>
      <w:r w:rsidR="00EF6713">
        <w:t>ustice</w:t>
      </w:r>
      <w:r>
        <w:t xml:space="preserve"> of 19 March 1993, </w:t>
      </w:r>
      <w:r w:rsidR="00EF6713" w:rsidRPr="002E6942">
        <w:t>ECLI:EU:C:1993:106</w:t>
      </w:r>
      <w:r>
        <w:t xml:space="preserve">, page 1061 on the ILO Chemicals Convention No. 170 and Judgment of the Court of Justice of 7 October 2014, </w:t>
      </w:r>
      <w:r w:rsidRPr="00CB6673">
        <w:rPr>
          <w:i/>
          <w:iCs/>
        </w:rPr>
        <w:t>Germany v Council</w:t>
      </w:r>
      <w:r>
        <w:t>, C-399/12, ECLI:EU:C:2014:2258, paragraph 64.</w:t>
      </w:r>
    </w:p>
  </w:footnote>
  <w:footnote w:id="24">
    <w:p w:rsidR="00F83A08" w:rsidRPr="00F83A08" w:rsidRDefault="00F83A08">
      <w:pPr>
        <w:pStyle w:val="FootnoteText"/>
      </w:pPr>
      <w:r w:rsidRPr="00A67453">
        <w:rPr>
          <w:rStyle w:val="FootnoteReference"/>
        </w:rPr>
        <w:footnoteRef/>
      </w:r>
      <w:r w:rsidR="00A67453">
        <w:tab/>
      </w:r>
      <w:hyperlink r:id="rId7" w:anchor="page=160" w:history="1">
        <w:r w:rsidRPr="00BB491E">
          <w:rPr>
            <w:rStyle w:val="Hyperlink"/>
            <w:lang w:val="en-IE"/>
          </w:rPr>
          <w:t>https://apps.who.int/gb/bd/pdf_files/BD_49th-en.pdf#page=160</w:t>
        </w:r>
      </w:hyperlink>
      <w:r>
        <w:rPr>
          <w:lang w:val="en-IE"/>
        </w:rPr>
        <w:t>.</w:t>
      </w:r>
    </w:p>
  </w:footnote>
  <w:footnote w:id="25">
    <w:p w:rsidR="00F83A08" w:rsidRPr="00F83A08" w:rsidRDefault="00F83A08">
      <w:pPr>
        <w:pStyle w:val="FootnoteText"/>
      </w:pPr>
      <w:r w:rsidRPr="00A67453">
        <w:rPr>
          <w:rStyle w:val="FootnoteReference"/>
        </w:rPr>
        <w:footnoteRef/>
      </w:r>
      <w:r w:rsidR="00A67453">
        <w:tab/>
      </w:r>
      <w:hyperlink r:id="rId8" w:history="1">
        <w:r w:rsidRPr="00936E55">
          <w:rPr>
            <w:rStyle w:val="Hyperlink"/>
            <w:lang w:val="en-IE"/>
          </w:rPr>
          <w:t>A/WGIHR/2/5 – Report of the Review Committee regarding amendments to the International Health Regulations (2005)</w:t>
        </w:r>
      </w:hyperlink>
      <w:r>
        <w:rPr>
          <w:rStyle w:val="Hyperlink"/>
          <w:lang w:val="en-IE"/>
        </w:rPr>
        <w:t>.</w:t>
      </w:r>
    </w:p>
  </w:footnote>
  <w:footnote w:id="26">
    <w:p w:rsidR="005D1A6E" w:rsidRPr="00CB6673" w:rsidRDefault="005D1A6E">
      <w:pPr>
        <w:pStyle w:val="FootnoteText"/>
        <w:rPr>
          <w:lang w:val="nl-BE"/>
        </w:rPr>
      </w:pPr>
      <w:r>
        <w:rPr>
          <w:rStyle w:val="FootnoteReference"/>
        </w:rPr>
        <w:footnoteRef/>
      </w:r>
      <w:r w:rsidRPr="00CB6673">
        <w:rPr>
          <w:lang w:val="nl-BE"/>
        </w:rPr>
        <w:tab/>
      </w:r>
      <w:r w:rsidR="0012440F" w:rsidRPr="002D41DC">
        <w:rPr>
          <w:lang w:val="nl-BE"/>
        </w:rPr>
        <w:t>OJ L 314, 6.12.2022, p. 26</w:t>
      </w:r>
      <w:r w:rsidR="0012440F">
        <w:rPr>
          <w:lang w:val="nl-BE"/>
        </w:rPr>
        <w:t>.</w:t>
      </w:r>
    </w:p>
  </w:footnote>
  <w:footnote w:id="27">
    <w:p w:rsidR="005D1A6E" w:rsidRPr="00CB6673" w:rsidRDefault="005D1A6E">
      <w:pPr>
        <w:pStyle w:val="FootnoteText"/>
        <w:rPr>
          <w:lang w:val="nl-BE"/>
        </w:rPr>
      </w:pPr>
      <w:r>
        <w:rPr>
          <w:rStyle w:val="FootnoteReference"/>
        </w:rPr>
        <w:footnoteRef/>
      </w:r>
      <w:r w:rsidRPr="00CB6673">
        <w:rPr>
          <w:lang w:val="nl-BE"/>
        </w:rPr>
        <w:tab/>
      </w:r>
      <w:r w:rsidR="0012440F" w:rsidRPr="00D63FDF">
        <w:rPr>
          <w:lang w:val="nl-BE"/>
        </w:rPr>
        <w:t>OJ L 314, 6.12.2022, p. 64</w:t>
      </w:r>
      <w:r w:rsidR="0012440F">
        <w:rPr>
          <w:lang w:val="nl-BE"/>
        </w:rPr>
        <w:t>.</w:t>
      </w:r>
    </w:p>
  </w:footnote>
  <w:footnote w:id="28">
    <w:p w:rsidR="005D1A6E" w:rsidRPr="00CB6673" w:rsidRDefault="005D1A6E">
      <w:pPr>
        <w:pStyle w:val="FootnoteText"/>
        <w:rPr>
          <w:lang w:val="nl-BE"/>
        </w:rPr>
      </w:pPr>
      <w:r>
        <w:rPr>
          <w:rStyle w:val="FootnoteReference"/>
        </w:rPr>
        <w:footnoteRef/>
      </w:r>
      <w:r w:rsidRPr="00CB6673">
        <w:rPr>
          <w:lang w:val="nl-BE"/>
        </w:rPr>
        <w:tab/>
        <w:t>OJ L 92, 21.3.2022, p. 1.</w:t>
      </w:r>
    </w:p>
  </w:footnote>
  <w:footnote w:id="29">
    <w:p w:rsidR="00FD0A05" w:rsidRPr="00AF2D7B" w:rsidRDefault="00FD0A05">
      <w:pPr>
        <w:pStyle w:val="FootnoteText"/>
        <w:rPr>
          <w:lang w:val="en-IE"/>
        </w:rPr>
      </w:pPr>
      <w:r>
        <w:rPr>
          <w:rStyle w:val="FootnoteReference"/>
        </w:rPr>
        <w:footnoteRef/>
      </w:r>
      <w:r w:rsidRPr="00AF2D7B">
        <w:rPr>
          <w:lang w:val="en-IE"/>
        </w:rPr>
        <w:tab/>
      </w:r>
      <w:hyperlink r:id="rId9" w:history="1">
        <w:r w:rsidRPr="00AF2D7B">
          <w:rPr>
            <w:rStyle w:val="Hyperlink"/>
          </w:rPr>
          <w:t>WHA77.17 - Strengthening preparedness for and response to public health emergencies through targeted amendments to the International Health Regulations (2005)</w:t>
        </w:r>
      </w:hyperlink>
      <w:r w:rsidRPr="00AF2D7B">
        <w:rPr>
          <w:rStyle w:val="Hyperlink"/>
        </w:rPr>
        <w:t>.</w:t>
      </w:r>
    </w:p>
  </w:footnote>
  <w:footnote w:id="30">
    <w:p w:rsidR="00112AD0" w:rsidRPr="00112AD0" w:rsidRDefault="00112AD0">
      <w:pPr>
        <w:pStyle w:val="FootnoteText"/>
        <w:rPr>
          <w:lang w:val="en-IE"/>
        </w:rPr>
      </w:pPr>
      <w:r>
        <w:rPr>
          <w:rStyle w:val="FootnoteReference"/>
        </w:rPr>
        <w:footnoteRef/>
      </w:r>
      <w:r w:rsidRPr="00112AD0">
        <w:rPr>
          <w:lang w:val="en-IE"/>
        </w:rPr>
        <w:tab/>
        <w:t>The text of the amendments t</w:t>
      </w:r>
      <w:r>
        <w:rPr>
          <w:lang w:val="en-IE"/>
        </w:rPr>
        <w:t>o the International Health Regulations (2005), with several editorial corrections, was circulated to the States Parties to the International Health Regulations (2005) through WHO circular letter C.L.40.2024 of 19 September 2024. These editorial corrections are also reflected in the text of the amendments attached to this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4C" w:rsidRDefault="00424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4C" w:rsidRDefault="00424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7BA7F7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966783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F10987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DAE341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4-11-13 08:20:3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16A7494-B269-46D0-884C-AF45E9DE2C11"/>
    <w:docVar w:name="LW_COVERPAGE_TYPE" w:val="1"/>
    <w:docVar w:name="LW_CROSSREFERENCE" w:val="&lt;UNUSED&gt;"/>
    <w:docVar w:name="LW_DocType" w:val="COM"/>
    <w:docVar w:name="LW_EMISSION" w:val="13.11.2024"/>
    <w:docVar w:name="LW_EMISSION_ISODATE" w:val="2024-11-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99"/>
    <w:docVar w:name="LW_REF.II.NEW.CP_YEAR" w:val="2024"/>
    <w:docVar w:name="LW_REF.INST.NEW" w:val="COM"/>
    <w:docVar w:name="LW_REF.INST.NEW_ADOPTED" w:val="final"/>
    <w:docVar w:name="LW_REF.INST.NEW_TEXT" w:val="(2024) 54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Member States to accept, in the interest of the European Union, the amendments to the International Health Regulations contained in the Annex to Resolution WHA77.17 and adopted on 1 June 2024"/>
    <w:docVar w:name="LW_TYPE.DOC.CP" w:val="COUNCIL DECISION"/>
    <w:docVar w:name="LwApiVersions" w:val="LW4CoDe 1.24.5.0; LW 9.0, Build 20240221"/>
  </w:docVars>
  <w:rsids>
    <w:rsidRoot w:val="00EA4AB4"/>
    <w:rsid w:val="000253D1"/>
    <w:rsid w:val="00027900"/>
    <w:rsid w:val="00036E6D"/>
    <w:rsid w:val="0004712D"/>
    <w:rsid w:val="00051F9E"/>
    <w:rsid w:val="0005495B"/>
    <w:rsid w:val="00062ABF"/>
    <w:rsid w:val="00067580"/>
    <w:rsid w:val="000931EC"/>
    <w:rsid w:val="000A243D"/>
    <w:rsid w:val="000A760D"/>
    <w:rsid w:val="000B12A3"/>
    <w:rsid w:val="000B19E9"/>
    <w:rsid w:val="000B3C64"/>
    <w:rsid w:val="000B64D9"/>
    <w:rsid w:val="000D0D4E"/>
    <w:rsid w:val="000E0A9B"/>
    <w:rsid w:val="000F66C5"/>
    <w:rsid w:val="00101459"/>
    <w:rsid w:val="00104007"/>
    <w:rsid w:val="001065F5"/>
    <w:rsid w:val="0011154E"/>
    <w:rsid w:val="00112AD0"/>
    <w:rsid w:val="00117125"/>
    <w:rsid w:val="0011762B"/>
    <w:rsid w:val="001238EF"/>
    <w:rsid w:val="0012440F"/>
    <w:rsid w:val="00126F0E"/>
    <w:rsid w:val="001408FC"/>
    <w:rsid w:val="0014316C"/>
    <w:rsid w:val="00152A34"/>
    <w:rsid w:val="001539E1"/>
    <w:rsid w:val="00154DF3"/>
    <w:rsid w:val="0016454B"/>
    <w:rsid w:val="00170447"/>
    <w:rsid w:val="00171D79"/>
    <w:rsid w:val="00180215"/>
    <w:rsid w:val="00184576"/>
    <w:rsid w:val="0018686F"/>
    <w:rsid w:val="00197613"/>
    <w:rsid w:val="001A6E84"/>
    <w:rsid w:val="001A754A"/>
    <w:rsid w:val="001C54A7"/>
    <w:rsid w:val="001E3D59"/>
    <w:rsid w:val="001E6E98"/>
    <w:rsid w:val="001E7AE5"/>
    <w:rsid w:val="001F6A47"/>
    <w:rsid w:val="002076A3"/>
    <w:rsid w:val="00213DDF"/>
    <w:rsid w:val="00213E8C"/>
    <w:rsid w:val="002226AB"/>
    <w:rsid w:val="00225BC9"/>
    <w:rsid w:val="00232708"/>
    <w:rsid w:val="00233DC7"/>
    <w:rsid w:val="00236FE4"/>
    <w:rsid w:val="00247779"/>
    <w:rsid w:val="00264476"/>
    <w:rsid w:val="00276FEB"/>
    <w:rsid w:val="00281D4C"/>
    <w:rsid w:val="00285BEE"/>
    <w:rsid w:val="00292C0C"/>
    <w:rsid w:val="0029533F"/>
    <w:rsid w:val="00296B48"/>
    <w:rsid w:val="002B30AF"/>
    <w:rsid w:val="002D1EB2"/>
    <w:rsid w:val="002D41DC"/>
    <w:rsid w:val="002D5DB3"/>
    <w:rsid w:val="002F4EF8"/>
    <w:rsid w:val="00306F03"/>
    <w:rsid w:val="00312873"/>
    <w:rsid w:val="00315288"/>
    <w:rsid w:val="0031639D"/>
    <w:rsid w:val="00324F4C"/>
    <w:rsid w:val="0033344A"/>
    <w:rsid w:val="0033630E"/>
    <w:rsid w:val="00341FE4"/>
    <w:rsid w:val="00342160"/>
    <w:rsid w:val="00364858"/>
    <w:rsid w:val="003675DD"/>
    <w:rsid w:val="003745C0"/>
    <w:rsid w:val="00381447"/>
    <w:rsid w:val="0039253A"/>
    <w:rsid w:val="00396CFF"/>
    <w:rsid w:val="00397009"/>
    <w:rsid w:val="003B3D09"/>
    <w:rsid w:val="003E0CA5"/>
    <w:rsid w:val="003E164E"/>
    <w:rsid w:val="003F4B8D"/>
    <w:rsid w:val="00401F16"/>
    <w:rsid w:val="00404BA4"/>
    <w:rsid w:val="0042404C"/>
    <w:rsid w:val="004262C8"/>
    <w:rsid w:val="0042648E"/>
    <w:rsid w:val="00432931"/>
    <w:rsid w:val="004343CA"/>
    <w:rsid w:val="00435FE8"/>
    <w:rsid w:val="004459EA"/>
    <w:rsid w:val="00446C6F"/>
    <w:rsid w:val="00461EDB"/>
    <w:rsid w:val="00480696"/>
    <w:rsid w:val="00491F28"/>
    <w:rsid w:val="004936D2"/>
    <w:rsid w:val="004A1617"/>
    <w:rsid w:val="004A4A72"/>
    <w:rsid w:val="004A6FD8"/>
    <w:rsid w:val="004A7A70"/>
    <w:rsid w:val="004C4095"/>
    <w:rsid w:val="004D10CF"/>
    <w:rsid w:val="004D2C04"/>
    <w:rsid w:val="004E13ED"/>
    <w:rsid w:val="004E2E92"/>
    <w:rsid w:val="004E42AD"/>
    <w:rsid w:val="00504B7E"/>
    <w:rsid w:val="00507D97"/>
    <w:rsid w:val="0052422A"/>
    <w:rsid w:val="00534A1B"/>
    <w:rsid w:val="0053626D"/>
    <w:rsid w:val="005370A9"/>
    <w:rsid w:val="00546571"/>
    <w:rsid w:val="00554409"/>
    <w:rsid w:val="005630FA"/>
    <w:rsid w:val="00570179"/>
    <w:rsid w:val="00576159"/>
    <w:rsid w:val="00593383"/>
    <w:rsid w:val="005A0798"/>
    <w:rsid w:val="005B1EB6"/>
    <w:rsid w:val="005C6FE2"/>
    <w:rsid w:val="005D131F"/>
    <w:rsid w:val="005D1A6E"/>
    <w:rsid w:val="005D7129"/>
    <w:rsid w:val="005F0B68"/>
    <w:rsid w:val="00610BB8"/>
    <w:rsid w:val="00612AE4"/>
    <w:rsid w:val="00614AFC"/>
    <w:rsid w:val="00616F9C"/>
    <w:rsid w:val="00622A7F"/>
    <w:rsid w:val="00651F8E"/>
    <w:rsid w:val="006631F0"/>
    <w:rsid w:val="0066361D"/>
    <w:rsid w:val="0066363C"/>
    <w:rsid w:val="00663776"/>
    <w:rsid w:val="006647CA"/>
    <w:rsid w:val="006711F9"/>
    <w:rsid w:val="00686AE4"/>
    <w:rsid w:val="0068767D"/>
    <w:rsid w:val="00687C9C"/>
    <w:rsid w:val="006A115C"/>
    <w:rsid w:val="006A56E5"/>
    <w:rsid w:val="006C4639"/>
    <w:rsid w:val="006E0790"/>
    <w:rsid w:val="006E43EC"/>
    <w:rsid w:val="006F0AA2"/>
    <w:rsid w:val="006F2861"/>
    <w:rsid w:val="00702937"/>
    <w:rsid w:val="00710EF4"/>
    <w:rsid w:val="00713F70"/>
    <w:rsid w:val="00714C79"/>
    <w:rsid w:val="007235C9"/>
    <w:rsid w:val="00723719"/>
    <w:rsid w:val="00725724"/>
    <w:rsid w:val="007305D0"/>
    <w:rsid w:val="00733747"/>
    <w:rsid w:val="007342D9"/>
    <w:rsid w:val="007417AD"/>
    <w:rsid w:val="00750085"/>
    <w:rsid w:val="0075183E"/>
    <w:rsid w:val="0075678D"/>
    <w:rsid w:val="00761726"/>
    <w:rsid w:val="0076389A"/>
    <w:rsid w:val="00766F19"/>
    <w:rsid w:val="00767FA7"/>
    <w:rsid w:val="00773331"/>
    <w:rsid w:val="00776409"/>
    <w:rsid w:val="00781A48"/>
    <w:rsid w:val="0078797E"/>
    <w:rsid w:val="007932EF"/>
    <w:rsid w:val="00796163"/>
    <w:rsid w:val="00796C7A"/>
    <w:rsid w:val="007A7363"/>
    <w:rsid w:val="007B1181"/>
    <w:rsid w:val="007B5765"/>
    <w:rsid w:val="007C4273"/>
    <w:rsid w:val="007D5915"/>
    <w:rsid w:val="007E05B0"/>
    <w:rsid w:val="007F49F7"/>
    <w:rsid w:val="007F646C"/>
    <w:rsid w:val="00803A30"/>
    <w:rsid w:val="00832AFC"/>
    <w:rsid w:val="00834A6B"/>
    <w:rsid w:val="0083540C"/>
    <w:rsid w:val="0084439A"/>
    <w:rsid w:val="00845000"/>
    <w:rsid w:val="0084739A"/>
    <w:rsid w:val="008521DA"/>
    <w:rsid w:val="00861219"/>
    <w:rsid w:val="00866E21"/>
    <w:rsid w:val="00874D22"/>
    <w:rsid w:val="0087581D"/>
    <w:rsid w:val="0088730C"/>
    <w:rsid w:val="008963B0"/>
    <w:rsid w:val="008A2914"/>
    <w:rsid w:val="008B462D"/>
    <w:rsid w:val="008C128D"/>
    <w:rsid w:val="008D0F30"/>
    <w:rsid w:val="008D3222"/>
    <w:rsid w:val="008D54D2"/>
    <w:rsid w:val="008E06CE"/>
    <w:rsid w:val="008E4D8E"/>
    <w:rsid w:val="009014D6"/>
    <w:rsid w:val="00905A60"/>
    <w:rsid w:val="00914368"/>
    <w:rsid w:val="00934FE9"/>
    <w:rsid w:val="009365EA"/>
    <w:rsid w:val="0094180C"/>
    <w:rsid w:val="009432CE"/>
    <w:rsid w:val="00952FEC"/>
    <w:rsid w:val="00954803"/>
    <w:rsid w:val="009548C1"/>
    <w:rsid w:val="00961E80"/>
    <w:rsid w:val="00974F65"/>
    <w:rsid w:val="00983C90"/>
    <w:rsid w:val="00991E01"/>
    <w:rsid w:val="009969FA"/>
    <w:rsid w:val="009A11B1"/>
    <w:rsid w:val="009A4339"/>
    <w:rsid w:val="009A797A"/>
    <w:rsid w:val="009C2849"/>
    <w:rsid w:val="009E51D0"/>
    <w:rsid w:val="009F0AD6"/>
    <w:rsid w:val="009F17E0"/>
    <w:rsid w:val="009F756D"/>
    <w:rsid w:val="00A103A0"/>
    <w:rsid w:val="00A10F7E"/>
    <w:rsid w:val="00A22E77"/>
    <w:rsid w:val="00A513E5"/>
    <w:rsid w:val="00A67453"/>
    <w:rsid w:val="00A713B0"/>
    <w:rsid w:val="00A8031D"/>
    <w:rsid w:val="00A8244D"/>
    <w:rsid w:val="00A83492"/>
    <w:rsid w:val="00A85EDF"/>
    <w:rsid w:val="00A914BE"/>
    <w:rsid w:val="00A94BB9"/>
    <w:rsid w:val="00A97A4F"/>
    <w:rsid w:val="00A97DBF"/>
    <w:rsid w:val="00AA33E3"/>
    <w:rsid w:val="00AB309D"/>
    <w:rsid w:val="00AC50FA"/>
    <w:rsid w:val="00AE182B"/>
    <w:rsid w:val="00AE70D6"/>
    <w:rsid w:val="00AE7F62"/>
    <w:rsid w:val="00AF2D7B"/>
    <w:rsid w:val="00AF4433"/>
    <w:rsid w:val="00B0060C"/>
    <w:rsid w:val="00B04C6B"/>
    <w:rsid w:val="00B33C8F"/>
    <w:rsid w:val="00B36710"/>
    <w:rsid w:val="00B40913"/>
    <w:rsid w:val="00B42269"/>
    <w:rsid w:val="00B50405"/>
    <w:rsid w:val="00B6054D"/>
    <w:rsid w:val="00B61D01"/>
    <w:rsid w:val="00B64A88"/>
    <w:rsid w:val="00B72F33"/>
    <w:rsid w:val="00B7672B"/>
    <w:rsid w:val="00B8130B"/>
    <w:rsid w:val="00B84225"/>
    <w:rsid w:val="00B87EE3"/>
    <w:rsid w:val="00B9380F"/>
    <w:rsid w:val="00B9432B"/>
    <w:rsid w:val="00B9754A"/>
    <w:rsid w:val="00BA3ED4"/>
    <w:rsid w:val="00BA568E"/>
    <w:rsid w:val="00BA6FB3"/>
    <w:rsid w:val="00BA78E1"/>
    <w:rsid w:val="00BC2108"/>
    <w:rsid w:val="00BD1C5E"/>
    <w:rsid w:val="00BD3E70"/>
    <w:rsid w:val="00BD6A5A"/>
    <w:rsid w:val="00BE42F5"/>
    <w:rsid w:val="00BF25A2"/>
    <w:rsid w:val="00BF57DA"/>
    <w:rsid w:val="00BF71CF"/>
    <w:rsid w:val="00C12301"/>
    <w:rsid w:val="00C14137"/>
    <w:rsid w:val="00C160F5"/>
    <w:rsid w:val="00C339D7"/>
    <w:rsid w:val="00C35C45"/>
    <w:rsid w:val="00C363A2"/>
    <w:rsid w:val="00C37550"/>
    <w:rsid w:val="00C40D0B"/>
    <w:rsid w:val="00C53C20"/>
    <w:rsid w:val="00C572FF"/>
    <w:rsid w:val="00C63FF5"/>
    <w:rsid w:val="00C84BB8"/>
    <w:rsid w:val="00C86D8B"/>
    <w:rsid w:val="00CB06BE"/>
    <w:rsid w:val="00CB227A"/>
    <w:rsid w:val="00CB5213"/>
    <w:rsid w:val="00CB6673"/>
    <w:rsid w:val="00CC3E5D"/>
    <w:rsid w:val="00CD2A95"/>
    <w:rsid w:val="00CD52A1"/>
    <w:rsid w:val="00D01CFD"/>
    <w:rsid w:val="00D03092"/>
    <w:rsid w:val="00D03F64"/>
    <w:rsid w:val="00D13D35"/>
    <w:rsid w:val="00D13E46"/>
    <w:rsid w:val="00D141A3"/>
    <w:rsid w:val="00D161F2"/>
    <w:rsid w:val="00D20381"/>
    <w:rsid w:val="00D2205B"/>
    <w:rsid w:val="00D26134"/>
    <w:rsid w:val="00D35447"/>
    <w:rsid w:val="00D4380D"/>
    <w:rsid w:val="00D45E24"/>
    <w:rsid w:val="00D47AD3"/>
    <w:rsid w:val="00D52C2E"/>
    <w:rsid w:val="00D60A06"/>
    <w:rsid w:val="00D63FDF"/>
    <w:rsid w:val="00D766D6"/>
    <w:rsid w:val="00D82DF7"/>
    <w:rsid w:val="00DB0969"/>
    <w:rsid w:val="00DB0C59"/>
    <w:rsid w:val="00DD5009"/>
    <w:rsid w:val="00DE2EC7"/>
    <w:rsid w:val="00DE7A85"/>
    <w:rsid w:val="00DF0A12"/>
    <w:rsid w:val="00E32626"/>
    <w:rsid w:val="00E33399"/>
    <w:rsid w:val="00E43B14"/>
    <w:rsid w:val="00E51738"/>
    <w:rsid w:val="00E53728"/>
    <w:rsid w:val="00E6005F"/>
    <w:rsid w:val="00E72B80"/>
    <w:rsid w:val="00E77DDA"/>
    <w:rsid w:val="00E906A4"/>
    <w:rsid w:val="00E9587D"/>
    <w:rsid w:val="00EA074B"/>
    <w:rsid w:val="00EA4AB4"/>
    <w:rsid w:val="00EB564A"/>
    <w:rsid w:val="00EC1496"/>
    <w:rsid w:val="00EC4B24"/>
    <w:rsid w:val="00EC702B"/>
    <w:rsid w:val="00EC78F6"/>
    <w:rsid w:val="00ED3974"/>
    <w:rsid w:val="00ED45BA"/>
    <w:rsid w:val="00ED52DD"/>
    <w:rsid w:val="00EE632F"/>
    <w:rsid w:val="00EF5746"/>
    <w:rsid w:val="00EF6713"/>
    <w:rsid w:val="00EF6BD6"/>
    <w:rsid w:val="00EF6EAD"/>
    <w:rsid w:val="00F17E13"/>
    <w:rsid w:val="00F2153A"/>
    <w:rsid w:val="00F3032A"/>
    <w:rsid w:val="00F32301"/>
    <w:rsid w:val="00F46EE1"/>
    <w:rsid w:val="00F5511E"/>
    <w:rsid w:val="00F565F4"/>
    <w:rsid w:val="00F660A3"/>
    <w:rsid w:val="00F670ED"/>
    <w:rsid w:val="00F727C7"/>
    <w:rsid w:val="00F83A08"/>
    <w:rsid w:val="00F86B91"/>
    <w:rsid w:val="00F87F2C"/>
    <w:rsid w:val="00F90A28"/>
    <w:rsid w:val="00F9498B"/>
    <w:rsid w:val="00FB0DDE"/>
    <w:rsid w:val="00FB445F"/>
    <w:rsid w:val="00FB6197"/>
    <w:rsid w:val="00FC2055"/>
    <w:rsid w:val="00FC38F8"/>
    <w:rsid w:val="00FD0A05"/>
    <w:rsid w:val="00FD0F63"/>
    <w:rsid w:val="00FD345B"/>
    <w:rsid w:val="00FF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5:docId w15:val="{E1691B00-254A-4CAD-B851-909B4976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59"/>
    <w:pPr>
      <w:ind w:left="720"/>
      <w:contextualSpacing/>
    </w:pPr>
  </w:style>
  <w:style w:type="character" w:styleId="Hyperlink">
    <w:name w:val="Hyperlink"/>
    <w:basedOn w:val="DefaultParagraphFont"/>
    <w:uiPriority w:val="99"/>
    <w:unhideWhenUsed/>
    <w:rsid w:val="004C4095"/>
    <w:rPr>
      <w:color w:val="0000FF" w:themeColor="hyperlink"/>
      <w:u w:val="single"/>
    </w:rPr>
  </w:style>
  <w:style w:type="character" w:customStyle="1" w:styleId="UnresolvedMention1">
    <w:name w:val="Unresolved Mention1"/>
    <w:basedOn w:val="DefaultParagraphFont"/>
    <w:uiPriority w:val="99"/>
    <w:semiHidden/>
    <w:unhideWhenUsed/>
    <w:rsid w:val="00713F70"/>
    <w:rPr>
      <w:color w:val="605E5C"/>
      <w:shd w:val="clear" w:color="auto" w:fill="E1DFDD"/>
    </w:rPr>
  </w:style>
  <w:style w:type="paragraph" w:styleId="ListBullet">
    <w:name w:val="List Bullet"/>
    <w:basedOn w:val="Normal"/>
    <w:uiPriority w:val="99"/>
    <w:semiHidden/>
    <w:unhideWhenUsed/>
    <w:rsid w:val="00AE7F62"/>
    <w:pPr>
      <w:numPr>
        <w:numId w:val="1"/>
      </w:numPr>
      <w:contextualSpacing/>
    </w:pPr>
  </w:style>
  <w:style w:type="paragraph" w:styleId="ListBullet2">
    <w:name w:val="List Bullet 2"/>
    <w:basedOn w:val="Normal"/>
    <w:uiPriority w:val="99"/>
    <w:semiHidden/>
    <w:unhideWhenUsed/>
    <w:rsid w:val="00AE7F62"/>
    <w:pPr>
      <w:numPr>
        <w:numId w:val="2"/>
      </w:numPr>
      <w:contextualSpacing/>
    </w:pPr>
  </w:style>
  <w:style w:type="paragraph" w:styleId="ListBullet3">
    <w:name w:val="List Bullet 3"/>
    <w:basedOn w:val="Normal"/>
    <w:uiPriority w:val="99"/>
    <w:semiHidden/>
    <w:unhideWhenUsed/>
    <w:rsid w:val="00AE7F62"/>
    <w:pPr>
      <w:numPr>
        <w:numId w:val="3"/>
      </w:numPr>
      <w:contextualSpacing/>
    </w:pPr>
  </w:style>
  <w:style w:type="paragraph" w:styleId="ListBullet4">
    <w:name w:val="List Bullet 4"/>
    <w:basedOn w:val="Normal"/>
    <w:uiPriority w:val="99"/>
    <w:semiHidden/>
    <w:unhideWhenUsed/>
    <w:rsid w:val="00AE7F62"/>
    <w:pPr>
      <w:numPr>
        <w:numId w:val="4"/>
      </w:numPr>
      <w:contextualSpacing/>
    </w:pPr>
  </w:style>
  <w:style w:type="character" w:styleId="CommentReference">
    <w:name w:val="annotation reference"/>
    <w:basedOn w:val="DefaultParagraphFont"/>
    <w:uiPriority w:val="99"/>
    <w:semiHidden/>
    <w:unhideWhenUsed/>
    <w:rsid w:val="00AF4433"/>
    <w:rPr>
      <w:sz w:val="16"/>
      <w:szCs w:val="16"/>
    </w:rPr>
  </w:style>
  <w:style w:type="paragraph" w:styleId="CommentText">
    <w:name w:val="annotation text"/>
    <w:basedOn w:val="Normal"/>
    <w:link w:val="CommentTextChar"/>
    <w:uiPriority w:val="99"/>
    <w:unhideWhenUsed/>
    <w:rsid w:val="00AF4433"/>
    <w:rPr>
      <w:sz w:val="20"/>
      <w:szCs w:val="20"/>
    </w:rPr>
  </w:style>
  <w:style w:type="character" w:customStyle="1" w:styleId="CommentTextChar">
    <w:name w:val="Comment Text Char"/>
    <w:basedOn w:val="DefaultParagraphFont"/>
    <w:link w:val="CommentText"/>
    <w:uiPriority w:val="99"/>
    <w:rsid w:val="00AF4433"/>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F4433"/>
    <w:rPr>
      <w:b/>
      <w:bCs/>
    </w:rPr>
  </w:style>
  <w:style w:type="character" w:customStyle="1" w:styleId="CommentSubjectChar">
    <w:name w:val="Comment Subject Char"/>
    <w:basedOn w:val="CommentTextChar"/>
    <w:link w:val="CommentSubject"/>
    <w:uiPriority w:val="99"/>
    <w:semiHidden/>
    <w:rsid w:val="00AF4433"/>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152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288"/>
    <w:rPr>
      <w:rFonts w:ascii="Segoe UI" w:hAnsi="Segoe UI" w:cs="Segoe UI"/>
      <w:sz w:val="18"/>
      <w:szCs w:val="18"/>
      <w:lang w:val="en-GB"/>
    </w:rPr>
  </w:style>
  <w:style w:type="paragraph" w:styleId="Revision">
    <w:name w:val="Revision"/>
    <w:hidden/>
    <w:uiPriority w:val="99"/>
    <w:semiHidden/>
    <w:rsid w:val="006F0AA2"/>
    <w:pPr>
      <w:spacing w:after="0" w:line="240" w:lineRule="auto"/>
    </w:pPr>
    <w:rPr>
      <w:rFonts w:ascii="Times New Roman" w:hAnsi="Times New Roman" w:cs="Times New Roman"/>
      <w:sz w:val="24"/>
      <w:lang w:val="en-GB"/>
    </w:rPr>
  </w:style>
  <w:style w:type="character" w:customStyle="1" w:styleId="UnresolvedMention2">
    <w:name w:val="Unresolved Mention2"/>
    <w:basedOn w:val="DefaultParagraphFont"/>
    <w:uiPriority w:val="99"/>
    <w:semiHidden/>
    <w:unhideWhenUsed/>
    <w:rsid w:val="00F83A08"/>
    <w:rPr>
      <w:color w:val="605E5C"/>
      <w:shd w:val="clear" w:color="auto" w:fill="E1DFDD"/>
    </w:rPr>
  </w:style>
  <w:style w:type="character" w:customStyle="1" w:styleId="cf01">
    <w:name w:val="cf01"/>
    <w:basedOn w:val="DefaultParagraphFont"/>
    <w:rsid w:val="002F4EF8"/>
    <w:rPr>
      <w:rFonts w:ascii="Segoe UI" w:hAnsi="Segoe UI" w:cs="Segoe UI" w:hint="default"/>
      <w:sz w:val="18"/>
      <w:szCs w:val="18"/>
    </w:rPr>
  </w:style>
  <w:style w:type="character" w:styleId="FollowedHyperlink">
    <w:name w:val="FollowedHyperlink"/>
    <w:basedOn w:val="DefaultParagraphFont"/>
    <w:uiPriority w:val="99"/>
    <w:semiHidden/>
    <w:unhideWhenUsed/>
    <w:rsid w:val="00F727C7"/>
    <w:rPr>
      <w:color w:val="800080" w:themeColor="followedHyperlink"/>
      <w:u w:val="single"/>
    </w:rPr>
  </w:style>
  <w:style w:type="character" w:customStyle="1" w:styleId="HeaderChar">
    <w:name w:val="Header Char"/>
    <w:basedOn w:val="DefaultParagraphFont"/>
    <w:link w:val="Header"/>
    <w:uiPriority w:val="99"/>
    <w:rsid w:val="0042404C"/>
    <w:rPr>
      <w:rFonts w:ascii="Times New Roman" w:hAnsi="Times New Roman" w:cs="Times New Roman"/>
      <w:sz w:val="24"/>
      <w:lang w:val="en-GB"/>
    </w:rPr>
  </w:style>
  <w:style w:type="character" w:customStyle="1" w:styleId="FooterChar">
    <w:name w:val="Footer Char"/>
    <w:basedOn w:val="DefaultParagraphFont"/>
    <w:link w:val="Footer"/>
    <w:uiPriority w:val="99"/>
    <w:rsid w:val="0042404C"/>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2404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2404C"/>
    <w:pPr>
      <w:spacing w:before="0"/>
      <w:jc w:val="right"/>
    </w:pPr>
    <w:rPr>
      <w:sz w:val="28"/>
    </w:rPr>
  </w:style>
  <w:style w:type="paragraph" w:customStyle="1" w:styleId="FooterSensitivity">
    <w:name w:val="Footer Sensitivity"/>
    <w:basedOn w:val="Normal"/>
    <w:rsid w:val="0042404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2404C"/>
    <w:pPr>
      <w:tabs>
        <w:tab w:val="center" w:pos="4535"/>
        <w:tab w:val="right" w:pos="9071"/>
      </w:tabs>
      <w:spacing w:before="0"/>
    </w:pPr>
  </w:style>
  <w:style w:type="paragraph" w:customStyle="1" w:styleId="HeaderLandscape">
    <w:name w:val="HeaderLandscape"/>
    <w:basedOn w:val="Normal"/>
    <w:rsid w:val="0042404C"/>
    <w:pPr>
      <w:tabs>
        <w:tab w:val="center" w:pos="7285"/>
        <w:tab w:val="right" w:pos="14003"/>
      </w:tabs>
      <w:spacing w:before="0"/>
    </w:pPr>
  </w:style>
  <w:style w:type="paragraph" w:styleId="Footer">
    <w:name w:val="footer"/>
    <w:basedOn w:val="Normal"/>
    <w:link w:val="FooterChar"/>
    <w:uiPriority w:val="99"/>
    <w:unhideWhenUsed/>
    <w:rsid w:val="0042404C"/>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2404C"/>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6452">
      <w:bodyDiv w:val="1"/>
      <w:marLeft w:val="0"/>
      <w:marRight w:val="0"/>
      <w:marTop w:val="0"/>
      <w:marBottom w:val="0"/>
      <w:divBdr>
        <w:top w:val="none" w:sz="0" w:space="0" w:color="auto"/>
        <w:left w:val="none" w:sz="0" w:space="0" w:color="auto"/>
        <w:bottom w:val="none" w:sz="0" w:space="0" w:color="auto"/>
        <w:right w:val="none" w:sz="0" w:space="0" w:color="auto"/>
      </w:divBdr>
    </w:div>
    <w:div w:id="11733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uriserv%3AOJ.L_.2018.170.01.0001.01.ENG"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dec/2022/451/oj"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apps.who.int/gb/wgihr/pdf_files/wgihr2/A_WGIHR2_5-en.pdf?sfvrsn=4b549603_12" TargetMode="External"/><Relationship Id="rId3" Type="http://schemas.openxmlformats.org/officeDocument/2006/relationships/hyperlink" Target="https://apps.who.int/gb/wgihr/pdf_files/wgihr1/WGIHR_Submissions-en.pdf" TargetMode="External"/><Relationship Id="rId7" Type="http://schemas.openxmlformats.org/officeDocument/2006/relationships/hyperlink" Target="https://apps.who.int/gb/bd/pdf_files/BD_49th-en.pdf" TargetMode="External"/><Relationship Id="rId2" Type="http://schemas.openxmlformats.org/officeDocument/2006/relationships/hyperlink" Target="https://apps.who.int/gb/ebwha/pdf_files/WHA75/A75%289%29-en.pdf" TargetMode="External"/><Relationship Id="rId1" Type="http://schemas.openxmlformats.org/officeDocument/2006/relationships/hyperlink" Target="https://apps.who.int/gb/ebwha/pdf_files/EB150/B150(3)-en.pdf" TargetMode="External"/><Relationship Id="rId6" Type="http://schemas.openxmlformats.org/officeDocument/2006/relationships/hyperlink" Target="https://apps.who.int/gb/ebwha/pdf_files/WHA75/A75_R12-en.pdf" TargetMode="External"/><Relationship Id="rId5" Type="http://schemas.openxmlformats.org/officeDocument/2006/relationships/hyperlink" Target="https://apps.who.int/gb/ebwha/pdf_files/WHA77/A77_R17-en.pdf" TargetMode="External"/><Relationship Id="rId4" Type="http://schemas.openxmlformats.org/officeDocument/2006/relationships/hyperlink" Target="https://apps.who.int/gb/ebwha/pdf_files/WHA77/A77_9-en.pdf" TargetMode="External"/><Relationship Id="rId9" Type="http://schemas.openxmlformats.org/officeDocument/2006/relationships/hyperlink" Target="https://apps.who.int/gb/ebwha/pdf_files/WHA77/A77_R17-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8AAD-4FF0-4BF0-BE6A-6C13D934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12</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16</cp:revision>
  <cp:lastPrinted>2024-08-30T12:51:00Z</cp:lastPrinted>
  <dcterms:created xsi:type="dcterms:W3CDTF">2024-10-24T17:32:00Z</dcterms:created>
  <dcterms:modified xsi:type="dcterms:W3CDTF">2024-11-13T07:20:00Z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2024-07-11T18:29:28Z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ef55c73f-8dc3-405e-9594-23c861808339</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