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266C7" w14:textId="51230122" w:rsidR="00121D58" w:rsidRPr="00307CF6" w:rsidRDefault="001C23BA" w:rsidP="001C23BA">
      <w:pPr>
        <w:pStyle w:val="Pagedecouverture"/>
        <w:rPr>
          <w:noProof/>
        </w:rPr>
      </w:pPr>
      <w:bookmarkStart w:id="0" w:name="LW_BM_COVERPAGE"/>
      <w:r>
        <w:rPr>
          <w:noProof/>
        </w:rPr>
        <w:pict w14:anchorId="1E3F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BE16F58-8E92-4D59-B09D-F4A38EB66CBF" style="width:455.25pt;height:336.75pt">
            <v:imagedata r:id="rId8" o:title=""/>
          </v:shape>
        </w:pict>
      </w:r>
    </w:p>
    <w:bookmarkEnd w:id="0"/>
    <w:p w14:paraId="23FDE06C" w14:textId="77777777" w:rsidR="00121D58" w:rsidRPr="00307CF6" w:rsidRDefault="00121D58" w:rsidP="00121D58">
      <w:pPr>
        <w:rPr>
          <w:noProof/>
        </w:rPr>
        <w:sectPr w:rsidR="00121D58" w:rsidRPr="00307CF6" w:rsidSect="001C23B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D975A16" w14:textId="77777777" w:rsidR="00121D58" w:rsidRPr="00307CF6" w:rsidRDefault="00121D58" w:rsidP="0000744D">
      <w:pPr>
        <w:pStyle w:val="ListParagraph"/>
        <w:numPr>
          <w:ilvl w:val="0"/>
          <w:numId w:val="4"/>
        </w:numPr>
        <w:tabs>
          <w:tab w:val="left" w:pos="426"/>
        </w:tabs>
        <w:ind w:left="284" w:right="288" w:hanging="284"/>
        <w:jc w:val="both"/>
        <w:rPr>
          <w:rFonts w:ascii="Times New Roman" w:hAnsi="Times New Roman" w:cs="Times New Roman"/>
          <w:b/>
          <w:noProof/>
          <w:sz w:val="24"/>
          <w:szCs w:val="24"/>
          <w:lang w:val="en-GB"/>
        </w:rPr>
      </w:pPr>
      <w:bookmarkStart w:id="1" w:name="_GoBack"/>
      <w:bookmarkEnd w:id="1"/>
      <w:r w:rsidRPr="00307CF6">
        <w:rPr>
          <w:rFonts w:ascii="Times New Roman" w:hAnsi="Times New Roman" w:cs="Times New Roman"/>
          <w:b/>
          <w:noProof/>
          <w:sz w:val="24"/>
          <w:szCs w:val="24"/>
          <w:lang w:val="en-GB"/>
        </w:rPr>
        <w:lastRenderedPageBreak/>
        <w:t>Introduction</w:t>
      </w:r>
    </w:p>
    <w:p w14:paraId="1267E971" w14:textId="3F1C2AE1" w:rsidR="00121D58" w:rsidRPr="00307CF6" w:rsidRDefault="00121D58" w:rsidP="0000744D">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The objective of Regulation (EU) 2019/125 concerning trade in certain goods which could be used for capital punishment, torture or other cruel, inhuman or degrading treatment or punishment</w:t>
      </w:r>
      <w:r w:rsidR="00C43E06" w:rsidRPr="00307CF6">
        <w:rPr>
          <w:rStyle w:val="FootnoteReference"/>
          <w:rFonts w:ascii="Times New Roman" w:hAnsi="Times New Roman" w:cs="Times New Roman"/>
          <w:noProof/>
          <w:sz w:val="24"/>
          <w:szCs w:val="24"/>
          <w:lang w:val="en-GB"/>
        </w:rPr>
        <w:footnoteReference w:id="1"/>
      </w:r>
      <w:r w:rsidRPr="00307CF6">
        <w:rPr>
          <w:rFonts w:ascii="Times New Roman" w:hAnsi="Times New Roman" w:cs="Times New Roman"/>
          <w:noProof/>
          <w:sz w:val="24"/>
          <w:szCs w:val="24"/>
          <w:lang w:val="en-GB"/>
        </w:rPr>
        <w:t xml:space="preserve"> </w:t>
      </w:r>
      <w:r w:rsidR="00E94C1D">
        <w:rPr>
          <w:rFonts w:ascii="Times New Roman" w:hAnsi="Times New Roman" w:cs="Times New Roman"/>
          <w:noProof/>
          <w:sz w:val="24"/>
          <w:szCs w:val="24"/>
          <w:lang w:val="en-GB"/>
        </w:rPr>
        <w:t xml:space="preserve">(‘the Regulation’) </w:t>
      </w:r>
      <w:r w:rsidRPr="00307CF6">
        <w:rPr>
          <w:rFonts w:ascii="Times New Roman" w:hAnsi="Times New Roman" w:cs="Times New Roman"/>
          <w:noProof/>
          <w:sz w:val="24"/>
          <w:szCs w:val="24"/>
          <w:lang w:val="en-GB"/>
        </w:rPr>
        <w:t>is to prevent, in countries outside the EU, capital punishment, on the one hand, and torture and other cruel, inhuman or degrading treatment or punishment, on the other. It distinguishes between:</w:t>
      </w:r>
    </w:p>
    <w:p w14:paraId="377359A9" w14:textId="77777777" w:rsidR="00121D58" w:rsidRPr="00307CF6" w:rsidRDefault="00121D58" w:rsidP="00121D58">
      <w:pPr>
        <w:pStyle w:val="ListParagraph"/>
        <w:numPr>
          <w:ilvl w:val="0"/>
          <w:numId w:val="3"/>
        </w:numPr>
        <w:tabs>
          <w:tab w:val="left" w:pos="284"/>
        </w:tabs>
        <w:ind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goods that are inherently abusive and should not be traded at all (Annex II); and</w:t>
      </w:r>
    </w:p>
    <w:p w14:paraId="5F43786B" w14:textId="77777777" w:rsidR="00121D58" w:rsidRPr="00307CF6" w:rsidRDefault="00121D58" w:rsidP="00121D58">
      <w:pPr>
        <w:pStyle w:val="ListParagraph"/>
        <w:numPr>
          <w:ilvl w:val="0"/>
          <w:numId w:val="3"/>
        </w:numPr>
        <w:tabs>
          <w:tab w:val="left" w:pos="284"/>
        </w:tabs>
        <w:ind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goods that can have legitimate uses, such as law enforcement equipment (Annex III) and goods for therapeutic use (Annex IV).</w:t>
      </w:r>
    </w:p>
    <w:p w14:paraId="3A6F7A69" w14:textId="77777777" w:rsidR="00121D58" w:rsidRPr="00307CF6" w:rsidRDefault="00121D58" w:rsidP="00121D58">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Trade in goods listed in Annex III and IV is subject to certain restrictions.</w:t>
      </w:r>
    </w:p>
    <w:p w14:paraId="61B7EA4E" w14:textId="77777777" w:rsidR="00121D58" w:rsidRPr="00307CF6" w:rsidRDefault="00121D58" w:rsidP="00121D58">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Article 26(3) of the Regulation states that the Member States must draw up a public, annual activity report. The report must provide information on the number of applications received, the goods and countries concerned, and the decisions taken on the applications. Article 26(4) states that the Commission must draw up an annual report comprised of the annual activity reports published by the Member States. It must make the report publicly available.</w:t>
      </w:r>
    </w:p>
    <w:p w14:paraId="67A49C35" w14:textId="129BE866" w:rsidR="00121D58" w:rsidRPr="00307CF6" w:rsidRDefault="00121D58" w:rsidP="00121D58">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This Commission report provides information on Member States’ authorisation activities con</w:t>
      </w:r>
      <w:r w:rsidR="00C43E06" w:rsidRPr="00307CF6">
        <w:rPr>
          <w:rFonts w:ascii="Times New Roman" w:hAnsi="Times New Roman" w:cs="Times New Roman"/>
          <w:noProof/>
          <w:sz w:val="24"/>
          <w:szCs w:val="24"/>
          <w:lang w:val="en-GB"/>
        </w:rPr>
        <w:t xml:space="preserve">cerning exports of goods </w:t>
      </w:r>
      <w:r w:rsidR="00C43E06" w:rsidRPr="00B20E69">
        <w:rPr>
          <w:rFonts w:ascii="Times New Roman" w:hAnsi="Times New Roman" w:cs="Times New Roman"/>
          <w:noProof/>
          <w:sz w:val="24"/>
          <w:szCs w:val="24"/>
          <w:lang w:val="en-GB"/>
        </w:rPr>
        <w:t>in 202</w:t>
      </w:r>
      <w:r w:rsidR="009F123A" w:rsidRPr="00B20E69">
        <w:rPr>
          <w:rFonts w:ascii="Times New Roman" w:hAnsi="Times New Roman" w:cs="Times New Roman"/>
          <w:noProof/>
          <w:sz w:val="24"/>
          <w:szCs w:val="24"/>
          <w:lang w:val="en-GB"/>
        </w:rPr>
        <w:t>3</w:t>
      </w:r>
      <w:r w:rsidR="00C43E06" w:rsidRPr="00B20E69">
        <w:rPr>
          <w:rStyle w:val="FootnoteReference"/>
          <w:rFonts w:ascii="Times New Roman" w:hAnsi="Times New Roman" w:cs="Times New Roman"/>
          <w:noProof/>
          <w:sz w:val="24"/>
          <w:szCs w:val="24"/>
          <w:lang w:val="en-GB"/>
        </w:rPr>
        <w:footnoteReference w:id="2"/>
      </w:r>
      <w:r w:rsidR="00C43E06" w:rsidRPr="00B20E69">
        <w:rPr>
          <w:rFonts w:ascii="Times New Roman" w:hAnsi="Times New Roman" w:cs="Times New Roman"/>
          <w:noProof/>
          <w:sz w:val="24"/>
          <w:szCs w:val="24"/>
          <w:lang w:val="en-GB"/>
        </w:rPr>
        <w:t xml:space="preserve"> </w:t>
      </w:r>
      <w:r w:rsidRPr="00B20E69">
        <w:rPr>
          <w:rFonts w:ascii="Times New Roman" w:hAnsi="Times New Roman" w:cs="Times New Roman"/>
          <w:noProof/>
          <w:sz w:val="24"/>
          <w:szCs w:val="24"/>
          <w:lang w:val="en-GB"/>
        </w:rPr>
        <w:t>that</w:t>
      </w:r>
      <w:r w:rsidRPr="00415E96">
        <w:rPr>
          <w:rFonts w:ascii="Times New Roman" w:hAnsi="Times New Roman" w:cs="Times New Roman"/>
          <w:noProof/>
          <w:sz w:val="24"/>
          <w:szCs w:val="24"/>
          <w:lang w:val="en-GB"/>
        </w:rPr>
        <w:t xml:space="preserve"> could</w:t>
      </w:r>
      <w:r w:rsidRPr="00307CF6">
        <w:rPr>
          <w:rFonts w:ascii="Times New Roman" w:hAnsi="Times New Roman" w:cs="Times New Roman"/>
          <w:noProof/>
          <w:sz w:val="24"/>
          <w:szCs w:val="24"/>
          <w:lang w:val="en-GB"/>
        </w:rPr>
        <w:t xml:space="preserve"> be used for torture or for capital punishment.</w:t>
      </w:r>
    </w:p>
    <w:p w14:paraId="31099058" w14:textId="7068A575" w:rsidR="00121D58" w:rsidRPr="00307CF6" w:rsidRDefault="00371E47" w:rsidP="00121D58">
      <w:pPr>
        <w:tabs>
          <w:tab w:val="left" w:pos="284"/>
        </w:tabs>
        <w:ind w:left="284" w:right="288"/>
        <w:jc w:val="both"/>
        <w:rPr>
          <w:rFonts w:ascii="Times New Roman" w:hAnsi="Times New Roman" w:cs="Times New Roman"/>
          <w:noProof/>
          <w:sz w:val="24"/>
          <w:szCs w:val="24"/>
          <w:lang w:val="en-GB"/>
        </w:rPr>
      </w:pPr>
      <w:r w:rsidRPr="00373687">
        <w:rPr>
          <w:rFonts w:ascii="Times New Roman" w:hAnsi="Times New Roman" w:cs="Times New Roman"/>
          <w:noProof/>
          <w:sz w:val="24"/>
          <w:szCs w:val="24"/>
          <w:lang w:val="en-GB"/>
        </w:rPr>
        <w:t>A</w:t>
      </w:r>
      <w:r w:rsidR="00121D58" w:rsidRPr="00373687">
        <w:rPr>
          <w:rFonts w:ascii="Times New Roman" w:hAnsi="Times New Roman" w:cs="Times New Roman"/>
          <w:noProof/>
          <w:sz w:val="24"/>
          <w:szCs w:val="24"/>
          <w:lang w:val="en-GB"/>
        </w:rPr>
        <w:t>ll</w:t>
      </w:r>
      <w:r w:rsidR="00AC6FE1" w:rsidRPr="00373687">
        <w:rPr>
          <w:rFonts w:ascii="Times New Roman" w:hAnsi="Times New Roman" w:cs="Times New Roman"/>
          <w:noProof/>
          <w:sz w:val="24"/>
          <w:szCs w:val="24"/>
          <w:lang w:val="en-GB"/>
        </w:rPr>
        <w:t xml:space="preserve"> </w:t>
      </w:r>
      <w:r w:rsidR="00121D58" w:rsidRPr="00373687">
        <w:rPr>
          <w:rFonts w:ascii="Times New Roman" w:hAnsi="Times New Roman" w:cs="Times New Roman"/>
          <w:noProof/>
          <w:sz w:val="24"/>
          <w:szCs w:val="24"/>
          <w:lang w:val="en-GB"/>
        </w:rPr>
        <w:t>Member</w:t>
      </w:r>
      <w:r w:rsidR="00121D58" w:rsidRPr="00307CF6">
        <w:rPr>
          <w:rFonts w:ascii="Times New Roman" w:hAnsi="Times New Roman" w:cs="Times New Roman"/>
          <w:noProof/>
          <w:sz w:val="24"/>
          <w:szCs w:val="24"/>
          <w:lang w:val="en-GB"/>
        </w:rPr>
        <w:t xml:space="preserve"> States have reported on the number of export authorisations granted and refused under Articles 11(1) and 16(1) </w:t>
      </w:r>
      <w:r w:rsidR="00E94C1D">
        <w:rPr>
          <w:rFonts w:ascii="Times New Roman" w:hAnsi="Times New Roman" w:cs="Times New Roman"/>
          <w:noProof/>
          <w:sz w:val="24"/>
          <w:szCs w:val="24"/>
          <w:lang w:val="en-GB"/>
        </w:rPr>
        <w:t xml:space="preserve">of the Regulation </w:t>
      </w:r>
      <w:r w:rsidR="00121D58" w:rsidRPr="00307CF6">
        <w:rPr>
          <w:rFonts w:ascii="Times New Roman" w:hAnsi="Times New Roman" w:cs="Times New Roman"/>
          <w:noProof/>
          <w:sz w:val="24"/>
          <w:szCs w:val="24"/>
          <w:lang w:val="en-GB"/>
        </w:rPr>
        <w:t xml:space="preserve">and on the goods and countries of destination in question. </w:t>
      </w:r>
      <w:r w:rsidR="00121D58" w:rsidRPr="00091A06">
        <w:rPr>
          <w:rFonts w:ascii="Times New Roman" w:hAnsi="Times New Roman" w:cs="Times New Roman"/>
          <w:noProof/>
          <w:sz w:val="24"/>
          <w:szCs w:val="24"/>
          <w:lang w:val="en-GB"/>
        </w:rPr>
        <w:t>In some cases, the competent authorities in the Member States have also reported on the numbers or quantities of goods authorised for export and the category of end-user to whom the goods were supplied.</w:t>
      </w:r>
    </w:p>
    <w:tbl>
      <w:tblPr>
        <w:tblStyle w:val="TableGrid"/>
        <w:tblW w:w="0" w:type="auto"/>
        <w:tblInd w:w="817" w:type="dxa"/>
        <w:tblLook w:val="04A0" w:firstRow="1" w:lastRow="0" w:firstColumn="1" w:lastColumn="0" w:noHBand="0" w:noVBand="1"/>
      </w:tblPr>
      <w:tblGrid>
        <w:gridCol w:w="7938"/>
      </w:tblGrid>
      <w:tr w:rsidR="00C43E06" w:rsidRPr="00307CF6" w14:paraId="6E6916BF" w14:textId="77777777" w:rsidTr="00C43E06">
        <w:tc>
          <w:tcPr>
            <w:tcW w:w="7938" w:type="dxa"/>
          </w:tcPr>
          <w:p w14:paraId="56F359CF" w14:textId="77777777" w:rsidR="00C43E06" w:rsidRPr="00307CF6" w:rsidRDefault="00C43E06" w:rsidP="00C43E06">
            <w:pPr>
              <w:spacing w:after="160" w:line="259" w:lineRule="auto"/>
              <w:ind w:left="29" w:right="33"/>
              <w:jc w:val="both"/>
              <w:rPr>
                <w:rFonts w:ascii="Times New Roman" w:hAnsi="Times New Roman" w:cs="Times New Roman"/>
                <w:b/>
                <w:noProof/>
                <w:sz w:val="24"/>
                <w:szCs w:val="24"/>
                <w:lang w:val="en-GB"/>
              </w:rPr>
            </w:pPr>
            <w:r w:rsidRPr="00307CF6">
              <w:rPr>
                <w:rFonts w:ascii="Times New Roman" w:hAnsi="Times New Roman" w:cs="Times New Roman"/>
                <w:b/>
                <w:noProof/>
                <w:sz w:val="24"/>
                <w:szCs w:val="24"/>
                <w:lang w:val="en-GB"/>
              </w:rPr>
              <w:t>Authorisations under Regulation (EU) 2019/125</w:t>
            </w:r>
          </w:p>
          <w:p w14:paraId="50C92BDF" w14:textId="7777777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Articles 11(1) and 16(1) of the Regulation require an authorisation for exports</w:t>
            </w:r>
            <w:r w:rsidRPr="00307CF6">
              <w:rPr>
                <w:rStyle w:val="FootnoteReference"/>
                <w:rFonts w:ascii="Times New Roman" w:hAnsi="Times New Roman" w:cs="Times New Roman"/>
                <w:noProof/>
                <w:sz w:val="24"/>
                <w:szCs w:val="24"/>
                <w:lang w:val="en-GB"/>
              </w:rPr>
              <w:footnoteReference w:id="3"/>
            </w:r>
            <w:r w:rsidRPr="00307CF6">
              <w:rPr>
                <w:rFonts w:ascii="Times New Roman" w:hAnsi="Times New Roman" w:cs="Times New Roman"/>
                <w:noProof/>
                <w:sz w:val="24"/>
                <w:szCs w:val="24"/>
                <w:lang w:val="en-GB"/>
              </w:rPr>
              <w:t xml:space="preserve"> of goods listed in Annex III and Annex IV respectively.</w:t>
            </w:r>
          </w:p>
          <w:p w14:paraId="50A4E367" w14:textId="7777777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Annex III lists certain goods that could be used for torture or other cruel, inhuman or degrading treatment or punishment. Goods in Annex III fall under the following headings: goods designed for restraining human beings; weapons and devices designed for the purpose of riot control or self-protection; and weapons and equipment disseminating incapacitating or irritating chemical substances for the purpose of riot control or self-protection, and certain related substances.</w:t>
            </w:r>
          </w:p>
          <w:p w14:paraId="60B4B4A4" w14:textId="7777777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Annex IV lists certain chemicals that could be used in lethal injections.</w:t>
            </w:r>
          </w:p>
          <w:p w14:paraId="0F82E9B2" w14:textId="56635FF2"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Except where the Union general export authorisation (GEA) set out in Annex V is used for exports of goods listed in Annex IV, the authorisation to export has</w:t>
            </w:r>
            <w:r w:rsidR="00814D83">
              <w:rPr>
                <w:rFonts w:ascii="Times New Roman" w:hAnsi="Times New Roman" w:cs="Times New Roman"/>
                <w:noProof/>
                <w:sz w:val="24"/>
                <w:szCs w:val="24"/>
                <w:lang w:val="en-GB"/>
              </w:rPr>
              <w:t xml:space="preserve"> </w:t>
            </w:r>
            <w:r w:rsidRPr="00307CF6">
              <w:rPr>
                <w:rFonts w:ascii="Times New Roman" w:hAnsi="Times New Roman" w:cs="Times New Roman"/>
                <w:noProof/>
                <w:sz w:val="24"/>
                <w:szCs w:val="24"/>
                <w:lang w:val="en-GB"/>
              </w:rPr>
              <w:t>to be obtained from the competent authorities of the Member State concerned, as listed in Annex I to the Regulation.</w:t>
            </w:r>
          </w:p>
          <w:p w14:paraId="2C4C1DA5" w14:textId="78E3BE4C"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Exports to destinations listed in the Union GEA can usually take place without obtaining an individual or global authorisation granted by a Member State. The approach so far has been to include a non-EU country in Annex V if it has ratified a relevant international agreement with a commitment to abolish the death penalty for all crimes. For countries that are not members of the Council of Europe, that means the country in question must have ratified the Second Optional Protocol to the International Covenant on Civil and Political Rights (ICCPR) without reservation.</w:t>
            </w:r>
          </w:p>
          <w:p w14:paraId="7F19FD75" w14:textId="54085A2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 xml:space="preserve">However, if there is reasonable suspicion about the exporter’s ability to comply with the terms of the authorisation or with export control legislation, the competent authority may prohibit the exporter from using the Union </w:t>
            </w:r>
            <w:r w:rsidR="00E94C1D">
              <w:rPr>
                <w:rFonts w:ascii="Times New Roman" w:hAnsi="Times New Roman" w:cs="Times New Roman"/>
                <w:noProof/>
                <w:sz w:val="24"/>
                <w:szCs w:val="24"/>
                <w:lang w:val="en-GB"/>
              </w:rPr>
              <w:t>GEA</w:t>
            </w:r>
            <w:r w:rsidRPr="00307CF6">
              <w:rPr>
                <w:rFonts w:ascii="Times New Roman" w:hAnsi="Times New Roman" w:cs="Times New Roman"/>
                <w:noProof/>
                <w:sz w:val="24"/>
                <w:szCs w:val="24"/>
                <w:lang w:val="en-GB"/>
              </w:rPr>
              <w:t>.</w:t>
            </w:r>
          </w:p>
          <w:p w14:paraId="231D6C63" w14:textId="7777777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Article 20(2) of Regulation (EU) No 2019/125 states that an export authorisation granted by a Member State can be an individual authorisation (an authorisation for exports to one end-user or consignee in a non-EU country) or a global authorisation (an authorisation for exports to one or more specified end-users or distributors in one or more</w:t>
            </w:r>
            <w:r w:rsidR="00726A54" w:rsidRPr="00307CF6">
              <w:rPr>
                <w:rFonts w:ascii="Times New Roman" w:hAnsi="Times New Roman" w:cs="Times New Roman"/>
                <w:noProof/>
                <w:sz w:val="24"/>
                <w:szCs w:val="24"/>
                <w:lang w:val="en-GB"/>
              </w:rPr>
              <w:t xml:space="preserve"> specified non-EU countries)</w:t>
            </w:r>
            <w:r w:rsidR="00726A54" w:rsidRPr="00307CF6">
              <w:rPr>
                <w:rStyle w:val="FootnoteReference"/>
                <w:rFonts w:ascii="Times New Roman" w:hAnsi="Times New Roman" w:cs="Times New Roman"/>
                <w:noProof/>
                <w:sz w:val="24"/>
                <w:szCs w:val="24"/>
                <w:lang w:val="en-GB"/>
              </w:rPr>
              <w:footnoteReference w:id="4"/>
            </w:r>
            <w:r w:rsidRPr="00307CF6">
              <w:rPr>
                <w:rFonts w:ascii="Times New Roman" w:hAnsi="Times New Roman" w:cs="Times New Roman"/>
                <w:noProof/>
                <w:sz w:val="24"/>
                <w:szCs w:val="24"/>
                <w:lang w:val="en-GB"/>
              </w:rPr>
              <w:t>.</w:t>
            </w:r>
          </w:p>
          <w:p w14:paraId="3AD3E79C" w14:textId="77777777" w:rsidR="00C43E06" w:rsidRPr="00307CF6" w:rsidRDefault="00C43E06" w:rsidP="00C43E06">
            <w:pPr>
              <w:spacing w:after="160" w:line="259" w:lineRule="auto"/>
              <w:ind w:left="29" w:right="33"/>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Articles 3, 4 and 5 of the Regulation prohibit the export, import and transit, respectively, of the goods listed in Annex II. Competent authorities may grant a derogation from the prohibition, but only if it is demonstrated that the goods concerned will be used exclusively for public display in a museum (either in a non-EU country or, in accordance with Article 4, in a Member State) given their historical significance.</w:t>
            </w:r>
          </w:p>
        </w:tc>
      </w:tr>
    </w:tbl>
    <w:p w14:paraId="509A9DBD" w14:textId="77777777" w:rsidR="00C43E06" w:rsidRPr="00307CF6" w:rsidRDefault="00C43E06" w:rsidP="00C43E06">
      <w:pPr>
        <w:pStyle w:val="ListParagraph"/>
        <w:tabs>
          <w:tab w:val="left" w:pos="426"/>
        </w:tabs>
        <w:ind w:left="284" w:right="288"/>
        <w:jc w:val="both"/>
        <w:rPr>
          <w:rFonts w:ascii="Times New Roman" w:hAnsi="Times New Roman" w:cs="Times New Roman"/>
          <w:noProof/>
          <w:sz w:val="24"/>
          <w:szCs w:val="24"/>
          <w:lang w:val="en-GB"/>
        </w:rPr>
      </w:pPr>
    </w:p>
    <w:p w14:paraId="56A23B58" w14:textId="77777777" w:rsidR="007B35B8" w:rsidRPr="00307CF6" w:rsidRDefault="007B35B8" w:rsidP="007B35B8">
      <w:pPr>
        <w:pStyle w:val="ListParagraph"/>
        <w:numPr>
          <w:ilvl w:val="0"/>
          <w:numId w:val="4"/>
        </w:numPr>
        <w:tabs>
          <w:tab w:val="left" w:pos="426"/>
        </w:tabs>
        <w:ind w:left="284" w:right="288" w:hanging="284"/>
        <w:jc w:val="both"/>
        <w:rPr>
          <w:rFonts w:ascii="Times New Roman" w:hAnsi="Times New Roman" w:cs="Times New Roman"/>
          <w:noProof/>
          <w:sz w:val="24"/>
          <w:szCs w:val="24"/>
          <w:lang w:val="en-GB"/>
        </w:rPr>
      </w:pPr>
      <w:r w:rsidRPr="00307CF6">
        <w:rPr>
          <w:rFonts w:ascii="Times New Roman" w:hAnsi="Times New Roman" w:cs="Times New Roman"/>
          <w:b/>
          <w:noProof/>
          <w:sz w:val="24"/>
          <w:szCs w:val="24"/>
          <w:lang w:val="en-GB"/>
        </w:rPr>
        <w:t>Authorisations</w:t>
      </w:r>
      <w:r w:rsidRPr="00307CF6">
        <w:rPr>
          <w:rFonts w:ascii="Times New Roman" w:hAnsi="Times New Roman" w:cs="Times New Roman"/>
          <w:b/>
          <w:bCs/>
          <w:noProof/>
          <w:sz w:val="24"/>
          <w:szCs w:val="24"/>
          <w:lang w:val="en-GB"/>
        </w:rPr>
        <w:t xml:space="preserve"> granted and refused</w:t>
      </w:r>
    </w:p>
    <w:p w14:paraId="28CB7716" w14:textId="025418D8" w:rsidR="007B35B8" w:rsidRPr="00307CF6" w:rsidRDefault="007B35B8" w:rsidP="007B35B8">
      <w:pPr>
        <w:tabs>
          <w:tab w:val="left" w:pos="284"/>
        </w:tabs>
        <w:ind w:left="284" w:right="288"/>
        <w:jc w:val="both"/>
        <w:rPr>
          <w:rFonts w:ascii="Times New Roman" w:hAnsi="Times New Roman" w:cs="Times New Roman"/>
          <w:noProof/>
          <w:sz w:val="24"/>
          <w:szCs w:val="24"/>
          <w:lang w:val="en-GB"/>
        </w:rPr>
      </w:pPr>
      <w:bookmarkStart w:id="2" w:name="_Hlk147332651"/>
      <w:r w:rsidRPr="00B20E69">
        <w:rPr>
          <w:rFonts w:ascii="Times New Roman" w:hAnsi="Times New Roman" w:cs="Times New Roman"/>
          <w:noProof/>
          <w:sz w:val="24"/>
          <w:szCs w:val="24"/>
          <w:lang w:val="en-GB"/>
        </w:rPr>
        <w:t>In 202</w:t>
      </w:r>
      <w:r w:rsidR="009F123A" w:rsidRPr="00B20E69">
        <w:rPr>
          <w:rFonts w:ascii="Times New Roman" w:hAnsi="Times New Roman" w:cs="Times New Roman"/>
          <w:noProof/>
          <w:sz w:val="24"/>
          <w:szCs w:val="24"/>
          <w:lang w:val="en-GB"/>
        </w:rPr>
        <w:t>3</w:t>
      </w:r>
      <w:r w:rsidRPr="00B20E69">
        <w:rPr>
          <w:rFonts w:ascii="Times New Roman" w:hAnsi="Times New Roman" w:cs="Times New Roman"/>
          <w:noProof/>
          <w:sz w:val="24"/>
          <w:szCs w:val="24"/>
          <w:lang w:val="en-GB"/>
        </w:rPr>
        <w:t xml:space="preserve">, the total number of reported authorisations amounted to </w:t>
      </w:r>
      <w:r w:rsidR="009F123A" w:rsidRPr="00B20E69">
        <w:rPr>
          <w:rFonts w:ascii="Times New Roman" w:hAnsi="Times New Roman" w:cs="Times New Roman"/>
          <w:noProof/>
          <w:sz w:val="24"/>
          <w:szCs w:val="24"/>
          <w:lang w:val="en-GB"/>
        </w:rPr>
        <w:t>214</w:t>
      </w:r>
      <w:r w:rsidRPr="00B20E69">
        <w:rPr>
          <w:rFonts w:ascii="Times New Roman" w:hAnsi="Times New Roman" w:cs="Times New Roman"/>
          <w:noProof/>
          <w:sz w:val="24"/>
          <w:szCs w:val="24"/>
          <w:lang w:val="en-GB"/>
        </w:rPr>
        <w:t xml:space="preserve">, with </w:t>
      </w:r>
      <w:r w:rsidR="009F123A" w:rsidRPr="00B20E69">
        <w:rPr>
          <w:rFonts w:ascii="Times New Roman" w:hAnsi="Times New Roman" w:cs="Times New Roman"/>
          <w:noProof/>
          <w:sz w:val="24"/>
          <w:szCs w:val="24"/>
          <w:lang w:val="en-GB"/>
        </w:rPr>
        <w:t>11</w:t>
      </w:r>
      <w:r w:rsidRPr="00B20E69">
        <w:rPr>
          <w:rFonts w:ascii="Times New Roman" w:hAnsi="Times New Roman" w:cs="Times New Roman"/>
          <w:noProof/>
          <w:sz w:val="24"/>
          <w:szCs w:val="24"/>
          <w:lang w:val="en-GB"/>
        </w:rPr>
        <w:t xml:space="preserve"> Member States reporting that they had granted authorisations. The remaining Member</w:t>
      </w:r>
      <w:r w:rsidRPr="00307CF6">
        <w:rPr>
          <w:rFonts w:ascii="Times New Roman" w:hAnsi="Times New Roman" w:cs="Times New Roman"/>
          <w:noProof/>
          <w:sz w:val="24"/>
          <w:szCs w:val="24"/>
          <w:lang w:val="en-GB"/>
        </w:rPr>
        <w:t xml:space="preserve"> States informed the Commission that they had not received any applications for authorisations pursuant to the Regulation</w:t>
      </w:r>
      <w:r w:rsidR="00D11B25" w:rsidRPr="00D11B25">
        <w:rPr>
          <w:rFonts w:ascii="Times New Roman" w:hAnsi="Times New Roman" w:cs="Times New Roman"/>
          <w:noProof/>
          <w:sz w:val="24"/>
          <w:szCs w:val="24"/>
          <w:lang w:val="en-GB"/>
        </w:rPr>
        <w:t xml:space="preserve"> suggesting limited activity in this field</w:t>
      </w:r>
      <w:r w:rsidR="00E36419" w:rsidRPr="00D11B25">
        <w:rPr>
          <w:rFonts w:ascii="Times New Roman" w:hAnsi="Times New Roman" w:cs="Times New Roman"/>
          <w:noProof/>
          <w:sz w:val="24"/>
          <w:szCs w:val="24"/>
          <w:lang w:val="en-GB"/>
        </w:rPr>
        <w:t>. As in the previous reporting exercises, the data does not provide a critical mass from which to draw substantiated conclusions.</w:t>
      </w:r>
    </w:p>
    <w:bookmarkEnd w:id="2"/>
    <w:p w14:paraId="20A451D9" w14:textId="77777777" w:rsidR="007B35B8" w:rsidRPr="00307CF6" w:rsidRDefault="007B35B8" w:rsidP="007B35B8">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 xml:space="preserve">As the definitions of ‘individual authorisation’ and ‘global authorisation’ in Article 2 of the Regulation do not include a quantitative component, an indication of the number of authorisations granted does not give an indication of the number or quantity of goods concerned by these </w:t>
      </w:r>
      <w:r w:rsidRPr="00091A06">
        <w:rPr>
          <w:rFonts w:ascii="Times New Roman" w:hAnsi="Times New Roman" w:cs="Times New Roman"/>
          <w:noProof/>
          <w:sz w:val="24"/>
          <w:szCs w:val="24"/>
          <w:lang w:val="en-GB"/>
        </w:rPr>
        <w:t>authorisations. Nor does the information that Member States provide to the Commission typically distinguish between individual authorisations and global authorisations.</w:t>
      </w:r>
    </w:p>
    <w:p w14:paraId="5AE4B6EA" w14:textId="49906A62" w:rsidR="00035ACB" w:rsidRPr="00307CF6" w:rsidRDefault="007B35B8" w:rsidP="00035ACB">
      <w:pPr>
        <w:tabs>
          <w:tab w:val="left" w:pos="284"/>
        </w:tabs>
        <w:ind w:left="284" w:right="288"/>
        <w:jc w:val="both"/>
        <w:rPr>
          <w:rFonts w:ascii="Times New Roman" w:hAnsi="Times New Roman" w:cs="Times New Roman"/>
          <w:noProof/>
          <w:sz w:val="24"/>
          <w:szCs w:val="24"/>
          <w:lang w:val="en-GB"/>
        </w:rPr>
      </w:pPr>
      <w:r w:rsidRPr="00B20E69">
        <w:rPr>
          <w:rFonts w:ascii="Times New Roman" w:hAnsi="Times New Roman" w:cs="Times New Roman"/>
          <w:noProof/>
          <w:sz w:val="24"/>
          <w:szCs w:val="24"/>
          <w:lang w:val="en-GB"/>
        </w:rPr>
        <w:t xml:space="preserve">Member States reported that they had denied </w:t>
      </w:r>
      <w:r w:rsidR="009F123A" w:rsidRPr="00B20E69">
        <w:rPr>
          <w:rFonts w:ascii="Times New Roman" w:hAnsi="Times New Roman" w:cs="Times New Roman"/>
          <w:noProof/>
          <w:sz w:val="24"/>
          <w:szCs w:val="24"/>
          <w:lang w:val="en-GB"/>
        </w:rPr>
        <w:t>6</w:t>
      </w:r>
      <w:r w:rsidRPr="00B20E69">
        <w:rPr>
          <w:rFonts w:ascii="Times New Roman" w:hAnsi="Times New Roman" w:cs="Times New Roman"/>
          <w:noProof/>
          <w:sz w:val="24"/>
          <w:szCs w:val="24"/>
          <w:lang w:val="en-GB"/>
        </w:rPr>
        <w:t xml:space="preserve"> applications for an export authorisation in </w:t>
      </w:r>
      <w:r w:rsidR="00726A54" w:rsidRPr="00B20E69">
        <w:rPr>
          <w:rFonts w:ascii="Times New Roman" w:hAnsi="Times New Roman" w:cs="Times New Roman"/>
          <w:noProof/>
          <w:sz w:val="24"/>
          <w:szCs w:val="24"/>
          <w:lang w:val="en-GB"/>
        </w:rPr>
        <w:t>202</w:t>
      </w:r>
      <w:r w:rsidR="009F123A" w:rsidRPr="00B20E69">
        <w:rPr>
          <w:rFonts w:ascii="Times New Roman" w:hAnsi="Times New Roman" w:cs="Times New Roman"/>
          <w:noProof/>
          <w:sz w:val="24"/>
          <w:szCs w:val="24"/>
          <w:lang w:val="en-GB"/>
        </w:rPr>
        <w:t>3</w:t>
      </w:r>
      <w:r w:rsidRPr="00B20E69">
        <w:rPr>
          <w:rFonts w:ascii="Times New Roman" w:hAnsi="Times New Roman" w:cs="Times New Roman"/>
          <w:noProof/>
          <w:sz w:val="24"/>
          <w:szCs w:val="24"/>
          <w:lang w:val="en-GB"/>
        </w:rPr>
        <w:t xml:space="preserve">. The reported cases of denial concerned </w:t>
      </w:r>
      <w:r w:rsidR="00DD5852" w:rsidRPr="00B20E69">
        <w:rPr>
          <w:rFonts w:ascii="Times New Roman" w:hAnsi="Times New Roman" w:cs="Times New Roman"/>
          <w:noProof/>
          <w:sz w:val="24"/>
          <w:szCs w:val="24"/>
          <w:lang w:val="en-GB"/>
        </w:rPr>
        <w:t>goods described in Annex III code 3.1</w:t>
      </w:r>
      <w:r w:rsidR="00DD5852" w:rsidRPr="00B20E69">
        <w:rPr>
          <w:rStyle w:val="FootnoteReference"/>
          <w:rFonts w:ascii="Times New Roman" w:hAnsi="Times New Roman" w:cs="Times New Roman"/>
          <w:noProof/>
          <w:sz w:val="24"/>
          <w:szCs w:val="24"/>
          <w:lang w:val="en-GB"/>
        </w:rPr>
        <w:footnoteReference w:id="5"/>
      </w:r>
      <w:r w:rsidR="00DD5852" w:rsidRPr="00B20E69">
        <w:rPr>
          <w:rFonts w:ascii="Times New Roman" w:hAnsi="Times New Roman" w:cs="Times New Roman"/>
          <w:noProof/>
          <w:sz w:val="24"/>
          <w:szCs w:val="24"/>
          <w:lang w:val="en-GB"/>
        </w:rPr>
        <w:t xml:space="preserve"> </w:t>
      </w:r>
      <w:r w:rsidR="00371E47" w:rsidRPr="00B20E69">
        <w:rPr>
          <w:rFonts w:ascii="Times New Roman" w:hAnsi="Times New Roman" w:cs="Times New Roman"/>
          <w:noProof/>
          <w:sz w:val="24"/>
          <w:szCs w:val="24"/>
          <w:lang w:val="en-GB"/>
        </w:rPr>
        <w:t>intended for export to</w:t>
      </w:r>
      <w:r w:rsidR="00921D51" w:rsidRPr="00B20E69">
        <w:rPr>
          <w:rFonts w:ascii="Times New Roman" w:hAnsi="Times New Roman" w:cs="Times New Roman"/>
          <w:noProof/>
          <w:sz w:val="24"/>
          <w:szCs w:val="24"/>
          <w:lang w:val="en-GB"/>
        </w:rPr>
        <w:t xml:space="preserve"> </w:t>
      </w:r>
      <w:r w:rsidR="00F3624B" w:rsidRPr="00B20E69">
        <w:rPr>
          <w:rFonts w:ascii="Times New Roman" w:hAnsi="Times New Roman" w:cs="Times New Roman"/>
          <w:noProof/>
          <w:sz w:val="24"/>
          <w:szCs w:val="24"/>
          <w:lang w:val="en-GB"/>
        </w:rPr>
        <w:t>Aruba, Chile</w:t>
      </w:r>
      <w:r w:rsidR="00F837E5" w:rsidRPr="00B20E69">
        <w:rPr>
          <w:rFonts w:ascii="Times New Roman" w:hAnsi="Times New Roman" w:cs="Times New Roman"/>
          <w:noProof/>
          <w:sz w:val="24"/>
          <w:szCs w:val="24"/>
          <w:lang w:val="en-GB"/>
        </w:rPr>
        <w:t xml:space="preserve"> and </w:t>
      </w:r>
      <w:r w:rsidR="00F3624B" w:rsidRPr="00B20E69">
        <w:rPr>
          <w:rFonts w:ascii="Times New Roman" w:hAnsi="Times New Roman" w:cs="Times New Roman"/>
          <w:noProof/>
          <w:sz w:val="24"/>
          <w:szCs w:val="24"/>
          <w:lang w:val="en-GB"/>
        </w:rPr>
        <w:t xml:space="preserve">Egypt </w:t>
      </w:r>
      <w:r w:rsidR="00634490" w:rsidRPr="00B20E69">
        <w:rPr>
          <w:rFonts w:ascii="Times New Roman" w:hAnsi="Times New Roman" w:cs="Times New Roman"/>
          <w:noProof/>
          <w:sz w:val="24"/>
          <w:szCs w:val="24"/>
          <w:lang w:val="en-GB"/>
        </w:rPr>
        <w:t>while good</w:t>
      </w:r>
      <w:r w:rsidR="00921D51" w:rsidRPr="00B20E69">
        <w:rPr>
          <w:rFonts w:ascii="Times New Roman" w:hAnsi="Times New Roman" w:cs="Times New Roman"/>
          <w:noProof/>
          <w:sz w:val="24"/>
          <w:szCs w:val="24"/>
          <w:lang w:val="en-GB"/>
        </w:rPr>
        <w:t>s</w:t>
      </w:r>
      <w:r w:rsidR="00634490" w:rsidRPr="00B20E69">
        <w:rPr>
          <w:rFonts w:ascii="Times New Roman" w:hAnsi="Times New Roman" w:cs="Times New Roman"/>
          <w:noProof/>
          <w:sz w:val="24"/>
          <w:szCs w:val="24"/>
          <w:lang w:val="en-GB"/>
        </w:rPr>
        <w:t xml:space="preserve"> described in Annex III code </w:t>
      </w:r>
      <w:r w:rsidR="00F3624B" w:rsidRPr="00B20E69">
        <w:rPr>
          <w:rFonts w:ascii="Times New Roman" w:hAnsi="Times New Roman" w:cs="Times New Roman"/>
          <w:noProof/>
          <w:sz w:val="24"/>
          <w:szCs w:val="24"/>
          <w:lang w:val="en-GB"/>
        </w:rPr>
        <w:t>3</w:t>
      </w:r>
      <w:r w:rsidR="00634490" w:rsidRPr="00B20E69">
        <w:rPr>
          <w:rFonts w:ascii="Times New Roman" w:hAnsi="Times New Roman" w:cs="Times New Roman"/>
          <w:noProof/>
          <w:sz w:val="24"/>
          <w:szCs w:val="24"/>
          <w:lang w:val="en-GB"/>
        </w:rPr>
        <w:t>.</w:t>
      </w:r>
      <w:r w:rsidR="00F3624B" w:rsidRPr="00B20E69">
        <w:rPr>
          <w:rFonts w:ascii="Times New Roman" w:hAnsi="Times New Roman" w:cs="Times New Roman"/>
          <w:noProof/>
          <w:sz w:val="24"/>
          <w:szCs w:val="24"/>
          <w:lang w:val="en-GB"/>
        </w:rPr>
        <w:t>4</w:t>
      </w:r>
      <w:r w:rsidR="00F3624B" w:rsidRPr="00B20E69">
        <w:rPr>
          <w:rStyle w:val="FootnoteReference"/>
          <w:rFonts w:ascii="Times New Roman" w:hAnsi="Times New Roman" w:cs="Times New Roman"/>
          <w:noProof/>
          <w:sz w:val="24"/>
          <w:szCs w:val="24"/>
          <w:lang w:val="en-GB"/>
        </w:rPr>
        <w:footnoteReference w:id="6"/>
      </w:r>
      <w:r w:rsidR="00634490" w:rsidRPr="00B20E69">
        <w:rPr>
          <w:rFonts w:ascii="Times New Roman" w:hAnsi="Times New Roman" w:cs="Times New Roman"/>
          <w:noProof/>
          <w:sz w:val="24"/>
          <w:szCs w:val="24"/>
          <w:lang w:val="en-GB"/>
        </w:rPr>
        <w:t xml:space="preserve"> were intended for export to</w:t>
      </w:r>
      <w:r w:rsidR="00F3624B" w:rsidRPr="00B20E69">
        <w:rPr>
          <w:rFonts w:ascii="Times New Roman" w:hAnsi="Times New Roman" w:cs="Times New Roman"/>
          <w:noProof/>
          <w:sz w:val="24"/>
          <w:szCs w:val="24"/>
          <w:lang w:val="en-GB"/>
        </w:rPr>
        <w:t xml:space="preserve"> Egypt</w:t>
      </w:r>
      <w:r w:rsidR="00F837E5" w:rsidRPr="00B20E69">
        <w:rPr>
          <w:rFonts w:ascii="Times New Roman" w:hAnsi="Times New Roman" w:cs="Times New Roman"/>
          <w:noProof/>
          <w:sz w:val="24"/>
          <w:szCs w:val="24"/>
          <w:lang w:val="en-GB"/>
        </w:rPr>
        <w:t xml:space="preserve"> and the Russian Federation</w:t>
      </w:r>
      <w:r w:rsidRPr="00B20E69">
        <w:rPr>
          <w:rFonts w:ascii="Times New Roman" w:hAnsi="Times New Roman" w:cs="Times New Roman"/>
          <w:noProof/>
          <w:sz w:val="24"/>
          <w:szCs w:val="24"/>
          <w:lang w:val="en-GB"/>
        </w:rPr>
        <w:t>.</w:t>
      </w:r>
      <w:r w:rsidRPr="00373687">
        <w:rPr>
          <w:rFonts w:ascii="Times New Roman" w:hAnsi="Times New Roman" w:cs="Times New Roman"/>
          <w:noProof/>
          <w:sz w:val="24"/>
          <w:szCs w:val="24"/>
          <w:lang w:val="en-GB"/>
        </w:rPr>
        <w:t xml:space="preserve"> </w:t>
      </w:r>
    </w:p>
    <w:p w14:paraId="134A1AFC" w14:textId="7FBB0F7F" w:rsidR="007B35B8" w:rsidRPr="00307CF6" w:rsidRDefault="007B35B8" w:rsidP="00DD2065">
      <w:pPr>
        <w:tabs>
          <w:tab w:val="left" w:pos="284"/>
        </w:tabs>
        <w:ind w:left="284" w:right="288"/>
        <w:jc w:val="both"/>
        <w:rPr>
          <w:rFonts w:ascii="Times New Roman" w:hAnsi="Times New Roman" w:cs="Times New Roman"/>
          <w:noProof/>
          <w:sz w:val="24"/>
          <w:szCs w:val="24"/>
          <w:lang w:val="en-GB"/>
        </w:rPr>
      </w:pPr>
      <w:r w:rsidRPr="00307CF6">
        <w:rPr>
          <w:rFonts w:ascii="Times New Roman" w:hAnsi="Times New Roman" w:cs="Times New Roman"/>
          <w:noProof/>
          <w:sz w:val="24"/>
          <w:szCs w:val="24"/>
          <w:lang w:val="en-GB"/>
        </w:rPr>
        <w:t xml:space="preserve">Articles 3, 4 and 5 of the Regulation prohibit the export, </w:t>
      </w:r>
      <w:r w:rsidR="00B04B8A" w:rsidRPr="00307CF6">
        <w:rPr>
          <w:rFonts w:ascii="Times New Roman" w:hAnsi="Times New Roman" w:cs="Times New Roman"/>
          <w:noProof/>
          <w:sz w:val="24"/>
          <w:szCs w:val="24"/>
          <w:lang w:val="en-GB"/>
        </w:rPr>
        <w:t>import,</w:t>
      </w:r>
      <w:r w:rsidRPr="00307CF6">
        <w:rPr>
          <w:rFonts w:ascii="Times New Roman" w:hAnsi="Times New Roman" w:cs="Times New Roman"/>
          <w:noProof/>
          <w:sz w:val="24"/>
          <w:szCs w:val="24"/>
          <w:lang w:val="en-GB"/>
        </w:rPr>
        <w:t xml:space="preserve"> and transit, respectively, of the goods listed in Annex II. The Regulation allows the competent national authorities to grant a derogation from the prohibition, but only if it is demonstrated that the goods concerned will be used exclusively for public display in a museum (either in a non-EU country or, in accordance with Article 4, in a Member State) in view of their historical </w:t>
      </w:r>
      <w:r w:rsidRPr="00091A06">
        <w:rPr>
          <w:rFonts w:ascii="Times New Roman" w:hAnsi="Times New Roman" w:cs="Times New Roman"/>
          <w:noProof/>
          <w:sz w:val="24"/>
          <w:szCs w:val="24"/>
          <w:lang w:val="en-GB"/>
        </w:rPr>
        <w:t xml:space="preserve">significance. </w:t>
      </w:r>
      <w:r w:rsidR="00DD2065" w:rsidRPr="00091A06">
        <w:rPr>
          <w:rFonts w:ascii="Times New Roman" w:hAnsi="Times New Roman" w:cs="Times New Roman"/>
          <w:noProof/>
          <w:sz w:val="24"/>
          <w:szCs w:val="24"/>
          <w:lang w:val="en-GB"/>
        </w:rPr>
        <w:t>The competent authorities reported that they had not granted such derogations in 202</w:t>
      </w:r>
      <w:r w:rsidR="00F837E5">
        <w:rPr>
          <w:rFonts w:ascii="Times New Roman" w:hAnsi="Times New Roman" w:cs="Times New Roman"/>
          <w:noProof/>
          <w:sz w:val="24"/>
          <w:szCs w:val="24"/>
          <w:lang w:val="en-GB"/>
        </w:rPr>
        <w:t>3</w:t>
      </w:r>
      <w:r w:rsidR="00DD2065" w:rsidRPr="00091A06">
        <w:rPr>
          <w:rFonts w:ascii="Times New Roman" w:hAnsi="Times New Roman" w:cs="Times New Roman"/>
          <w:noProof/>
          <w:sz w:val="24"/>
          <w:szCs w:val="24"/>
          <w:lang w:val="en-GB"/>
        </w:rPr>
        <w:t>.</w:t>
      </w:r>
    </w:p>
    <w:p w14:paraId="5A090A18" w14:textId="73A1A4B2" w:rsidR="00F837E5" w:rsidRPr="00AE2657" w:rsidRDefault="007B35B8" w:rsidP="00F837E5">
      <w:pPr>
        <w:ind w:left="284"/>
        <w:rPr>
          <w:rFonts w:ascii="Times New Roman" w:hAnsi="Times New Roman" w:cs="Times New Roman"/>
          <w:iCs/>
          <w:noProof/>
          <w:sz w:val="24"/>
          <w:szCs w:val="24"/>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1</w:t>
      </w:r>
      <w:r w:rsidR="00D40A54">
        <w:rPr>
          <w:rFonts w:ascii="Times New Roman" w:hAnsi="Times New Roman" w:cs="Times New Roman"/>
          <w:i/>
          <w:noProof/>
          <w:sz w:val="24"/>
          <w:szCs w:val="24"/>
          <w:lang w:val="en-GB"/>
        </w:rPr>
        <w:t xml:space="preserve"> </w:t>
      </w:r>
      <w:r w:rsidR="00F837E5" w:rsidRPr="00AE2657">
        <w:rPr>
          <w:rFonts w:ascii="Times New Roman" w:hAnsi="Times New Roman" w:cs="Times New Roman"/>
          <w:iCs/>
          <w:noProof/>
          <w:sz w:val="24"/>
          <w:szCs w:val="24"/>
          <w:lang w:val="en-GB"/>
        </w:rPr>
        <w:t xml:space="preserve">to this report provides an overview of the </w:t>
      </w:r>
      <w:r w:rsidR="00AE2657" w:rsidRPr="00AE2657">
        <w:rPr>
          <w:rFonts w:ascii="Times New Roman" w:hAnsi="Times New Roman" w:cs="Times New Roman"/>
          <w:iCs/>
          <w:noProof/>
          <w:sz w:val="24"/>
          <w:szCs w:val="24"/>
          <w:lang w:val="en-GB"/>
        </w:rPr>
        <w:t xml:space="preserve">number </w:t>
      </w:r>
      <w:r w:rsidR="00F837E5" w:rsidRPr="00AE2657">
        <w:rPr>
          <w:rFonts w:ascii="Times New Roman" w:hAnsi="Times New Roman" w:cs="Times New Roman"/>
          <w:iCs/>
          <w:noProof/>
          <w:sz w:val="24"/>
          <w:szCs w:val="24"/>
        </w:rPr>
        <w:t>of reported export authori</w:t>
      </w:r>
      <w:r w:rsidR="00363300">
        <w:rPr>
          <w:rFonts w:ascii="Times New Roman" w:hAnsi="Times New Roman" w:cs="Times New Roman"/>
          <w:iCs/>
          <w:noProof/>
          <w:sz w:val="24"/>
          <w:szCs w:val="24"/>
        </w:rPr>
        <w:t>s</w:t>
      </w:r>
      <w:r w:rsidR="00F837E5" w:rsidRPr="00AE2657">
        <w:rPr>
          <w:rFonts w:ascii="Times New Roman" w:hAnsi="Times New Roman" w:cs="Times New Roman"/>
          <w:iCs/>
          <w:noProof/>
          <w:sz w:val="24"/>
          <w:szCs w:val="24"/>
        </w:rPr>
        <w:t>ations granted and refused by Member States over the period 2017-2023</w:t>
      </w:r>
      <w:r w:rsidR="00D854FE">
        <w:rPr>
          <w:rFonts w:ascii="Times New Roman" w:hAnsi="Times New Roman" w:cs="Times New Roman"/>
          <w:iCs/>
          <w:noProof/>
          <w:sz w:val="24"/>
          <w:szCs w:val="24"/>
        </w:rPr>
        <w:t>.</w:t>
      </w:r>
    </w:p>
    <w:p w14:paraId="6FEB0091" w14:textId="0117606A" w:rsidR="00F837E5" w:rsidRPr="00AE2657" w:rsidRDefault="00F837E5" w:rsidP="00F837E5">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2</w:t>
      </w:r>
      <w:r w:rsidRPr="00AE2657">
        <w:rPr>
          <w:rFonts w:ascii="Times New Roman" w:hAnsi="Times New Roman" w:cs="Times New Roman"/>
          <w:iCs/>
          <w:noProof/>
          <w:sz w:val="24"/>
          <w:szCs w:val="24"/>
          <w:lang w:val="en-GB"/>
        </w:rPr>
        <w:t xml:space="preserve"> to this report provides information on the number of reported export authorisations issued by Member States as regards goods listed in Annex III.</w:t>
      </w:r>
    </w:p>
    <w:p w14:paraId="1312C171" w14:textId="6E354A01" w:rsidR="00F837E5" w:rsidRPr="00AE2657" w:rsidRDefault="00F837E5" w:rsidP="00F837E5">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3</w:t>
      </w:r>
      <w:r w:rsidRPr="00AE2657">
        <w:rPr>
          <w:rFonts w:ascii="Times New Roman" w:hAnsi="Times New Roman" w:cs="Times New Roman"/>
          <w:iCs/>
          <w:noProof/>
          <w:sz w:val="24"/>
          <w:szCs w:val="24"/>
          <w:lang w:val="en-GB"/>
        </w:rPr>
        <w:t xml:space="preserve"> to this report provides information on the </w:t>
      </w:r>
      <w:bookmarkStart w:id="3" w:name="_Hlk142903842"/>
      <w:r w:rsidRPr="00AE2657">
        <w:rPr>
          <w:rFonts w:ascii="Times New Roman" w:hAnsi="Times New Roman" w:cs="Times New Roman"/>
          <w:iCs/>
          <w:noProof/>
          <w:sz w:val="24"/>
          <w:szCs w:val="24"/>
          <w:lang w:val="en-GB"/>
        </w:rPr>
        <w:t xml:space="preserve">reported destinations of authorised </w:t>
      </w:r>
      <w:bookmarkEnd w:id="3"/>
      <w:r w:rsidRPr="00AE2657">
        <w:rPr>
          <w:rFonts w:ascii="Times New Roman" w:hAnsi="Times New Roman" w:cs="Times New Roman"/>
          <w:iCs/>
          <w:noProof/>
          <w:sz w:val="24"/>
          <w:szCs w:val="24"/>
          <w:lang w:val="en-GB"/>
        </w:rPr>
        <w:t xml:space="preserve">and refused </w:t>
      </w:r>
      <w:r w:rsidR="00201741" w:rsidRPr="00AE2657">
        <w:rPr>
          <w:rFonts w:ascii="Times New Roman" w:hAnsi="Times New Roman" w:cs="Times New Roman"/>
          <w:iCs/>
          <w:noProof/>
          <w:sz w:val="24"/>
          <w:szCs w:val="24"/>
          <w:lang w:val="en-GB"/>
        </w:rPr>
        <w:t xml:space="preserve">exports </w:t>
      </w:r>
      <w:r w:rsidRPr="00AE2657">
        <w:rPr>
          <w:rFonts w:ascii="Times New Roman" w:hAnsi="Times New Roman" w:cs="Times New Roman"/>
          <w:iCs/>
          <w:noProof/>
          <w:sz w:val="24"/>
          <w:szCs w:val="24"/>
          <w:lang w:val="en-GB"/>
        </w:rPr>
        <w:t>as regards goods listed in Annex III.</w:t>
      </w:r>
    </w:p>
    <w:p w14:paraId="2F0058CC" w14:textId="0D64FE14" w:rsidR="00F837E5" w:rsidRPr="00AE2657" w:rsidRDefault="00F837E5" w:rsidP="00F837E5">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4</w:t>
      </w:r>
      <w:r w:rsidRPr="00AE2657">
        <w:rPr>
          <w:rFonts w:ascii="Times New Roman" w:hAnsi="Times New Roman" w:cs="Times New Roman"/>
          <w:iCs/>
          <w:noProof/>
          <w:sz w:val="24"/>
          <w:szCs w:val="24"/>
          <w:lang w:val="en-GB"/>
        </w:rPr>
        <w:t xml:space="preserve"> to this report summarises the information provided to the Commission on the </w:t>
      </w:r>
      <w:bookmarkStart w:id="4" w:name="_Hlk142903905"/>
      <w:r w:rsidRPr="00AE2657">
        <w:rPr>
          <w:rFonts w:ascii="Times New Roman" w:hAnsi="Times New Roman" w:cs="Times New Roman"/>
          <w:iCs/>
          <w:noProof/>
          <w:sz w:val="24"/>
          <w:szCs w:val="24"/>
          <w:lang w:val="en-GB"/>
        </w:rPr>
        <w:t>reported end</w:t>
      </w:r>
      <w:r w:rsidR="00AE2657" w:rsidRPr="00AE2657">
        <w:rPr>
          <w:rFonts w:ascii="Times New Roman" w:hAnsi="Times New Roman" w:cs="Times New Roman"/>
          <w:iCs/>
          <w:noProof/>
          <w:sz w:val="24"/>
          <w:szCs w:val="24"/>
          <w:lang w:val="en-GB"/>
        </w:rPr>
        <w:t xml:space="preserve"> </w:t>
      </w:r>
      <w:r w:rsidRPr="00AE2657">
        <w:rPr>
          <w:rFonts w:ascii="Times New Roman" w:hAnsi="Times New Roman" w:cs="Times New Roman"/>
          <w:iCs/>
          <w:noProof/>
          <w:sz w:val="24"/>
          <w:szCs w:val="24"/>
          <w:lang w:val="en-GB"/>
        </w:rPr>
        <w:t>use of authorised exports as regards goods listed in Annex III.</w:t>
      </w:r>
    </w:p>
    <w:bookmarkEnd w:id="4"/>
    <w:p w14:paraId="43425867" w14:textId="5C2B4AE6" w:rsidR="000532F6" w:rsidRPr="00AE2657" w:rsidRDefault="00DD2065" w:rsidP="000532F6">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5</w:t>
      </w:r>
      <w:r w:rsidR="00F837E5" w:rsidRPr="00AE2657">
        <w:rPr>
          <w:rFonts w:ascii="Times New Roman" w:hAnsi="Times New Roman" w:cs="Times New Roman"/>
          <w:iCs/>
          <w:noProof/>
          <w:sz w:val="24"/>
          <w:szCs w:val="24"/>
          <w:lang w:val="en-GB"/>
        </w:rPr>
        <w:t xml:space="preserve"> to this report </w:t>
      </w:r>
      <w:r w:rsidR="000532F6" w:rsidRPr="00AE2657">
        <w:rPr>
          <w:rFonts w:ascii="Times New Roman" w:hAnsi="Times New Roman" w:cs="Times New Roman"/>
          <w:iCs/>
          <w:noProof/>
          <w:sz w:val="24"/>
          <w:szCs w:val="24"/>
          <w:lang w:val="en-GB"/>
        </w:rPr>
        <w:t xml:space="preserve">provides </w:t>
      </w:r>
      <w:r w:rsidR="00F837E5" w:rsidRPr="00AE2657">
        <w:rPr>
          <w:rFonts w:ascii="Times New Roman" w:hAnsi="Times New Roman" w:cs="Times New Roman"/>
          <w:iCs/>
          <w:noProof/>
          <w:sz w:val="24"/>
          <w:szCs w:val="24"/>
          <w:lang w:val="en-GB"/>
        </w:rPr>
        <w:t>a</w:t>
      </w:r>
      <w:r w:rsidR="00AE2657" w:rsidRPr="00AE2657">
        <w:rPr>
          <w:rFonts w:ascii="Times New Roman" w:hAnsi="Times New Roman" w:cs="Times New Roman"/>
          <w:iCs/>
          <w:noProof/>
          <w:sz w:val="24"/>
          <w:szCs w:val="24"/>
          <w:lang w:val="en-GB"/>
        </w:rPr>
        <w:t xml:space="preserve"> detailed </w:t>
      </w:r>
      <w:r w:rsidR="00F837E5" w:rsidRPr="00AE2657">
        <w:rPr>
          <w:rFonts w:ascii="Times New Roman" w:hAnsi="Times New Roman" w:cs="Times New Roman"/>
          <w:iCs/>
          <w:noProof/>
          <w:sz w:val="24"/>
          <w:szCs w:val="24"/>
          <w:lang w:val="en-GB"/>
        </w:rPr>
        <w:t xml:space="preserve">overview of </w:t>
      </w:r>
      <w:r w:rsidR="00F837E5" w:rsidRPr="00AE2657">
        <w:rPr>
          <w:rFonts w:ascii="Times New Roman" w:hAnsi="Times New Roman" w:cs="Times New Roman"/>
          <w:iCs/>
          <w:noProof/>
          <w:sz w:val="24"/>
          <w:szCs w:val="24"/>
        </w:rPr>
        <w:t>authori</w:t>
      </w:r>
      <w:r w:rsidR="00363300">
        <w:rPr>
          <w:rFonts w:ascii="Times New Roman" w:hAnsi="Times New Roman" w:cs="Times New Roman"/>
          <w:iCs/>
          <w:noProof/>
          <w:sz w:val="24"/>
          <w:szCs w:val="24"/>
        </w:rPr>
        <w:t>s</w:t>
      </w:r>
      <w:r w:rsidR="00F837E5" w:rsidRPr="00AE2657">
        <w:rPr>
          <w:rFonts w:ascii="Times New Roman" w:hAnsi="Times New Roman" w:cs="Times New Roman"/>
          <w:iCs/>
          <w:noProof/>
          <w:sz w:val="24"/>
          <w:szCs w:val="24"/>
        </w:rPr>
        <w:t>ed exports of Annex III goods in 2023</w:t>
      </w:r>
      <w:r w:rsidR="00AE2657" w:rsidRPr="00AE2657">
        <w:rPr>
          <w:rFonts w:ascii="Times New Roman" w:hAnsi="Times New Roman" w:cs="Times New Roman"/>
          <w:iCs/>
          <w:noProof/>
          <w:sz w:val="24"/>
          <w:szCs w:val="24"/>
        </w:rPr>
        <w:t>.</w:t>
      </w:r>
    </w:p>
    <w:p w14:paraId="0EE9EE64" w14:textId="03E53C17" w:rsidR="00AE2657" w:rsidRPr="00AE2657" w:rsidRDefault="00AE2657" w:rsidP="00AE2657">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iCs/>
          <w:noProof/>
          <w:sz w:val="24"/>
          <w:szCs w:val="24"/>
        </w:rPr>
        <w:t xml:space="preserve">Annex </w:t>
      </w:r>
      <w:r w:rsidR="00A2531D">
        <w:rPr>
          <w:rFonts w:ascii="Times New Roman" w:hAnsi="Times New Roman" w:cs="Times New Roman"/>
          <w:i/>
          <w:iCs/>
          <w:noProof/>
          <w:sz w:val="24"/>
          <w:szCs w:val="24"/>
        </w:rPr>
        <w:t>6</w:t>
      </w:r>
      <w:r w:rsidRPr="00AE2657">
        <w:rPr>
          <w:rFonts w:ascii="Times New Roman" w:hAnsi="Times New Roman" w:cs="Times New Roman"/>
          <w:noProof/>
          <w:sz w:val="24"/>
          <w:szCs w:val="24"/>
        </w:rPr>
        <w:t xml:space="preserve"> to this report </w:t>
      </w:r>
      <w:r w:rsidRPr="00AE2657">
        <w:rPr>
          <w:rFonts w:ascii="Times New Roman" w:hAnsi="Times New Roman" w:cs="Times New Roman"/>
          <w:iCs/>
          <w:noProof/>
          <w:sz w:val="24"/>
          <w:szCs w:val="24"/>
          <w:lang w:val="en-GB"/>
        </w:rPr>
        <w:t>provides information on the number of reported export authorisations issued by Member States as regards goods listed in Annex IV.</w:t>
      </w:r>
    </w:p>
    <w:p w14:paraId="3138957A" w14:textId="0C3EEC5D" w:rsidR="00AE2657" w:rsidRPr="00AE2657" w:rsidRDefault="00AE2657" w:rsidP="00AE2657">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7</w:t>
      </w:r>
      <w:r w:rsidRPr="00AE2657">
        <w:rPr>
          <w:rFonts w:ascii="Times New Roman" w:hAnsi="Times New Roman" w:cs="Times New Roman"/>
          <w:iCs/>
          <w:noProof/>
          <w:sz w:val="24"/>
          <w:szCs w:val="24"/>
          <w:lang w:val="en-GB"/>
        </w:rPr>
        <w:t xml:space="preserve"> to this report provides information on the reported destinations of authorised exports as regards goods listed in Annex IV</w:t>
      </w:r>
      <w:r w:rsidR="00A6607D">
        <w:rPr>
          <w:rFonts w:ascii="Times New Roman" w:hAnsi="Times New Roman" w:cs="Times New Roman"/>
          <w:iCs/>
          <w:noProof/>
          <w:sz w:val="24"/>
          <w:szCs w:val="24"/>
          <w:lang w:val="en-GB"/>
        </w:rPr>
        <w:t xml:space="preserve"> (</w:t>
      </w:r>
      <w:r w:rsidR="00A6607D" w:rsidRPr="00AE2657">
        <w:rPr>
          <w:rFonts w:ascii="Times New Roman" w:hAnsi="Times New Roman" w:cs="Times New Roman"/>
          <w:iCs/>
          <w:noProof/>
          <w:sz w:val="24"/>
          <w:szCs w:val="24"/>
          <w:lang w:val="en-GB"/>
        </w:rPr>
        <w:t>no refusal has been reported)</w:t>
      </w:r>
      <w:r w:rsidR="00A6607D">
        <w:rPr>
          <w:rFonts w:ascii="Times New Roman" w:hAnsi="Times New Roman" w:cs="Times New Roman"/>
          <w:iCs/>
          <w:noProof/>
          <w:sz w:val="24"/>
          <w:szCs w:val="24"/>
          <w:lang w:val="en-GB"/>
        </w:rPr>
        <w:t>.</w:t>
      </w:r>
    </w:p>
    <w:p w14:paraId="1BBDE6E0" w14:textId="64FE737D" w:rsidR="00AE2657" w:rsidRPr="00AE2657" w:rsidRDefault="00AE2657" w:rsidP="00AE2657">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
          <w:noProof/>
          <w:sz w:val="24"/>
          <w:szCs w:val="24"/>
          <w:lang w:val="en-GB"/>
        </w:rPr>
        <w:t>8</w:t>
      </w:r>
      <w:r w:rsidRPr="00AE2657">
        <w:rPr>
          <w:rFonts w:ascii="Times New Roman" w:hAnsi="Times New Roman" w:cs="Times New Roman"/>
          <w:iCs/>
          <w:noProof/>
          <w:sz w:val="24"/>
          <w:szCs w:val="24"/>
          <w:lang w:val="en-GB"/>
        </w:rPr>
        <w:t xml:space="preserve"> to this report summarises the information provided to the Commission on the reported end use of authorised exports as regards goods listed in Annex IV.</w:t>
      </w:r>
    </w:p>
    <w:p w14:paraId="27B7EDFD" w14:textId="67C26F7D" w:rsidR="00AE2657" w:rsidRPr="00AE2657" w:rsidRDefault="00AE2657" w:rsidP="00AE2657">
      <w:pPr>
        <w:tabs>
          <w:tab w:val="left" w:pos="284"/>
        </w:tabs>
        <w:ind w:left="284" w:right="288"/>
        <w:jc w:val="both"/>
        <w:rPr>
          <w:rFonts w:ascii="Times New Roman" w:hAnsi="Times New Roman" w:cs="Times New Roman"/>
          <w:iCs/>
          <w:noProof/>
          <w:sz w:val="24"/>
          <w:szCs w:val="24"/>
          <w:lang w:val="en-GB"/>
        </w:rPr>
      </w:pPr>
      <w:r w:rsidRPr="00AE2657">
        <w:rPr>
          <w:rFonts w:ascii="Times New Roman" w:hAnsi="Times New Roman" w:cs="Times New Roman"/>
          <w:i/>
          <w:noProof/>
          <w:sz w:val="24"/>
          <w:szCs w:val="24"/>
          <w:lang w:val="en-GB"/>
        </w:rPr>
        <w:t xml:space="preserve">Annex </w:t>
      </w:r>
      <w:r w:rsidR="00A2531D">
        <w:rPr>
          <w:rFonts w:ascii="Times New Roman" w:hAnsi="Times New Roman" w:cs="Times New Roman"/>
          <w:iCs/>
          <w:noProof/>
          <w:sz w:val="24"/>
          <w:szCs w:val="24"/>
          <w:lang w:val="en-GB"/>
        </w:rPr>
        <w:t xml:space="preserve">9 </w:t>
      </w:r>
      <w:r w:rsidR="00D854FE">
        <w:rPr>
          <w:rFonts w:ascii="Times New Roman" w:hAnsi="Times New Roman" w:cs="Times New Roman"/>
          <w:iCs/>
          <w:noProof/>
          <w:sz w:val="24"/>
          <w:szCs w:val="24"/>
          <w:lang w:val="en-GB"/>
        </w:rPr>
        <w:t xml:space="preserve">to </w:t>
      </w:r>
      <w:r w:rsidRPr="00AE2657">
        <w:rPr>
          <w:rFonts w:ascii="Times New Roman" w:hAnsi="Times New Roman" w:cs="Times New Roman"/>
          <w:iCs/>
          <w:noProof/>
          <w:sz w:val="24"/>
          <w:szCs w:val="24"/>
          <w:lang w:val="en-GB"/>
        </w:rPr>
        <w:t xml:space="preserve">this report provides a detailed overview of </w:t>
      </w:r>
      <w:r w:rsidRPr="00AE2657">
        <w:rPr>
          <w:rFonts w:ascii="Times New Roman" w:hAnsi="Times New Roman" w:cs="Times New Roman"/>
          <w:iCs/>
          <w:noProof/>
          <w:sz w:val="24"/>
          <w:szCs w:val="24"/>
        </w:rPr>
        <w:t>authori</w:t>
      </w:r>
      <w:r w:rsidR="00363300">
        <w:rPr>
          <w:rFonts w:ascii="Times New Roman" w:hAnsi="Times New Roman" w:cs="Times New Roman"/>
          <w:iCs/>
          <w:noProof/>
          <w:sz w:val="24"/>
          <w:szCs w:val="24"/>
        </w:rPr>
        <w:t>s</w:t>
      </w:r>
      <w:r w:rsidRPr="00AE2657">
        <w:rPr>
          <w:rFonts w:ascii="Times New Roman" w:hAnsi="Times New Roman" w:cs="Times New Roman"/>
          <w:iCs/>
          <w:noProof/>
          <w:sz w:val="24"/>
          <w:szCs w:val="24"/>
        </w:rPr>
        <w:t>ed exports of Annex IV goods in 2023.</w:t>
      </w:r>
    </w:p>
    <w:sectPr w:rsidR="00AE2657" w:rsidRPr="00AE2657" w:rsidSect="00CB0A4D">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7D16C" w14:textId="77777777" w:rsidR="006F42A4" w:rsidRDefault="006F42A4" w:rsidP="00121D58">
      <w:pPr>
        <w:spacing w:after="0" w:line="240" w:lineRule="auto"/>
      </w:pPr>
      <w:r>
        <w:separator/>
      </w:r>
    </w:p>
  </w:endnote>
  <w:endnote w:type="continuationSeparator" w:id="0">
    <w:p w14:paraId="7C5AAE55" w14:textId="77777777" w:rsidR="006F42A4" w:rsidRDefault="006F42A4" w:rsidP="0012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CF7F" w14:textId="6FFD37FF" w:rsidR="001C23BA" w:rsidRPr="001C23BA" w:rsidRDefault="001C23BA" w:rsidP="001C23BA">
    <w:pPr>
      <w:pStyle w:val="FooterCoverPage"/>
      <w:rPr>
        <w:rFonts w:ascii="Arial" w:hAnsi="Arial" w:cs="Arial"/>
        <w:b/>
        <w:sz w:val="48"/>
      </w:rPr>
    </w:pPr>
    <w:r w:rsidRPr="001C23BA">
      <w:rPr>
        <w:rFonts w:ascii="Arial" w:hAnsi="Arial" w:cs="Arial"/>
        <w:b/>
        <w:sz w:val="48"/>
      </w:rPr>
      <w:t>EN</w:t>
    </w:r>
    <w:r w:rsidRPr="001C23BA">
      <w:rPr>
        <w:rFonts w:ascii="Arial" w:hAnsi="Arial" w:cs="Arial"/>
        <w:b/>
        <w:sz w:val="48"/>
      </w:rPr>
      <w:tab/>
    </w:r>
    <w:r w:rsidRPr="001C23BA">
      <w:rPr>
        <w:rFonts w:ascii="Arial" w:hAnsi="Arial" w:cs="Arial"/>
        <w:b/>
        <w:sz w:val="48"/>
      </w:rPr>
      <w:tab/>
    </w:r>
    <w:r w:rsidRPr="001C23BA">
      <w:tab/>
    </w:r>
    <w:r w:rsidRPr="001C23B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3234" w14:textId="7E867EEC" w:rsidR="001C23BA" w:rsidRPr="001C23BA" w:rsidRDefault="001C23BA" w:rsidP="001C23BA">
    <w:pPr>
      <w:pStyle w:val="FooterCoverPage"/>
      <w:rPr>
        <w:rFonts w:ascii="Arial" w:hAnsi="Arial" w:cs="Arial"/>
        <w:b/>
        <w:sz w:val="48"/>
      </w:rPr>
    </w:pPr>
    <w:r w:rsidRPr="001C23BA">
      <w:rPr>
        <w:rFonts w:ascii="Arial" w:hAnsi="Arial" w:cs="Arial"/>
        <w:b/>
        <w:sz w:val="48"/>
      </w:rPr>
      <w:t>EN</w:t>
    </w:r>
    <w:r w:rsidRPr="001C23BA">
      <w:rPr>
        <w:rFonts w:ascii="Arial" w:hAnsi="Arial" w:cs="Arial"/>
        <w:b/>
        <w:sz w:val="48"/>
      </w:rPr>
      <w:tab/>
    </w:r>
    <w:r w:rsidRPr="001C23BA">
      <w:rPr>
        <w:rFonts w:ascii="Arial" w:hAnsi="Arial" w:cs="Arial"/>
        <w:b/>
        <w:sz w:val="48"/>
      </w:rPr>
      <w:tab/>
    </w:r>
    <w:r w:rsidRPr="001C23BA">
      <w:tab/>
    </w:r>
    <w:r w:rsidRPr="001C23B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4821" w14:textId="77777777" w:rsidR="001C23BA" w:rsidRPr="001C23BA" w:rsidRDefault="001C23BA" w:rsidP="001C23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743D" w14:textId="77777777" w:rsidR="00121D58" w:rsidRDefault="00121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903365"/>
      <w:docPartObj>
        <w:docPartGallery w:val="Page Numbers (Bottom of Page)"/>
        <w:docPartUnique/>
      </w:docPartObj>
    </w:sdtPr>
    <w:sdtEndPr>
      <w:rPr>
        <w:rFonts w:ascii="Times New Roman" w:hAnsi="Times New Roman" w:cs="Times New Roman"/>
        <w:noProof/>
      </w:rPr>
    </w:sdtEndPr>
    <w:sdtContent>
      <w:p w14:paraId="51C81A0F" w14:textId="079632A4" w:rsidR="00CB0A4D" w:rsidRPr="00CB0A4D" w:rsidRDefault="00CB0A4D">
        <w:pPr>
          <w:pStyle w:val="Footer"/>
          <w:jc w:val="center"/>
          <w:rPr>
            <w:rFonts w:ascii="Times New Roman" w:hAnsi="Times New Roman" w:cs="Times New Roman"/>
          </w:rPr>
        </w:pPr>
        <w:r w:rsidRPr="00CB0A4D">
          <w:rPr>
            <w:rFonts w:ascii="Times New Roman" w:hAnsi="Times New Roman" w:cs="Times New Roman"/>
          </w:rPr>
          <w:fldChar w:fldCharType="begin"/>
        </w:r>
        <w:r w:rsidRPr="00CB0A4D">
          <w:rPr>
            <w:rFonts w:ascii="Times New Roman" w:hAnsi="Times New Roman" w:cs="Times New Roman"/>
          </w:rPr>
          <w:instrText xml:space="preserve"> PAGE   \* MERGEFORMAT </w:instrText>
        </w:r>
        <w:r w:rsidRPr="00CB0A4D">
          <w:rPr>
            <w:rFonts w:ascii="Times New Roman" w:hAnsi="Times New Roman" w:cs="Times New Roman"/>
          </w:rPr>
          <w:fldChar w:fldCharType="separate"/>
        </w:r>
        <w:r w:rsidR="001C23BA">
          <w:rPr>
            <w:rFonts w:ascii="Times New Roman" w:hAnsi="Times New Roman" w:cs="Times New Roman"/>
            <w:noProof/>
          </w:rPr>
          <w:t>1</w:t>
        </w:r>
        <w:r w:rsidRPr="00CB0A4D">
          <w:rPr>
            <w:rFonts w:ascii="Times New Roman" w:hAnsi="Times New Roman" w:cs="Times New Roman"/>
            <w:noProof/>
          </w:rPr>
          <w:fldChar w:fldCharType="end"/>
        </w:r>
      </w:p>
    </w:sdtContent>
  </w:sdt>
  <w:p w14:paraId="049C9ACD" w14:textId="77777777" w:rsidR="00121D58" w:rsidRDefault="00121D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F17F" w14:textId="77777777" w:rsidR="00121D58" w:rsidRDefault="0012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CDB48" w14:textId="77777777" w:rsidR="006F42A4" w:rsidRDefault="006F42A4" w:rsidP="00121D58">
      <w:pPr>
        <w:spacing w:after="0" w:line="240" w:lineRule="auto"/>
      </w:pPr>
      <w:r>
        <w:separator/>
      </w:r>
    </w:p>
  </w:footnote>
  <w:footnote w:type="continuationSeparator" w:id="0">
    <w:p w14:paraId="573A346F" w14:textId="77777777" w:rsidR="006F42A4" w:rsidRDefault="006F42A4" w:rsidP="00121D58">
      <w:pPr>
        <w:spacing w:after="0" w:line="240" w:lineRule="auto"/>
      </w:pPr>
      <w:r>
        <w:continuationSeparator/>
      </w:r>
    </w:p>
  </w:footnote>
  <w:footnote w:id="1">
    <w:p w14:paraId="3A70438F" w14:textId="77777777" w:rsidR="00C43E06" w:rsidRPr="00726A54" w:rsidRDefault="00C43E06" w:rsidP="00C43E06">
      <w:pPr>
        <w:pStyle w:val="FootnoteText"/>
        <w:jc w:val="both"/>
        <w:rPr>
          <w:rFonts w:ascii="Times New Roman" w:hAnsi="Times New Roman" w:cs="Times New Roman"/>
          <w:lang w:val="en-IE"/>
        </w:rPr>
      </w:pPr>
      <w:r w:rsidRPr="00726A54">
        <w:rPr>
          <w:rStyle w:val="FootnoteReference"/>
          <w:rFonts w:ascii="Times New Roman" w:hAnsi="Times New Roman" w:cs="Times New Roman"/>
        </w:rPr>
        <w:footnoteRef/>
      </w:r>
      <w:r w:rsidRPr="00726A54">
        <w:rPr>
          <w:rFonts w:ascii="Times New Roman" w:hAnsi="Times New Roman" w:cs="Times New Roman"/>
        </w:rPr>
        <w:t xml:space="preserve"> OJ L 30, 31.1.2019, p. 1.</w:t>
      </w:r>
    </w:p>
  </w:footnote>
  <w:footnote w:id="2">
    <w:p w14:paraId="7FDC9E1C" w14:textId="77777777" w:rsidR="00C43E06" w:rsidRPr="00726A54" w:rsidRDefault="00C43E06" w:rsidP="00C43E06">
      <w:pPr>
        <w:pStyle w:val="FootnoteText"/>
        <w:ind w:left="142" w:hanging="142"/>
        <w:jc w:val="both"/>
        <w:rPr>
          <w:rFonts w:ascii="Times New Roman" w:hAnsi="Times New Roman" w:cs="Times New Roman"/>
          <w:lang w:val="en-IE"/>
        </w:rPr>
      </w:pPr>
      <w:r w:rsidRPr="00091A06">
        <w:rPr>
          <w:rStyle w:val="FootnoteReference"/>
          <w:rFonts w:ascii="Times New Roman" w:hAnsi="Times New Roman" w:cs="Times New Roman"/>
        </w:rPr>
        <w:footnoteRef/>
      </w:r>
      <w:r w:rsidRPr="00091A06">
        <w:rPr>
          <w:rFonts w:ascii="Times New Roman" w:hAnsi="Times New Roman" w:cs="Times New Roman"/>
        </w:rPr>
        <w:t xml:space="preserve"> This report does not provide information on exporters’ use of the Union General Export Authorisation, pursuant to Annex V to the Regulation, for exports of goods listed in Annex IV.</w:t>
      </w:r>
    </w:p>
  </w:footnote>
  <w:footnote w:id="3">
    <w:p w14:paraId="4DAA9E38" w14:textId="77777777" w:rsidR="00C43E06" w:rsidRPr="00726A54" w:rsidRDefault="00C43E06" w:rsidP="00C43E06">
      <w:pPr>
        <w:pStyle w:val="FootnoteText"/>
        <w:ind w:left="142" w:hanging="142"/>
        <w:jc w:val="both"/>
        <w:rPr>
          <w:rFonts w:ascii="Times New Roman" w:hAnsi="Times New Roman" w:cs="Times New Roman"/>
          <w:lang w:val="en-IE"/>
        </w:rPr>
      </w:pPr>
      <w:r w:rsidRPr="00726A54">
        <w:rPr>
          <w:rStyle w:val="FootnoteReference"/>
          <w:rFonts w:ascii="Times New Roman" w:hAnsi="Times New Roman" w:cs="Times New Roman"/>
        </w:rPr>
        <w:footnoteRef/>
      </w:r>
      <w:r w:rsidRPr="00726A54">
        <w:rPr>
          <w:rFonts w:ascii="Times New Roman" w:hAnsi="Times New Roman" w:cs="Times New Roman"/>
        </w:rPr>
        <w:t xml:space="preserve"> Article 2(d) of the Regulation defines ‘export’ as ‘any departure of goods from the customs territory of the Union, including the departure of goods that requires a customs declaration and the departure of goods after their storage in a free zone within the meaning of Regulation (EU) No 952/2013 of the European Parliament and of the Council’.</w:t>
      </w:r>
    </w:p>
  </w:footnote>
  <w:footnote w:id="4">
    <w:p w14:paraId="2584A289" w14:textId="77777777" w:rsidR="00726A54" w:rsidRPr="00726A54" w:rsidRDefault="00726A54">
      <w:pPr>
        <w:pStyle w:val="FootnoteText"/>
        <w:rPr>
          <w:lang w:val="en-IE"/>
        </w:rPr>
      </w:pPr>
      <w:r w:rsidRPr="00726A54">
        <w:rPr>
          <w:rStyle w:val="FootnoteReference"/>
          <w:rFonts w:ascii="Times New Roman" w:hAnsi="Times New Roman" w:cs="Times New Roman"/>
        </w:rPr>
        <w:footnoteRef/>
      </w:r>
      <w:r w:rsidRPr="00726A54">
        <w:rPr>
          <w:rFonts w:ascii="Times New Roman" w:hAnsi="Times New Roman" w:cs="Times New Roman"/>
        </w:rPr>
        <w:t xml:space="preserve"> Article 2(p) fully defines ‘individual authorisation’. Article 2(q) fully defines ‘global authorisation’.</w:t>
      </w:r>
    </w:p>
  </w:footnote>
  <w:footnote w:id="5">
    <w:p w14:paraId="6C9C40B2" w14:textId="7017E1B4" w:rsidR="00DD5852" w:rsidRPr="00373687" w:rsidRDefault="00DD5852">
      <w:pPr>
        <w:pStyle w:val="FootnoteText"/>
        <w:rPr>
          <w:rFonts w:ascii="Times New Roman" w:hAnsi="Times New Roman" w:cs="Times New Roman"/>
        </w:rPr>
      </w:pPr>
      <w:r w:rsidRPr="00921D51">
        <w:rPr>
          <w:rStyle w:val="FootnoteReference"/>
        </w:rPr>
        <w:footnoteRef/>
      </w:r>
      <w:r w:rsidRPr="00921D51">
        <w:t xml:space="preserve"> </w:t>
      </w:r>
      <w:r w:rsidRPr="00373687">
        <w:rPr>
          <w:rFonts w:ascii="Times New Roman" w:hAnsi="Times New Roman" w:cs="Times New Roman"/>
        </w:rPr>
        <w:t>Portable weapons and equipment for administration or dissemination of a dose of an incapacitating or irritating chemical substance</w:t>
      </w:r>
      <w:r w:rsidR="00B20E69">
        <w:rPr>
          <w:rFonts w:ascii="Times New Roman" w:hAnsi="Times New Roman" w:cs="Times New Roman"/>
        </w:rPr>
        <w:t>.</w:t>
      </w:r>
    </w:p>
  </w:footnote>
  <w:footnote w:id="6">
    <w:p w14:paraId="35E63461" w14:textId="059995E3" w:rsidR="00F3624B" w:rsidRPr="00F837E5" w:rsidRDefault="00F3624B">
      <w:pPr>
        <w:pStyle w:val="FootnoteText"/>
        <w:rPr>
          <w:rFonts w:ascii="Times New Roman" w:hAnsi="Times New Roman" w:cs="Times New Roman"/>
        </w:rPr>
      </w:pPr>
      <w:r>
        <w:rPr>
          <w:rStyle w:val="FootnoteReference"/>
        </w:rPr>
        <w:footnoteRef/>
      </w:r>
      <w:r>
        <w:t xml:space="preserve"> </w:t>
      </w:r>
      <w:r w:rsidR="00F837E5" w:rsidRPr="00F837E5">
        <w:rPr>
          <w:rFonts w:ascii="Times New Roman" w:hAnsi="Times New Roman" w:cs="Times New Roman"/>
        </w:rPr>
        <w:t xml:space="preserve">Mixtures containing at least 0,3 % by weight of PAVA or OC and a solvent (such as ethanol, 1-propanol or hexane), which could be administered as such as incapacitating or irritating agents, in particular in aerosols and in liquid form, or used for manufacturing of incapacitating or irritating </w:t>
      </w:r>
      <w:r w:rsidR="00B20E69" w:rsidRPr="00F837E5">
        <w:rPr>
          <w:rFonts w:ascii="Times New Roman" w:hAnsi="Times New Roman" w:cs="Times New Roman"/>
        </w:rPr>
        <w:t>agents.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E7E8" w14:textId="77777777" w:rsidR="001C23BA" w:rsidRPr="001C23BA" w:rsidRDefault="001C23BA" w:rsidP="001C23B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FCC" w14:textId="77777777" w:rsidR="001C23BA" w:rsidRPr="001C23BA" w:rsidRDefault="001C23BA" w:rsidP="001C23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E8F7D" w14:textId="77777777" w:rsidR="001C23BA" w:rsidRPr="001C23BA" w:rsidRDefault="001C23BA" w:rsidP="001C23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F2794" w14:textId="77777777" w:rsidR="00121D58" w:rsidRDefault="00121D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C817" w14:textId="77777777" w:rsidR="00121D58" w:rsidRDefault="00121D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2B59" w14:textId="77777777" w:rsidR="00121D58" w:rsidRDefault="00121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647FA"/>
    <w:multiLevelType w:val="hybridMultilevel"/>
    <w:tmpl w:val="3AD8CEEC"/>
    <w:lvl w:ilvl="0" w:tplc="D40C4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F201A"/>
    <w:multiLevelType w:val="hybridMultilevel"/>
    <w:tmpl w:val="9102859A"/>
    <w:lvl w:ilvl="0" w:tplc="73702340">
      <w:numFmt w:val="bullet"/>
      <w:lvlText w:val="-"/>
      <w:lvlJc w:val="left"/>
      <w:pPr>
        <w:ind w:left="100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7855444"/>
    <w:multiLevelType w:val="hybridMultilevel"/>
    <w:tmpl w:val="E4BCB50C"/>
    <w:lvl w:ilvl="0" w:tplc="7370234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3035FB"/>
    <w:multiLevelType w:val="multilevel"/>
    <w:tmpl w:val="475CF3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BE16F58-8E92-4D59-B09D-F4A38EB66CBF"/>
    <w:docVar w:name="LW_COVERPAGE_TYPE" w:val="1"/>
    <w:docVar w:name="LW_CROSSREFERENCE" w:val="&lt;UNUSED&gt;"/>
    <w:docVar w:name="LW_DocType" w:val="NORMAL"/>
    <w:docVar w:name="LW_EMISSION" w:val="19.11.2024"/>
    <w:docVar w:name="LW_EMISSION_ISODATE" w:val="2024-11-1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52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export authorisations in 2023 pursuant to the Regulation concerning trade in certain _x000d__x000d__x000d__x000d__x000b_goods which could be used for capital punishment, torture or other cruel, inhuman or _x000d__x000d__x000d__x000d__x000b_degrading treatment or punishment"/>
    <w:docVar w:name="LW_TYPE.DOC.CP" w:val="REPORT FROM THE COMMISSION TO THE EUROPEAN PARLIAMENT AND THE COUNCIL"/>
    <w:docVar w:name="LwApiVersions" w:val="LW4CoDe 1.24.5.0; LW 9.0, Build 20240221"/>
  </w:docVars>
  <w:rsids>
    <w:rsidRoot w:val="00121D58"/>
    <w:rsid w:val="0000744D"/>
    <w:rsid w:val="0001655D"/>
    <w:rsid w:val="00035ACB"/>
    <w:rsid w:val="000503E0"/>
    <w:rsid w:val="000532F6"/>
    <w:rsid w:val="00062DCD"/>
    <w:rsid w:val="00091A06"/>
    <w:rsid w:val="000F3358"/>
    <w:rsid w:val="001042F9"/>
    <w:rsid w:val="00121D58"/>
    <w:rsid w:val="001315A7"/>
    <w:rsid w:val="001B3DCA"/>
    <w:rsid w:val="001C23BA"/>
    <w:rsid w:val="001F4F0A"/>
    <w:rsid w:val="00201741"/>
    <w:rsid w:val="00304F6E"/>
    <w:rsid w:val="00307CF6"/>
    <w:rsid w:val="00345135"/>
    <w:rsid w:val="00363300"/>
    <w:rsid w:val="00371E47"/>
    <w:rsid w:val="00373687"/>
    <w:rsid w:val="003908D9"/>
    <w:rsid w:val="00415E96"/>
    <w:rsid w:val="00430FAE"/>
    <w:rsid w:val="00431498"/>
    <w:rsid w:val="00440554"/>
    <w:rsid w:val="004D06F4"/>
    <w:rsid w:val="004E3E25"/>
    <w:rsid w:val="005109CC"/>
    <w:rsid w:val="005122DD"/>
    <w:rsid w:val="00606172"/>
    <w:rsid w:val="00634490"/>
    <w:rsid w:val="00654D8E"/>
    <w:rsid w:val="006708B0"/>
    <w:rsid w:val="006F42A4"/>
    <w:rsid w:val="006F7F9D"/>
    <w:rsid w:val="00726A54"/>
    <w:rsid w:val="0074516A"/>
    <w:rsid w:val="007571C4"/>
    <w:rsid w:val="00760147"/>
    <w:rsid w:val="0076531C"/>
    <w:rsid w:val="00770BC4"/>
    <w:rsid w:val="007B35B8"/>
    <w:rsid w:val="007C7387"/>
    <w:rsid w:val="00814D83"/>
    <w:rsid w:val="00824B6D"/>
    <w:rsid w:val="00840CB0"/>
    <w:rsid w:val="0084413F"/>
    <w:rsid w:val="00875AB1"/>
    <w:rsid w:val="008F607D"/>
    <w:rsid w:val="00910035"/>
    <w:rsid w:val="00921D51"/>
    <w:rsid w:val="0092444B"/>
    <w:rsid w:val="00954790"/>
    <w:rsid w:val="009C3B23"/>
    <w:rsid w:val="009D2F88"/>
    <w:rsid w:val="009F123A"/>
    <w:rsid w:val="00A2531D"/>
    <w:rsid w:val="00A6607D"/>
    <w:rsid w:val="00AC6FE1"/>
    <w:rsid w:val="00AE2657"/>
    <w:rsid w:val="00AF5E9C"/>
    <w:rsid w:val="00B04B8A"/>
    <w:rsid w:val="00B20E69"/>
    <w:rsid w:val="00B25300"/>
    <w:rsid w:val="00B2554D"/>
    <w:rsid w:val="00C14308"/>
    <w:rsid w:val="00C32140"/>
    <w:rsid w:val="00C43E06"/>
    <w:rsid w:val="00C518B9"/>
    <w:rsid w:val="00CB0A4D"/>
    <w:rsid w:val="00D11B25"/>
    <w:rsid w:val="00D40A54"/>
    <w:rsid w:val="00D4367A"/>
    <w:rsid w:val="00D854FE"/>
    <w:rsid w:val="00D858A4"/>
    <w:rsid w:val="00D96F20"/>
    <w:rsid w:val="00DD082D"/>
    <w:rsid w:val="00DD2065"/>
    <w:rsid w:val="00DD5852"/>
    <w:rsid w:val="00DF6A1B"/>
    <w:rsid w:val="00DF6C5D"/>
    <w:rsid w:val="00E36419"/>
    <w:rsid w:val="00E47097"/>
    <w:rsid w:val="00E94C1D"/>
    <w:rsid w:val="00EC3434"/>
    <w:rsid w:val="00ED0AA6"/>
    <w:rsid w:val="00EE4A03"/>
    <w:rsid w:val="00F3624B"/>
    <w:rsid w:val="00F46964"/>
    <w:rsid w:val="00F837E5"/>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29229E"/>
  <w15:chartTrackingRefBased/>
  <w15:docId w15:val="{43F9A2E0-02B4-44EC-A97B-8BBAE06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121D58"/>
    <w:rPr>
      <w:color w:val="0000FF"/>
      <w:shd w:val="clear" w:color="auto" w:fill="auto"/>
    </w:rPr>
  </w:style>
  <w:style w:type="paragraph" w:styleId="Header">
    <w:name w:val="header"/>
    <w:basedOn w:val="Normal"/>
    <w:link w:val="HeaderChar"/>
    <w:uiPriority w:val="99"/>
    <w:unhideWhenUsed/>
    <w:rsid w:val="00121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58"/>
  </w:style>
  <w:style w:type="paragraph" w:styleId="Footer">
    <w:name w:val="footer"/>
    <w:basedOn w:val="Normal"/>
    <w:link w:val="FooterChar"/>
    <w:uiPriority w:val="99"/>
    <w:unhideWhenUsed/>
    <w:rsid w:val="00121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58"/>
  </w:style>
  <w:style w:type="paragraph" w:customStyle="1" w:styleId="Pagedecouverture">
    <w:name w:val="Page de couverture"/>
    <w:basedOn w:val="Normal"/>
    <w:next w:val="Normal"/>
    <w:rsid w:val="00121D5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121D5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21D58"/>
    <w:rPr>
      <w:rFonts w:ascii="Times New Roman" w:hAnsi="Times New Roman" w:cs="Times New Roman"/>
      <w:sz w:val="24"/>
    </w:rPr>
  </w:style>
  <w:style w:type="paragraph" w:customStyle="1" w:styleId="FooterSensitivity">
    <w:name w:val="Footer Sensitivity"/>
    <w:basedOn w:val="Normal"/>
    <w:link w:val="FooterSensitivityChar"/>
    <w:rsid w:val="00121D5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21D58"/>
    <w:rPr>
      <w:rFonts w:ascii="Times New Roman" w:hAnsi="Times New Roman" w:cs="Times New Roman"/>
      <w:b/>
      <w:sz w:val="32"/>
    </w:rPr>
  </w:style>
  <w:style w:type="paragraph" w:customStyle="1" w:styleId="HeaderCoverPage">
    <w:name w:val="Header Cover Page"/>
    <w:basedOn w:val="Normal"/>
    <w:link w:val="HeaderCoverPageChar"/>
    <w:rsid w:val="00121D5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21D58"/>
    <w:rPr>
      <w:rFonts w:ascii="Times New Roman" w:hAnsi="Times New Roman" w:cs="Times New Roman"/>
      <w:sz w:val="24"/>
    </w:rPr>
  </w:style>
  <w:style w:type="paragraph" w:customStyle="1" w:styleId="HeaderSensitivity">
    <w:name w:val="Header Sensitivity"/>
    <w:basedOn w:val="Normal"/>
    <w:link w:val="HeaderSensitivityChar"/>
    <w:rsid w:val="00121D5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21D58"/>
    <w:rPr>
      <w:rFonts w:ascii="Times New Roman" w:hAnsi="Times New Roman" w:cs="Times New Roman"/>
      <w:b/>
      <w:sz w:val="32"/>
    </w:rPr>
  </w:style>
  <w:style w:type="paragraph" w:customStyle="1" w:styleId="HeaderSensitivityRight">
    <w:name w:val="Header Sensitivity Right"/>
    <w:basedOn w:val="Normal"/>
    <w:link w:val="HeaderSensitivityRightChar"/>
    <w:rsid w:val="00121D5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21D58"/>
    <w:rPr>
      <w:rFonts w:ascii="Times New Roman" w:hAnsi="Times New Roman" w:cs="Times New Roman"/>
      <w:sz w:val="28"/>
    </w:rPr>
  </w:style>
  <w:style w:type="paragraph" w:styleId="ListParagraph">
    <w:name w:val="List Paragraph"/>
    <w:basedOn w:val="Normal"/>
    <w:uiPriority w:val="34"/>
    <w:qFormat/>
    <w:rsid w:val="00121D58"/>
    <w:pPr>
      <w:ind w:left="720"/>
      <w:contextualSpacing/>
    </w:pPr>
  </w:style>
  <w:style w:type="character" w:customStyle="1" w:styleId="Bodytext1">
    <w:name w:val="Body text|1_"/>
    <w:basedOn w:val="DefaultParagraphFont"/>
    <w:link w:val="Bodytext10"/>
    <w:rsid w:val="007B35B8"/>
  </w:style>
  <w:style w:type="paragraph" w:customStyle="1" w:styleId="Bodytext10">
    <w:name w:val="Body text|1"/>
    <w:basedOn w:val="Normal"/>
    <w:link w:val="Bodytext1"/>
    <w:rsid w:val="007B35B8"/>
    <w:pPr>
      <w:widowControl w:val="0"/>
      <w:spacing w:after="220" w:line="240" w:lineRule="auto"/>
    </w:pPr>
  </w:style>
  <w:style w:type="paragraph" w:styleId="FootnoteText">
    <w:name w:val="footnote text"/>
    <w:basedOn w:val="Normal"/>
    <w:link w:val="FootnoteTextChar"/>
    <w:uiPriority w:val="99"/>
    <w:semiHidden/>
    <w:unhideWhenUsed/>
    <w:rsid w:val="00C43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E06"/>
    <w:rPr>
      <w:sz w:val="20"/>
      <w:szCs w:val="20"/>
    </w:rPr>
  </w:style>
  <w:style w:type="character" w:styleId="FootnoteReference">
    <w:name w:val="footnote reference"/>
    <w:basedOn w:val="DefaultParagraphFont"/>
    <w:uiPriority w:val="99"/>
    <w:semiHidden/>
    <w:unhideWhenUsed/>
    <w:rsid w:val="00C43E06"/>
    <w:rPr>
      <w:vertAlign w:val="superscript"/>
    </w:rPr>
  </w:style>
  <w:style w:type="table" w:styleId="TableGrid">
    <w:name w:val="Table Grid"/>
    <w:basedOn w:val="TableNormal"/>
    <w:uiPriority w:val="39"/>
    <w:rsid w:val="00C43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4A03"/>
    <w:rPr>
      <w:sz w:val="16"/>
      <w:szCs w:val="16"/>
    </w:rPr>
  </w:style>
  <w:style w:type="paragraph" w:styleId="CommentText">
    <w:name w:val="annotation text"/>
    <w:basedOn w:val="Normal"/>
    <w:link w:val="CommentTextChar"/>
    <w:uiPriority w:val="99"/>
    <w:unhideWhenUsed/>
    <w:rsid w:val="00EE4A03"/>
    <w:pPr>
      <w:spacing w:line="240" w:lineRule="auto"/>
    </w:pPr>
    <w:rPr>
      <w:sz w:val="20"/>
      <w:szCs w:val="20"/>
    </w:rPr>
  </w:style>
  <w:style w:type="character" w:customStyle="1" w:styleId="CommentTextChar">
    <w:name w:val="Comment Text Char"/>
    <w:basedOn w:val="DefaultParagraphFont"/>
    <w:link w:val="CommentText"/>
    <w:uiPriority w:val="99"/>
    <w:rsid w:val="00EE4A03"/>
    <w:rPr>
      <w:sz w:val="20"/>
      <w:szCs w:val="20"/>
    </w:rPr>
  </w:style>
  <w:style w:type="paragraph" w:styleId="CommentSubject">
    <w:name w:val="annotation subject"/>
    <w:basedOn w:val="CommentText"/>
    <w:next w:val="CommentText"/>
    <w:link w:val="CommentSubjectChar"/>
    <w:uiPriority w:val="99"/>
    <w:semiHidden/>
    <w:unhideWhenUsed/>
    <w:rsid w:val="00EE4A03"/>
    <w:rPr>
      <w:b/>
      <w:bCs/>
    </w:rPr>
  </w:style>
  <w:style w:type="character" w:customStyle="1" w:styleId="CommentSubjectChar">
    <w:name w:val="Comment Subject Char"/>
    <w:basedOn w:val="CommentTextChar"/>
    <w:link w:val="CommentSubject"/>
    <w:uiPriority w:val="99"/>
    <w:semiHidden/>
    <w:rsid w:val="00EE4A03"/>
    <w:rPr>
      <w:b/>
      <w:bCs/>
      <w:sz w:val="20"/>
      <w:szCs w:val="20"/>
    </w:rPr>
  </w:style>
  <w:style w:type="paragraph" w:styleId="BalloonText">
    <w:name w:val="Balloon Text"/>
    <w:basedOn w:val="Normal"/>
    <w:link w:val="BalloonTextChar"/>
    <w:uiPriority w:val="99"/>
    <w:semiHidden/>
    <w:unhideWhenUsed/>
    <w:rsid w:val="00EE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03"/>
    <w:rPr>
      <w:rFonts w:ascii="Segoe UI" w:hAnsi="Segoe UI" w:cs="Segoe UI"/>
      <w:sz w:val="18"/>
      <w:szCs w:val="18"/>
    </w:rPr>
  </w:style>
  <w:style w:type="paragraph" w:styleId="Revision">
    <w:name w:val="Revision"/>
    <w:hidden/>
    <w:uiPriority w:val="99"/>
    <w:semiHidden/>
    <w:rsid w:val="00371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4F59-E0DC-4547-B17A-145BF84F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dcterms:created xsi:type="dcterms:W3CDTF">2024-10-28T10:43:00Z</dcterms:created>
  <dcterms:modified xsi:type="dcterms:W3CDTF">2024-11-18T17:58:00Z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2023-08-14T06:59:43Z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829c1885-76cf-4e1c-b1c1-7190184dc0d7</vt:lpwstr>
  </property>
  <property fmtid="{D5CDD505-2E9C-101B-9397-08002B2CF9AE}" pid="15" name="MSIP_Label_6bd9ddd1-4d20-43f6-abfa-fc3c07406f94_ContentBits">
    <vt:lpwstr>0</vt:lpwstr>
  </property>
</Properties>
</file>